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footer4.xml" ContentType="application/vnd.openxmlformats-officedocument.wordprocessingml.footer+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9.xml" ContentType="application/vnd.openxmlformats-officedocument.themeOverride+xml"/>
  <Override PartName="/word/drawings/drawing3.xml" ContentType="application/vnd.openxmlformats-officedocument.drawingml.chartshapes+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footer5.xml" ContentType="application/vnd.openxmlformats-officedocument.wordprocessingml.footer+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0.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1.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2.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3.xml" ContentType="application/vnd.openxmlformats-officedocument.themeOverride+xml"/>
  <Override PartName="/word/footer6.xml" ContentType="application/vnd.openxmlformats-officedocument.wordprocessingml.footer+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4.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5.xml" ContentType="application/vnd.openxmlformats-officedocument.themeOverrid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6.xml" ContentType="application/vnd.openxmlformats-officedocument.themeOverrid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footer7.xml" ContentType="application/vnd.openxmlformats-officedocument.wordprocessingml.footer+xml"/>
  <Override PartName="/word/charts/chart34.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7.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8.xml" ContentType="application/vnd.openxmlformats-officedocument.themeOverride+xml"/>
  <Override PartName="/word/drawings/drawing4.xml" ContentType="application/vnd.openxmlformats-officedocument.drawingml.chartshapes+xml"/>
  <Override PartName="/word/charts/chart37.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9.xml" ContentType="application/vnd.openxmlformats-officedocument.themeOverride+xml"/>
  <Override PartName="/word/charts/chart38.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0.xml" ContentType="application/vnd.openxmlformats-officedocument.themeOverride+xml"/>
  <Override PartName="/word/charts/chart39.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0.xml" ContentType="application/vnd.openxmlformats-officedocument.drawingml.chart+xml"/>
  <Override PartName="/word/charts/style36.xml" ContentType="application/vnd.ms-office.chartstyle+xml"/>
  <Override PartName="/word/charts/colors36.xml" ContentType="application/vnd.ms-office.chartcolorstyle+xml"/>
  <Override PartName="/word/footer8.xml" ContentType="application/vnd.openxmlformats-officedocument.wordprocessingml.footer+xml"/>
  <Override PartName="/word/charts/chart41.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1.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2.xml" ContentType="application/vnd.openxmlformats-officedocument.themeOverride+xml"/>
  <Override PartName="/word/charts/chart45.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3.xml" ContentType="application/vnd.openxmlformats-officedocument.themeOverride+xml"/>
  <Override PartName="/word/charts/chart46.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4.xml" ContentType="application/vnd.openxmlformats-officedocument.themeOverride+xml"/>
  <Override PartName="/word/charts/chart47.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8.xml" ContentType="application/vnd.openxmlformats-officedocument.drawingml.chart+xml"/>
  <Override PartName="/word/charts/style43.xml" ContentType="application/vnd.ms-office.chartstyle+xml"/>
  <Override PartName="/word/charts/colors43.xml" ContentType="application/vnd.ms-office.chartcolorstyle+xml"/>
  <Override PartName="/word/footer9.xml" ContentType="application/vnd.openxmlformats-officedocument.wordprocessingml.footer+xml"/>
  <Override PartName="/word/charts/chart49.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25.xml" ContentType="application/vnd.openxmlformats-officedocument.themeOverride+xml"/>
  <Override PartName="/word/charts/chart50.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26.xml" ContentType="application/vnd.openxmlformats-officedocument.themeOverride+xml"/>
  <Override PartName="/word/charts/chart51.xml" ContentType="application/vnd.openxmlformats-officedocument.drawingml.chart+xml"/>
  <Override PartName="/word/theme/themeOverride27.xml" ContentType="application/vnd.openxmlformats-officedocument.themeOverride+xml"/>
  <Override PartName="/word/charts/chart52.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28.xml" ContentType="application/vnd.openxmlformats-officedocument.themeOverride+xml"/>
  <Override PartName="/word/charts/chart53.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4.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29.xml" ContentType="application/vnd.openxmlformats-officedocument.themeOverride+xml"/>
  <Override PartName="/word/charts/chart55.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30.xml" ContentType="application/vnd.openxmlformats-officedocument.themeOverride+xml"/>
  <Override PartName="/word/footer10.xml" ContentType="application/vnd.openxmlformats-officedocument.wordprocessingml.footer+xml"/>
  <Override PartName="/word/charts/chart56.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31.xml" ContentType="application/vnd.openxmlformats-officedocument.themeOverride+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32.xml" ContentType="application/vnd.openxmlformats-officedocument.themeOverride+xml"/>
  <Override PartName="/word/charts/chart60.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33.xml" ContentType="application/vnd.openxmlformats-officedocument.themeOverride+xml"/>
  <Override PartName="/word/drawings/drawing5.xml" ContentType="application/vnd.openxmlformats-officedocument.drawingml.chartshapes+xml"/>
  <Override PartName="/word/charts/chart61.xml" ContentType="application/vnd.openxmlformats-officedocument.drawingml.chart+xml"/>
  <Override PartName="/word/charts/style53.xml" ContentType="application/vnd.ms-office.chartstyle+xml"/>
  <Override PartName="/word/charts/colors53.xml" ContentType="application/vnd.ms-office.chartcolorstyle+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93256" w14:textId="2940BC3B" w:rsidR="001F3056" w:rsidRDefault="001F3056" w:rsidP="001F3056">
      <w:pPr>
        <w:pStyle w:val="HeadingCoverPage"/>
      </w:pPr>
      <w:bookmarkStart w:id="0" w:name="_Toc160109467"/>
      <w:r>
        <w:t>Australian Priority Investment Approach to Welfare</w:t>
      </w:r>
      <w:bookmarkEnd w:id="0"/>
    </w:p>
    <w:p w14:paraId="1C56481E" w14:textId="44EAE9C8" w:rsidR="000D69EF" w:rsidRDefault="001F3056" w:rsidP="00CA12FE">
      <w:pPr>
        <w:pStyle w:val="Subheadingcoverpage"/>
      </w:pPr>
      <w:r w:rsidRPr="001F3056">
        <w:t>30 June 202</w:t>
      </w:r>
      <w:r>
        <w:t>2</w:t>
      </w:r>
      <w:r w:rsidRPr="001F3056">
        <w:t xml:space="preserve"> Valuation Report</w:t>
      </w:r>
    </w:p>
    <w:p w14:paraId="05DBDE71" w14:textId="77777777" w:rsidR="00F3364B" w:rsidRDefault="00F3364B"/>
    <w:p w14:paraId="7263BA2A" w14:textId="77777777" w:rsidR="00F3364B" w:rsidRDefault="00F3364B">
      <w:pPr>
        <w:sectPr w:rsidR="00F3364B" w:rsidSect="00B46214">
          <w:headerReference w:type="first" r:id="rId11"/>
          <w:type w:val="continuous"/>
          <w:pgSz w:w="16838" w:h="11906" w:orient="landscape" w:code="9"/>
          <w:pgMar w:top="1418" w:right="1134" w:bottom="1418" w:left="1134" w:header="425" w:footer="680" w:gutter="0"/>
          <w:cols w:num="2" w:space="709"/>
          <w:titlePg/>
          <w:docGrid w:linePitch="360"/>
        </w:sectPr>
      </w:pPr>
    </w:p>
    <w:p w14:paraId="5EF433D4" w14:textId="2693B655" w:rsidR="007B0355" w:rsidRPr="00B64FBD" w:rsidRDefault="007B0355" w:rsidP="007B0355">
      <w:r w:rsidRPr="00B64FBD">
        <w:lastRenderedPageBreak/>
        <w:t>© Commonwealth of Australia 202</w:t>
      </w:r>
      <w:r w:rsidR="008D4423">
        <w:t>4</w:t>
      </w:r>
    </w:p>
    <w:p w14:paraId="5975391C" w14:textId="38F3FC09" w:rsidR="007B0355" w:rsidRPr="00B64FBD" w:rsidRDefault="007B0355" w:rsidP="007B0355">
      <w:r w:rsidRPr="00D5068F">
        <w:t>ISSN: 2653</w:t>
      </w:r>
      <w:r w:rsidR="00B04FCE">
        <w:noBreakHyphen/>
      </w:r>
      <w:r w:rsidRPr="00D5068F">
        <w:t>4525 (online)</w:t>
      </w:r>
    </w:p>
    <w:p w14:paraId="011CD2FF" w14:textId="5AE1DA54" w:rsidR="007B0355" w:rsidRPr="00B64FBD" w:rsidRDefault="008D4423" w:rsidP="007B0355">
      <w:r w:rsidRPr="002F1BC2">
        <w:t>This publication is available for your use under a</w:t>
      </w:r>
      <w:r w:rsidRPr="00476F09">
        <w:rPr>
          <w:rFonts w:cstheme="minorHAnsi"/>
          <w:sz w:val="24"/>
          <w:szCs w:val="24"/>
        </w:rPr>
        <w:t xml:space="preserve"> </w:t>
      </w:r>
      <w:hyperlink r:id="rId12"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w:t>
      </w:r>
      <w:r w:rsidR="007B0355" w:rsidRPr="00B64FBD">
        <w:t xml:space="preserve">, the Australian Government Actuary logo, photographs, images, signatures and where otherwise stated. The full licence terms are available from </w:t>
      </w:r>
      <w:hyperlink r:id="rId13" w:history="1">
        <w:r w:rsidR="007B0355" w:rsidRPr="000D69EF">
          <w:rPr>
            <w:rStyle w:val="Hyperlink"/>
          </w:rPr>
          <w:t>http://creativecommons.org/licenses/by/3.0/au/legalcode</w:t>
        </w:r>
      </w:hyperlink>
      <w:r w:rsidR="007B0355" w:rsidRPr="00B64FBD">
        <w:t>.</w:t>
      </w:r>
    </w:p>
    <w:p w14:paraId="49D742B9" w14:textId="77777777" w:rsidR="007B0355" w:rsidRPr="00B64FBD" w:rsidRDefault="007B0355" w:rsidP="00F322B6">
      <w:pPr>
        <w:pStyle w:val="NoSpacing"/>
      </w:pPr>
      <w:r w:rsidRPr="006D3B25">
        <w:rPr>
          <w:noProof/>
        </w:rPr>
        <w:t xml:space="preserve"> </w:t>
      </w:r>
      <w:r w:rsidRPr="006D3B25">
        <w:rPr>
          <w:noProof/>
        </w:rPr>
        <w:drawing>
          <wp:inline distT="0" distB="0" distL="0" distR="0" wp14:anchorId="2A832275" wp14:editId="03CDAF3C">
            <wp:extent cx="802800" cy="280800"/>
            <wp:effectExtent l="0" t="0" r="0" b="5080"/>
            <wp:docPr id="26" name="Graphic 26" descr="Creative Commons BY Attribution 3.0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reative Commons BY Attribution 3.0 Australia Logo"/>
                    <pic:cNvPicPr/>
                  </pic:nvPicPr>
                  <pic:blipFill>
                    <a:blip r:embed="rId14">
                      <a:extLst>
                        <a:ext uri="{96DAC541-7B7A-43D3-8B79-37D633B846F1}">
                          <asvg:svgBlip xmlns:asvg="http://schemas.microsoft.com/office/drawing/2016/SVG/main" r:embed="rId15"/>
                        </a:ext>
                      </a:extLst>
                    </a:blip>
                    <a:stretch>
                      <a:fillRect/>
                    </a:stretch>
                  </pic:blipFill>
                  <pic:spPr>
                    <a:xfrm>
                      <a:off x="0" y="0"/>
                      <a:ext cx="802800" cy="280800"/>
                    </a:xfrm>
                    <a:prstGeom prst="rect">
                      <a:avLst/>
                    </a:prstGeom>
                  </pic:spPr>
                </pic:pic>
              </a:graphicData>
            </a:graphic>
          </wp:inline>
        </w:drawing>
      </w:r>
    </w:p>
    <w:p w14:paraId="622794FD" w14:textId="66A29900" w:rsidR="007B0355" w:rsidRPr="00B64FBD" w:rsidRDefault="007B0355" w:rsidP="00F322B6">
      <w:r w:rsidRPr="00B64FBD">
        <w:t>Use of material from the Australian Government</w:t>
      </w:r>
      <w:r w:rsidR="008D4423">
        <w:t xml:space="preserve"> Actuary</w:t>
      </w:r>
      <w:r w:rsidRPr="00B64FBD">
        <w:t xml:space="preserve"> </w:t>
      </w:r>
      <w:r w:rsidR="008D4423" w:rsidRPr="006627B4">
        <w:t>under a</w:t>
      </w:r>
      <w:r w:rsidR="008D4423" w:rsidRPr="00476F09">
        <w:rPr>
          <w:rFonts w:cstheme="minorHAnsi"/>
          <w:sz w:val="24"/>
          <w:szCs w:val="24"/>
        </w:rPr>
        <w:t xml:space="preserve"> </w:t>
      </w:r>
      <w:hyperlink r:id="rId16" w:history="1">
        <w:r w:rsidR="008D4423" w:rsidRPr="002F1BC2">
          <w:rPr>
            <w:rStyle w:val="Hyperlink"/>
          </w:rPr>
          <w:t>Creative Commons Attribution 3.0 Australia</w:t>
        </w:r>
      </w:hyperlink>
      <w:r w:rsidR="008D4423">
        <w:t xml:space="preserve"> l</w:t>
      </w:r>
      <w:r w:rsidR="008D4423" w:rsidRPr="006627B4">
        <w:t xml:space="preserve">icence requires you to attribute the work </w:t>
      </w:r>
      <w:r w:rsidRPr="00B64FBD">
        <w:t>(but not in any way that suggests that the Australian Government Actuary endorses you or your use of the work).</w:t>
      </w:r>
    </w:p>
    <w:p w14:paraId="238B94CA" w14:textId="081DFFD6" w:rsidR="007B0355" w:rsidRPr="008D4423" w:rsidRDefault="007B0355" w:rsidP="008D4423">
      <w:pPr>
        <w:rPr>
          <w:rStyle w:val="Strong"/>
        </w:rPr>
      </w:pPr>
      <w:r w:rsidRPr="008D4423">
        <w:rPr>
          <w:rStyle w:val="Strong"/>
        </w:rPr>
        <w:t xml:space="preserve">Material sourced from the Australian Government Actuary, used </w:t>
      </w:r>
      <w:r w:rsidR="00B04FCE" w:rsidRPr="008D4423">
        <w:rPr>
          <w:rStyle w:val="Strong"/>
        </w:rPr>
        <w:t>‘</w:t>
      </w:r>
      <w:r w:rsidRPr="008D4423">
        <w:rPr>
          <w:rStyle w:val="Strong"/>
        </w:rPr>
        <w:t>as</w:t>
      </w:r>
      <w:r w:rsidR="00D01768" w:rsidRPr="008D4423">
        <w:rPr>
          <w:rStyle w:val="Strong"/>
        </w:rPr>
        <w:t> </w:t>
      </w:r>
      <w:r w:rsidRPr="008D4423">
        <w:rPr>
          <w:rStyle w:val="Strong"/>
        </w:rPr>
        <w:t>supplied</w:t>
      </w:r>
      <w:r w:rsidR="00B04FCE" w:rsidRPr="008D4423">
        <w:rPr>
          <w:rStyle w:val="Strong"/>
        </w:rPr>
        <w:t>’</w:t>
      </w:r>
      <w:r w:rsidRPr="008D4423">
        <w:rPr>
          <w:rStyle w:val="Strong"/>
        </w:rPr>
        <w:t>.</w:t>
      </w:r>
    </w:p>
    <w:p w14:paraId="3CD7CBEB" w14:textId="05CEF89E" w:rsidR="007B0355" w:rsidRPr="00B64FBD" w:rsidRDefault="007B0355" w:rsidP="007B0355">
      <w:r w:rsidRPr="00B64FBD">
        <w:t>Provided you have not modified or transformed material from the Australian Government Actuary in any way including, for example, by changing the Australian Government Actuary</w:t>
      </w:r>
      <w:r w:rsidR="00B04FCE">
        <w:t>’</w:t>
      </w:r>
      <w:r w:rsidRPr="00B64FBD">
        <w:t>s text; calculating percentage changes; graphing or charting data; or deriving new statistics from statistics published by the Australian Government Actuary</w:t>
      </w:r>
      <w:r w:rsidR="008D7016">
        <w:t xml:space="preserve"> – </w:t>
      </w:r>
      <w:r w:rsidRPr="00B64FBD">
        <w:t>then the Australian Government Actuary prefers the following attribution:</w:t>
      </w:r>
    </w:p>
    <w:p w14:paraId="3DB6DB9A" w14:textId="77777777" w:rsidR="007B0355" w:rsidRPr="00F322B6" w:rsidRDefault="007B0355" w:rsidP="00F322B6">
      <w:pPr>
        <w:pStyle w:val="NormalIndent"/>
        <w:rPr>
          <w:rStyle w:val="Emphasis"/>
        </w:rPr>
      </w:pPr>
      <w:r w:rsidRPr="00F322B6">
        <w:rPr>
          <w:rStyle w:val="Emphasis"/>
        </w:rPr>
        <w:t>Source: The Australian Government Actuary.</w:t>
      </w:r>
    </w:p>
    <w:p w14:paraId="2B1365A2" w14:textId="77777777" w:rsidR="007B0355" w:rsidRPr="007E4C2E" w:rsidRDefault="007B0355" w:rsidP="00E37F73">
      <w:pPr>
        <w:keepNext/>
        <w:spacing w:before="100" w:after="120" w:line="240" w:lineRule="atLeast"/>
        <w:rPr>
          <w:rStyle w:val="Strong"/>
        </w:rPr>
      </w:pPr>
      <w:r w:rsidRPr="007E4C2E">
        <w:rPr>
          <w:rStyle w:val="Strong"/>
        </w:rPr>
        <w:t>Derivative material</w:t>
      </w:r>
    </w:p>
    <w:p w14:paraId="222EC4A8" w14:textId="77777777" w:rsidR="007B0355" w:rsidRPr="00B64FBD" w:rsidRDefault="007B0355" w:rsidP="00D46860">
      <w:pPr>
        <w:keepNext/>
        <w:keepLines/>
      </w:pPr>
      <w:r w:rsidRPr="00B64FBD">
        <w:t>If you have modified or transformed material from the Australian Government Actuary, or derived new material from those of the Australian Government Actuary in any way, then the Australian Government Actuary prefers the following attribution:</w:t>
      </w:r>
    </w:p>
    <w:p w14:paraId="773B1B79" w14:textId="77777777" w:rsidR="007B0355" w:rsidRPr="00F322B6" w:rsidRDefault="007B0355" w:rsidP="00F322B6">
      <w:pPr>
        <w:pStyle w:val="NormalIndent"/>
        <w:rPr>
          <w:rStyle w:val="Emphasis"/>
        </w:rPr>
      </w:pPr>
      <w:r w:rsidRPr="00F322B6">
        <w:rPr>
          <w:rStyle w:val="Emphasis"/>
        </w:rPr>
        <w:t>Based on data published by the Australian Government Actuary.</w:t>
      </w:r>
    </w:p>
    <w:p w14:paraId="3199E4DF" w14:textId="77777777" w:rsidR="007B0355" w:rsidRPr="007E4C2E" w:rsidRDefault="007B0355" w:rsidP="000D69EF">
      <w:pPr>
        <w:keepNext/>
        <w:spacing w:before="100" w:after="120" w:line="240" w:lineRule="atLeast"/>
        <w:rPr>
          <w:rStyle w:val="Strong"/>
        </w:rPr>
      </w:pPr>
      <w:r w:rsidRPr="007E4C2E">
        <w:rPr>
          <w:rStyle w:val="Strong"/>
        </w:rPr>
        <w:t>Use of the Coat of Arms</w:t>
      </w:r>
    </w:p>
    <w:p w14:paraId="77EE18D9" w14:textId="337DB261" w:rsidR="007B0355" w:rsidRPr="00B64FBD" w:rsidRDefault="00BB57A3" w:rsidP="007B0355">
      <w:r w:rsidRPr="005C503A">
        <w:t xml:space="preserve">The terms under which the Coat of Arms can be used are set out on the Department of the Prime Minister and Cabinet website (see </w:t>
      </w:r>
      <w:hyperlink r:id="rId17" w:history="1">
        <w:r>
          <w:rPr>
            <w:rStyle w:val="Hyperlink"/>
          </w:rPr>
          <w:t>https://www.pmc.gov.au/honours-and-symbols/commonwealth-coat-arms</w:t>
        </w:r>
      </w:hyperlink>
      <w:r w:rsidRPr="005C503A">
        <w:t>).</w:t>
      </w:r>
    </w:p>
    <w:p w14:paraId="043C34DF" w14:textId="77777777" w:rsidR="007B0355" w:rsidRPr="007E4C2E" w:rsidRDefault="007B0355" w:rsidP="007B0355">
      <w:pPr>
        <w:spacing w:before="100" w:after="120" w:line="240" w:lineRule="atLeast"/>
        <w:rPr>
          <w:rStyle w:val="Strong"/>
        </w:rPr>
      </w:pPr>
      <w:r w:rsidRPr="007E4C2E">
        <w:rPr>
          <w:rStyle w:val="Strong"/>
        </w:rPr>
        <w:t>Other Uses</w:t>
      </w:r>
    </w:p>
    <w:p w14:paraId="14C50231" w14:textId="77777777" w:rsidR="007B0355" w:rsidRPr="00B64FBD" w:rsidRDefault="007B0355" w:rsidP="007B0355">
      <w:r w:rsidRPr="00B64FBD">
        <w:t>Inquiries regarding this licence and any other use of this document are welcome at:</w:t>
      </w:r>
    </w:p>
    <w:p w14:paraId="2C083345" w14:textId="77777777" w:rsidR="000D69EF" w:rsidRDefault="007B0355" w:rsidP="00BB57A3">
      <w:pPr>
        <w:pStyle w:val="NormalIndent"/>
        <w:spacing w:before="0" w:after="0"/>
      </w:pPr>
      <w:r w:rsidRPr="00B64FBD">
        <w:t>Publications enquiries</w:t>
      </w:r>
    </w:p>
    <w:p w14:paraId="3D6A43A6" w14:textId="77777777" w:rsidR="000D69EF" w:rsidRDefault="007B0355" w:rsidP="00BB57A3">
      <w:pPr>
        <w:pStyle w:val="NormalIndent"/>
        <w:spacing w:before="0" w:after="0"/>
      </w:pPr>
      <w:r w:rsidRPr="00B64FBD">
        <w:t>The Australian Government Actuary</w:t>
      </w:r>
    </w:p>
    <w:p w14:paraId="54A7C698" w14:textId="77777777" w:rsidR="000D69EF" w:rsidRDefault="007B0355" w:rsidP="00BB57A3">
      <w:pPr>
        <w:pStyle w:val="NormalIndent"/>
        <w:spacing w:before="0" w:after="0"/>
      </w:pPr>
      <w:r w:rsidRPr="00B64FBD">
        <w:t>The Treasury Building</w:t>
      </w:r>
    </w:p>
    <w:p w14:paraId="163BD453" w14:textId="77777777" w:rsidR="000D69EF" w:rsidRDefault="007B0355" w:rsidP="00BB57A3">
      <w:pPr>
        <w:pStyle w:val="NormalIndent"/>
        <w:spacing w:before="0" w:after="0"/>
      </w:pPr>
      <w:r w:rsidRPr="00B64FBD">
        <w:t>Langton Crescent</w:t>
      </w:r>
    </w:p>
    <w:p w14:paraId="2F817A84" w14:textId="535EDD1B" w:rsidR="000D69EF" w:rsidRDefault="007B0355" w:rsidP="00BB57A3">
      <w:pPr>
        <w:pStyle w:val="NormalIndent"/>
        <w:spacing w:before="0" w:after="0"/>
      </w:pPr>
      <w:r w:rsidRPr="00B64FBD">
        <w:t>Parkes</w:t>
      </w:r>
      <w:r w:rsidR="00B04FCE">
        <w:t xml:space="preserve"> </w:t>
      </w:r>
      <w:r w:rsidRPr="00B64FBD">
        <w:t>ACT</w:t>
      </w:r>
      <w:r w:rsidR="00B04FCE">
        <w:t xml:space="preserve"> </w:t>
      </w:r>
      <w:r w:rsidRPr="00B64FBD">
        <w:t>2600</w:t>
      </w:r>
    </w:p>
    <w:p w14:paraId="64F1C799" w14:textId="799A4CCE" w:rsidR="007B0355" w:rsidRPr="000D69EF" w:rsidRDefault="007B0355" w:rsidP="00BB57A3">
      <w:pPr>
        <w:pStyle w:val="NormalIndent"/>
        <w:spacing w:before="0" w:after="0"/>
      </w:pPr>
      <w:r w:rsidRPr="00B64FBD">
        <w:t xml:space="preserve">Email: </w:t>
      </w:r>
      <w:hyperlink r:id="rId18" w:history="1">
        <w:r w:rsidRPr="000D69EF">
          <w:rPr>
            <w:rStyle w:val="Hyperlink"/>
          </w:rPr>
          <w:t>aga@aga.gov.au</w:t>
        </w:r>
      </w:hyperlink>
    </w:p>
    <w:p w14:paraId="54116F57" w14:textId="77777777" w:rsidR="00523C23" w:rsidRDefault="00523C23" w:rsidP="00B924CC">
      <w:pPr>
        <w:pStyle w:val="Heading1notnumbered"/>
        <w:sectPr w:rsidR="00523C23" w:rsidSect="00B46214">
          <w:pgSz w:w="16838" w:h="11906" w:orient="landscape" w:code="9"/>
          <w:pgMar w:top="1418" w:right="1134" w:bottom="1418" w:left="1134" w:header="425" w:footer="680" w:gutter="0"/>
          <w:cols w:num="2" w:space="709"/>
          <w:docGrid w:linePitch="360"/>
        </w:sectPr>
      </w:pPr>
      <w:bookmarkStart w:id="1" w:name="_Toc153355573"/>
      <w:bookmarkStart w:id="2" w:name="_Toc155358639"/>
    </w:p>
    <w:p w14:paraId="2FA1CF32" w14:textId="77777777" w:rsidR="00EF5752" w:rsidRPr="0094730A" w:rsidRDefault="00EF5752" w:rsidP="00B924CC">
      <w:pPr>
        <w:pStyle w:val="Heading1notnumbered"/>
      </w:pPr>
      <w:bookmarkStart w:id="3" w:name="_Toc158287437"/>
      <w:bookmarkStart w:id="4" w:name="_Toc160109468"/>
      <w:r w:rsidRPr="0094730A">
        <w:lastRenderedPageBreak/>
        <w:t>Introduction</w:t>
      </w:r>
      <w:bookmarkEnd w:id="1"/>
      <w:bookmarkEnd w:id="2"/>
      <w:bookmarkEnd w:id="3"/>
      <w:bookmarkEnd w:id="4"/>
    </w:p>
    <w:p w14:paraId="29590DA6" w14:textId="7A7FAAEA" w:rsidR="00B435EF" w:rsidRPr="006E73E4" w:rsidRDefault="00B435EF" w:rsidP="00CB4AEA">
      <w:r w:rsidRPr="006E73E4">
        <w:t>This document presents a summary of insights from the 30</w:t>
      </w:r>
      <w:r w:rsidR="00E46C6A">
        <w:t> June </w:t>
      </w:r>
      <w:r w:rsidRPr="006E73E4">
        <w:t xml:space="preserve">2022 actuarial valuation of the Australian income support and </w:t>
      </w:r>
      <w:r w:rsidR="00011958">
        <w:t>s</w:t>
      </w:r>
      <w:r w:rsidRPr="006E73E4">
        <w:t xml:space="preserve">ocial </w:t>
      </w:r>
      <w:r w:rsidR="00011958">
        <w:t>s</w:t>
      </w:r>
      <w:r w:rsidRPr="006E73E4">
        <w:t>ecurity system. The actuarial valuation is part of the Australian Priority Investment Approach to Welfare (the Approach), implemented by the Department of Social Services</w:t>
      </w:r>
      <w:r w:rsidR="004E5596">
        <w:t xml:space="preserve">. </w:t>
      </w:r>
      <w:r w:rsidRPr="006E73E4">
        <w:t xml:space="preserve">The Approach uses actuarial analysis to support a better understanding of how Australians use the social security system, both at the population level and for various groups within the population. This is the fourth such annual valuation carried out with the assistance of the office of the Australian Government Actuary. </w:t>
      </w:r>
      <w:r w:rsidR="00A40476">
        <w:t>The report</w:t>
      </w:r>
      <w:r w:rsidRPr="006E73E4">
        <w:t xml:space="preserve"> marks a change from the previous valuation reports, with a greater focus on presenting an overview </w:t>
      </w:r>
      <w:r w:rsidR="00A40476">
        <w:t>of</w:t>
      </w:r>
      <w:r w:rsidR="00A40476" w:rsidRPr="006E73E4">
        <w:t xml:space="preserve"> </w:t>
      </w:r>
      <w:r w:rsidRPr="006E73E4">
        <w:t xml:space="preserve">insights at different life stages. The overview of each life stage is necessarily brief for the purposes of this </w:t>
      </w:r>
      <w:r w:rsidR="00A40476">
        <w:t>report</w:t>
      </w:r>
      <w:r w:rsidRPr="006E73E4">
        <w:t>, but gives an indication of the sorts of insights that are possible when applying an actuarial modelling approach to social security data and experience.</w:t>
      </w:r>
    </w:p>
    <w:p w14:paraId="586D6A3A" w14:textId="0E9044E9" w:rsidR="00B435EF" w:rsidRPr="006E73E4" w:rsidRDefault="00B435EF" w:rsidP="006E73E4">
      <w:pPr>
        <w:rPr>
          <w:rFonts w:asciiTheme="minorHAnsi" w:hAnsi="Calibri"/>
          <w:color w:val="000000" w:themeColor="text1"/>
          <w:kern w:val="24"/>
        </w:rPr>
      </w:pPr>
      <w:r w:rsidRPr="006E73E4">
        <w:rPr>
          <w:rFonts w:asciiTheme="minorHAnsi" w:hAnsi="Calibri"/>
          <w:color w:val="000000" w:themeColor="text1"/>
          <w:kern w:val="24"/>
        </w:rPr>
        <w:t>The valuation is based on the concept of a Lifetime Cost, which is the expected net present value of all future in</w:t>
      </w:r>
      <w:r w:rsidR="00B04FCE">
        <w:rPr>
          <w:rFonts w:asciiTheme="minorHAnsi" w:hAnsi="Calibri"/>
          <w:color w:val="000000" w:themeColor="text1"/>
          <w:kern w:val="24"/>
        </w:rPr>
        <w:noBreakHyphen/>
      </w:r>
      <w:r w:rsidRPr="006E73E4">
        <w:rPr>
          <w:rFonts w:asciiTheme="minorHAnsi" w:hAnsi="Calibri"/>
          <w:color w:val="000000" w:themeColor="text1"/>
          <w:kern w:val="24"/>
        </w:rPr>
        <w:t xml:space="preserve">scope payments made in respect of the model population over their lifetimes. The model population includes both the entire resident Australian population, and all </w:t>
      </w:r>
      <w:r w:rsidR="001C4D1A">
        <w:rPr>
          <w:rFonts w:asciiTheme="minorHAnsi" w:hAnsi="Calibri"/>
          <w:color w:val="000000" w:themeColor="text1"/>
          <w:kern w:val="24"/>
        </w:rPr>
        <w:t xml:space="preserve">people living </w:t>
      </w:r>
      <w:r w:rsidRPr="006E73E4">
        <w:rPr>
          <w:rFonts w:asciiTheme="minorHAnsi" w:hAnsi="Calibri"/>
          <w:color w:val="000000" w:themeColor="text1"/>
          <w:kern w:val="24"/>
        </w:rPr>
        <w:t xml:space="preserve">overseas </w:t>
      </w:r>
      <w:r w:rsidR="001C4D1A">
        <w:rPr>
          <w:rFonts w:asciiTheme="minorHAnsi" w:hAnsi="Calibri"/>
          <w:color w:val="000000" w:themeColor="text1"/>
          <w:kern w:val="24"/>
        </w:rPr>
        <w:t>receiving</w:t>
      </w:r>
      <w:r w:rsidRPr="006E73E4">
        <w:rPr>
          <w:rFonts w:asciiTheme="minorHAnsi" w:hAnsi="Calibri"/>
          <w:color w:val="000000" w:themeColor="text1"/>
          <w:kern w:val="24"/>
        </w:rPr>
        <w:t xml:space="preserve"> social security payments, at 30</w:t>
      </w:r>
      <w:r w:rsidR="00E46C6A">
        <w:rPr>
          <w:rFonts w:asciiTheme="minorHAnsi" w:hAnsi="Calibri"/>
          <w:color w:val="000000" w:themeColor="text1"/>
          <w:kern w:val="24"/>
        </w:rPr>
        <w:t> </w:t>
      </w:r>
      <w:r w:rsidR="00E46C6A">
        <w:rPr>
          <w:rFonts w:asciiTheme="minorHAnsi" w:hAnsi="Calibri"/>
          <w:color w:val="000000" w:themeColor="text1"/>
          <w:kern w:val="24"/>
        </w:rPr>
        <w:t>June</w:t>
      </w:r>
      <w:r w:rsidR="00E46C6A">
        <w:rPr>
          <w:rFonts w:asciiTheme="minorHAnsi" w:hAnsi="Calibri"/>
          <w:color w:val="000000" w:themeColor="text1"/>
          <w:kern w:val="24"/>
        </w:rPr>
        <w:t> </w:t>
      </w:r>
      <w:r w:rsidRPr="006E73E4">
        <w:rPr>
          <w:rFonts w:asciiTheme="minorHAnsi" w:hAnsi="Calibri"/>
          <w:color w:val="000000" w:themeColor="text1"/>
          <w:kern w:val="24"/>
        </w:rPr>
        <w:t>2022.</w:t>
      </w:r>
    </w:p>
    <w:p w14:paraId="78911380" w14:textId="0ECCD4A3" w:rsidR="00B435EF" w:rsidRPr="006E73E4" w:rsidRDefault="00B435EF" w:rsidP="006E73E4">
      <w:pPr>
        <w:rPr>
          <w:rFonts w:asciiTheme="minorHAnsi" w:hAnsi="Calibri"/>
          <w:color w:val="000000" w:themeColor="text1"/>
          <w:kern w:val="24"/>
        </w:rPr>
      </w:pPr>
      <w:r w:rsidRPr="006E73E4">
        <w:rPr>
          <w:rFonts w:asciiTheme="minorHAnsi" w:hAnsi="Calibri"/>
          <w:color w:val="000000" w:themeColor="text1"/>
          <w:kern w:val="24"/>
        </w:rPr>
        <w:t xml:space="preserve">The actuarial model projects the future possible interactions of those in the model population with the social security system. Detailed data is required for this projection. The data is provided by </w:t>
      </w:r>
      <w:r w:rsidR="004E5596">
        <w:rPr>
          <w:rFonts w:asciiTheme="minorHAnsi" w:hAnsi="Calibri"/>
          <w:color w:val="000000" w:themeColor="text1"/>
          <w:kern w:val="24"/>
        </w:rPr>
        <w:t xml:space="preserve">the Department of Social Services </w:t>
      </w:r>
      <w:r w:rsidRPr="006E73E4">
        <w:rPr>
          <w:rFonts w:asciiTheme="minorHAnsi" w:hAnsi="Calibri"/>
          <w:color w:val="000000" w:themeColor="text1"/>
          <w:kern w:val="24"/>
        </w:rPr>
        <w:t>in the form of a longitudinal dataset covering social security use in Australia. Together with a range of other supplementary datasets, it enables projections of future transitions into and out of the social security population, transfers within the social security system, and the type and amount of social security payments made.</w:t>
      </w:r>
    </w:p>
    <w:p w14:paraId="70A60CEF" w14:textId="126139FC" w:rsidR="00B435EF" w:rsidRPr="006E73E4" w:rsidRDefault="00B435EF" w:rsidP="006E73E4">
      <w:pPr>
        <w:rPr>
          <w:rFonts w:asciiTheme="minorHAnsi" w:hAnsi="Calibri"/>
          <w:color w:val="000000" w:themeColor="text1"/>
          <w:kern w:val="24"/>
        </w:rPr>
      </w:pPr>
      <w:r w:rsidRPr="006E73E4">
        <w:rPr>
          <w:rFonts w:asciiTheme="minorHAnsi" w:hAnsi="Calibri"/>
          <w:color w:val="000000" w:themeColor="text1"/>
          <w:kern w:val="24"/>
        </w:rPr>
        <w:t>The total Lifetime Cost for the model population at 30</w:t>
      </w:r>
      <w:r w:rsidR="00E46C6A">
        <w:rPr>
          <w:rFonts w:asciiTheme="minorHAnsi" w:hAnsi="Calibri"/>
          <w:color w:val="000000" w:themeColor="text1"/>
          <w:kern w:val="24"/>
        </w:rPr>
        <w:t> </w:t>
      </w:r>
      <w:r w:rsidR="00E46C6A">
        <w:rPr>
          <w:rFonts w:asciiTheme="minorHAnsi" w:hAnsi="Calibri"/>
          <w:color w:val="000000" w:themeColor="text1"/>
          <w:kern w:val="24"/>
        </w:rPr>
        <w:t>June</w:t>
      </w:r>
      <w:r w:rsidR="00E46C6A">
        <w:rPr>
          <w:rFonts w:asciiTheme="minorHAnsi" w:hAnsi="Calibri"/>
          <w:color w:val="000000" w:themeColor="text1"/>
          <w:kern w:val="24"/>
        </w:rPr>
        <w:t> </w:t>
      </w:r>
      <w:r w:rsidRPr="006E73E4">
        <w:rPr>
          <w:rFonts w:asciiTheme="minorHAnsi" w:hAnsi="Calibri"/>
          <w:color w:val="000000" w:themeColor="text1"/>
          <w:kern w:val="24"/>
        </w:rPr>
        <w:t>2022 is estimated to be $5,553</w:t>
      </w:r>
      <w:r w:rsidR="00790C64">
        <w:rPr>
          <w:rFonts w:asciiTheme="minorHAnsi" w:hAnsi="Calibri"/>
          <w:color w:val="000000" w:themeColor="text1"/>
          <w:kern w:val="24"/>
        </w:rPr>
        <w:t> </w:t>
      </w:r>
      <w:r w:rsidR="00790C64">
        <w:rPr>
          <w:rFonts w:asciiTheme="minorHAnsi" w:hAnsi="Calibri"/>
          <w:color w:val="000000" w:themeColor="text1"/>
          <w:kern w:val="24"/>
        </w:rPr>
        <w:t>billion</w:t>
      </w:r>
      <w:r w:rsidRPr="006E73E4">
        <w:rPr>
          <w:rFonts w:asciiTheme="minorHAnsi" w:hAnsi="Calibri"/>
          <w:color w:val="000000" w:themeColor="text1"/>
          <w:kern w:val="24"/>
        </w:rPr>
        <w:t>, which equates to $21</w:t>
      </w:r>
      <w:r w:rsidR="00382711">
        <w:rPr>
          <w:rFonts w:asciiTheme="minorHAnsi" w:hAnsi="Calibri"/>
          <w:color w:val="000000" w:themeColor="text1"/>
          <w:kern w:val="24"/>
        </w:rPr>
        <w:t>3</w:t>
      </w:r>
      <w:r w:rsidRPr="006E73E4">
        <w:rPr>
          <w:rFonts w:asciiTheme="minorHAnsi" w:hAnsi="Calibri"/>
          <w:color w:val="000000" w:themeColor="text1"/>
          <w:kern w:val="24"/>
        </w:rPr>
        <w:t xml:space="preserve">,000 per person in the model </w:t>
      </w:r>
      <w:r w:rsidRPr="006E73E4">
        <w:rPr>
          <w:rFonts w:asciiTheme="minorHAnsi" w:hAnsi="Calibri"/>
          <w:color w:val="000000" w:themeColor="text1"/>
          <w:kern w:val="24"/>
        </w:rPr>
        <w:t>population. This is an increase of $13</w:t>
      </w:r>
      <w:r w:rsidR="00F6328F">
        <w:rPr>
          <w:rFonts w:asciiTheme="minorHAnsi" w:hAnsi="Calibri"/>
          <w:color w:val="000000" w:themeColor="text1"/>
          <w:kern w:val="24"/>
        </w:rPr>
        <w:t>0</w:t>
      </w:r>
      <w:r w:rsidR="00790C64">
        <w:rPr>
          <w:rFonts w:asciiTheme="minorHAnsi" w:hAnsi="Calibri"/>
          <w:color w:val="000000" w:themeColor="text1"/>
          <w:kern w:val="24"/>
        </w:rPr>
        <w:t> </w:t>
      </w:r>
      <w:r w:rsidR="00790C64">
        <w:rPr>
          <w:rFonts w:asciiTheme="minorHAnsi" w:hAnsi="Calibri"/>
          <w:color w:val="000000" w:themeColor="text1"/>
          <w:kern w:val="24"/>
        </w:rPr>
        <w:t>billion</w:t>
      </w:r>
      <w:r w:rsidRPr="006E73E4">
        <w:rPr>
          <w:rFonts w:asciiTheme="minorHAnsi" w:hAnsi="Calibri"/>
          <w:color w:val="000000" w:themeColor="text1"/>
          <w:kern w:val="24"/>
        </w:rPr>
        <w:t xml:space="preserve"> (2.4%) from the 30</w:t>
      </w:r>
      <w:r w:rsidR="00E46C6A">
        <w:rPr>
          <w:rFonts w:asciiTheme="minorHAnsi" w:hAnsi="Calibri"/>
          <w:color w:val="000000" w:themeColor="text1"/>
          <w:kern w:val="24"/>
        </w:rPr>
        <w:t> </w:t>
      </w:r>
      <w:r w:rsidR="00E46C6A">
        <w:rPr>
          <w:rFonts w:asciiTheme="minorHAnsi" w:hAnsi="Calibri"/>
          <w:color w:val="000000" w:themeColor="text1"/>
          <w:kern w:val="24"/>
        </w:rPr>
        <w:t>June</w:t>
      </w:r>
      <w:r w:rsidR="00E46C6A">
        <w:rPr>
          <w:rFonts w:asciiTheme="minorHAnsi" w:hAnsi="Calibri"/>
          <w:color w:val="000000" w:themeColor="text1"/>
          <w:kern w:val="24"/>
        </w:rPr>
        <w:t> </w:t>
      </w:r>
      <w:r w:rsidRPr="006E73E4">
        <w:rPr>
          <w:rFonts w:asciiTheme="minorHAnsi" w:hAnsi="Calibri"/>
          <w:color w:val="000000" w:themeColor="text1"/>
          <w:kern w:val="24"/>
        </w:rPr>
        <w:t>2021 valuation of $5,422</w:t>
      </w:r>
      <w:r w:rsidR="00790C64">
        <w:rPr>
          <w:rFonts w:asciiTheme="minorHAnsi" w:hAnsi="Calibri"/>
          <w:color w:val="000000" w:themeColor="text1"/>
          <w:kern w:val="24"/>
        </w:rPr>
        <w:t> </w:t>
      </w:r>
      <w:r w:rsidR="00790C64">
        <w:rPr>
          <w:rFonts w:asciiTheme="minorHAnsi" w:hAnsi="Calibri"/>
          <w:color w:val="000000" w:themeColor="text1"/>
          <w:kern w:val="24"/>
        </w:rPr>
        <w:t>billion</w:t>
      </w:r>
      <w:r w:rsidRPr="006E73E4">
        <w:rPr>
          <w:rFonts w:asciiTheme="minorHAnsi" w:hAnsi="Calibri"/>
          <w:color w:val="000000" w:themeColor="text1"/>
          <w:kern w:val="24"/>
        </w:rPr>
        <w:t>, which has been rebased to align with the 2022 modelling approach. There are various factors contributing to this increase, including population growth, another year of expected mortality improvement, and another year of indexation on social security payments. Offsetting these factors are lower assumed rates of long</w:t>
      </w:r>
      <w:r w:rsidR="00B04FCE">
        <w:rPr>
          <w:rFonts w:asciiTheme="minorHAnsi" w:hAnsi="Calibri"/>
          <w:color w:val="000000" w:themeColor="text1"/>
          <w:kern w:val="24"/>
        </w:rPr>
        <w:noBreakHyphen/>
      </w:r>
      <w:r w:rsidRPr="006E73E4">
        <w:rPr>
          <w:rFonts w:asciiTheme="minorHAnsi" w:hAnsi="Calibri"/>
          <w:color w:val="000000" w:themeColor="text1"/>
          <w:kern w:val="24"/>
        </w:rPr>
        <w:t>term payment indexation, and lower rates of assumed unemployment which consequently decreases long</w:t>
      </w:r>
      <w:r w:rsidR="00B04FCE">
        <w:rPr>
          <w:rFonts w:asciiTheme="minorHAnsi" w:hAnsi="Calibri"/>
          <w:color w:val="000000" w:themeColor="text1"/>
          <w:kern w:val="24"/>
        </w:rPr>
        <w:noBreakHyphen/>
      </w:r>
      <w:r w:rsidRPr="006E73E4">
        <w:rPr>
          <w:rFonts w:asciiTheme="minorHAnsi" w:hAnsi="Calibri"/>
          <w:color w:val="000000" w:themeColor="text1"/>
          <w:kern w:val="24"/>
        </w:rPr>
        <w:t>term social security usage.</w:t>
      </w:r>
    </w:p>
    <w:p w14:paraId="2D4B1B58" w14:textId="7440EAF2" w:rsidR="00B435EF" w:rsidRPr="006E73E4" w:rsidRDefault="00B435EF" w:rsidP="006E73E4">
      <w:pPr>
        <w:rPr>
          <w:rFonts w:asciiTheme="minorHAnsi" w:hAnsi="Calibri"/>
          <w:color w:val="000000" w:themeColor="text1"/>
          <w:kern w:val="24"/>
        </w:rPr>
      </w:pPr>
      <w:r w:rsidRPr="006E73E4">
        <w:rPr>
          <w:rFonts w:asciiTheme="minorHAnsi" w:hAnsi="Calibri"/>
          <w:color w:val="000000" w:themeColor="text1"/>
          <w:kern w:val="24"/>
        </w:rPr>
        <w:t>The major contributor to the Lifetime Cost is the Age Pension ($3.3</w:t>
      </w:r>
      <w:r w:rsidR="00790C64">
        <w:rPr>
          <w:rFonts w:asciiTheme="minorHAnsi" w:hAnsi="Calibri"/>
          <w:color w:val="000000" w:themeColor="text1"/>
          <w:kern w:val="24"/>
        </w:rPr>
        <w:t> </w:t>
      </w:r>
      <w:r w:rsidR="00790C64">
        <w:rPr>
          <w:rFonts w:asciiTheme="minorHAnsi" w:hAnsi="Calibri"/>
          <w:color w:val="000000" w:themeColor="text1"/>
          <w:kern w:val="24"/>
        </w:rPr>
        <w:t>trillion</w:t>
      </w:r>
      <w:r w:rsidRPr="006E73E4">
        <w:rPr>
          <w:rFonts w:asciiTheme="minorHAnsi" w:hAnsi="Calibri"/>
          <w:color w:val="000000" w:themeColor="text1"/>
          <w:kern w:val="24"/>
        </w:rPr>
        <w:t xml:space="preserve">, or </w:t>
      </w:r>
      <w:r w:rsidR="00812B00">
        <w:rPr>
          <w:rFonts w:asciiTheme="minorHAnsi" w:hAnsi="Calibri"/>
          <w:color w:val="000000" w:themeColor="text1"/>
          <w:kern w:val="24"/>
        </w:rPr>
        <w:t>59</w:t>
      </w:r>
      <w:r w:rsidRPr="006E73E4">
        <w:rPr>
          <w:rFonts w:asciiTheme="minorHAnsi" w:hAnsi="Calibri"/>
          <w:color w:val="000000" w:themeColor="text1"/>
          <w:kern w:val="24"/>
        </w:rPr>
        <w:t>% of the total). The significant influence of the Age Pension is due to [1] the large number of people currently receiving the Age Pension; [2] the large number of people who will receive the Age Pension in the future; [3] the relatively high annual payments being received; and [4] the long duration for which payments are received (18</w:t>
      </w:r>
      <w:r w:rsidR="00E46C6A">
        <w:rPr>
          <w:rFonts w:asciiTheme="minorHAnsi" w:hAnsi="Calibri"/>
          <w:color w:val="000000" w:themeColor="text1"/>
          <w:kern w:val="24"/>
        </w:rPr>
        <w:t> </w:t>
      </w:r>
      <w:r w:rsidR="00E46C6A">
        <w:rPr>
          <w:rFonts w:asciiTheme="minorHAnsi" w:hAnsi="Calibri"/>
          <w:color w:val="000000" w:themeColor="text1"/>
          <w:kern w:val="24"/>
        </w:rPr>
        <w:t>year</w:t>
      </w:r>
      <w:r w:rsidRPr="006E73E4">
        <w:rPr>
          <w:rFonts w:asciiTheme="minorHAnsi" w:hAnsi="Calibri"/>
          <w:color w:val="000000" w:themeColor="text1"/>
          <w:kern w:val="24"/>
        </w:rPr>
        <w:t>s, on average). The next largest contributor is the Disability Support Pension ($56</w:t>
      </w:r>
      <w:r w:rsidR="00D516DE">
        <w:rPr>
          <w:rFonts w:asciiTheme="minorHAnsi" w:hAnsi="Calibri"/>
          <w:color w:val="000000" w:themeColor="text1"/>
          <w:kern w:val="24"/>
        </w:rPr>
        <w:t>0</w:t>
      </w:r>
      <w:r w:rsidR="00790C64">
        <w:rPr>
          <w:rFonts w:asciiTheme="minorHAnsi" w:hAnsi="Calibri"/>
          <w:color w:val="000000" w:themeColor="text1"/>
          <w:kern w:val="24"/>
        </w:rPr>
        <w:t> </w:t>
      </w:r>
      <w:r w:rsidR="00790C64">
        <w:rPr>
          <w:rFonts w:asciiTheme="minorHAnsi" w:hAnsi="Calibri"/>
          <w:color w:val="000000" w:themeColor="text1"/>
          <w:kern w:val="24"/>
        </w:rPr>
        <w:t>billion</w:t>
      </w:r>
      <w:r w:rsidRPr="006E73E4">
        <w:rPr>
          <w:rFonts w:asciiTheme="minorHAnsi" w:hAnsi="Calibri"/>
          <w:color w:val="000000" w:themeColor="text1"/>
          <w:kern w:val="24"/>
        </w:rPr>
        <w:t xml:space="preserve">, or 10% of the total). Other income support payments and </w:t>
      </w:r>
      <w:r w:rsidR="00A32C30">
        <w:rPr>
          <w:rFonts w:asciiTheme="minorHAnsi" w:hAnsi="Calibri"/>
          <w:color w:val="000000" w:themeColor="text1"/>
          <w:kern w:val="24"/>
        </w:rPr>
        <w:t>supplementary family</w:t>
      </w:r>
      <w:r w:rsidRPr="006E73E4">
        <w:rPr>
          <w:rFonts w:asciiTheme="minorHAnsi" w:hAnsi="Calibri"/>
          <w:color w:val="000000" w:themeColor="text1"/>
          <w:kern w:val="24"/>
        </w:rPr>
        <w:t xml:space="preserve"> payments are also significant contributors to the total Lifetime Cost.</w:t>
      </w:r>
    </w:p>
    <w:p w14:paraId="3564D5D0" w14:textId="77777777" w:rsidR="00B435EF" w:rsidRPr="006E73E4" w:rsidRDefault="00B435EF" w:rsidP="006E73E4">
      <w:pPr>
        <w:rPr>
          <w:rFonts w:asciiTheme="minorHAnsi" w:hAnsi="Calibri"/>
          <w:color w:val="000000" w:themeColor="text1"/>
          <w:kern w:val="24"/>
        </w:rPr>
      </w:pPr>
      <w:r w:rsidRPr="006E73E4">
        <w:rPr>
          <w:rFonts w:asciiTheme="minorHAnsi" w:hAnsi="Calibri"/>
          <w:color w:val="000000" w:themeColor="text1"/>
          <w:kern w:val="24"/>
        </w:rPr>
        <w:t>Various individual characteristics are correlated with higher social security use in the future. Women are generally expected to have a higher Lifetime Cost for family and parenting payments, and for the Age Pension. Age is influential across most categories of social security, in particular for Disability Support Pension where, for example, the age of onset of disability has a bearing on the future duration of support.</w:t>
      </w:r>
    </w:p>
    <w:p w14:paraId="786B540A" w14:textId="48916D56" w:rsidR="00B435EF" w:rsidRPr="006E73E4" w:rsidRDefault="00B435EF" w:rsidP="006E73E4">
      <w:pPr>
        <w:rPr>
          <w:rFonts w:asciiTheme="minorHAnsi" w:hAnsi="Calibri"/>
          <w:color w:val="000000" w:themeColor="text1"/>
          <w:kern w:val="24"/>
        </w:rPr>
      </w:pPr>
      <w:r w:rsidRPr="006E73E4">
        <w:rPr>
          <w:rFonts w:asciiTheme="minorHAnsi" w:hAnsi="Calibri"/>
          <w:color w:val="000000" w:themeColor="text1"/>
          <w:kern w:val="24"/>
        </w:rPr>
        <w:t xml:space="preserve">The duration of support directly influences the Lifetime Cost. For example, people currently receiving income support are expected to spend a greater proportion of their future lifetime receiving income support, than those not currently </w:t>
      </w:r>
      <w:r w:rsidR="006A49EB">
        <w:rPr>
          <w:rFonts w:asciiTheme="minorHAnsi" w:hAnsi="Calibri"/>
          <w:color w:val="000000" w:themeColor="text1"/>
          <w:kern w:val="24"/>
        </w:rPr>
        <w:t>receiving</w:t>
      </w:r>
      <w:r w:rsidRPr="006E73E4">
        <w:rPr>
          <w:rFonts w:asciiTheme="minorHAnsi" w:hAnsi="Calibri"/>
          <w:color w:val="000000" w:themeColor="text1"/>
          <w:kern w:val="24"/>
        </w:rPr>
        <w:t xml:space="preserve"> income support. This is particularly the case for people receiving Carer Payment and Disability Support Pension.</w:t>
      </w:r>
    </w:p>
    <w:p w14:paraId="22FC0CA5" w14:textId="30F9AF48" w:rsidR="00B04FCE" w:rsidRDefault="00B435EF" w:rsidP="006E73E4">
      <w:pPr>
        <w:rPr>
          <w:rFonts w:asciiTheme="minorHAnsi" w:hAnsi="Calibri"/>
          <w:color w:val="000000" w:themeColor="text1"/>
          <w:kern w:val="24"/>
        </w:rPr>
      </w:pPr>
      <w:r w:rsidRPr="006E73E4">
        <w:rPr>
          <w:rFonts w:asciiTheme="minorHAnsi" w:hAnsi="Calibri"/>
          <w:color w:val="000000" w:themeColor="text1"/>
          <w:kern w:val="24"/>
        </w:rPr>
        <w:t xml:space="preserve">It is important to note that the estimate of the Lifetime Cost is subject to various sources of uncertainty. For example, how changes in mortality emerge over time can have a significant impact on future social security usage, </w:t>
      </w:r>
      <w:r w:rsidRPr="006E73E4">
        <w:rPr>
          <w:rFonts w:asciiTheme="minorHAnsi" w:hAnsi="Calibri"/>
          <w:color w:val="000000" w:themeColor="text1"/>
          <w:kern w:val="24"/>
        </w:rPr>
        <w:lastRenderedPageBreak/>
        <w:t>notably the Age Pension. The greater the future improvement in mortality, then the higher the future life expectancy, and longer the duration on payments that results. Changes in assumed indexation rates such as Average</w:t>
      </w:r>
      <w:r w:rsidR="00A860AA">
        <w:rPr>
          <w:rFonts w:asciiTheme="minorHAnsi" w:hAnsi="Calibri"/>
          <w:color w:val="000000" w:themeColor="text1"/>
          <w:kern w:val="24"/>
        </w:rPr>
        <w:t> </w:t>
      </w:r>
      <w:r w:rsidRPr="006E73E4">
        <w:rPr>
          <w:rFonts w:asciiTheme="minorHAnsi" w:hAnsi="Calibri"/>
          <w:color w:val="000000" w:themeColor="text1"/>
          <w:kern w:val="24"/>
        </w:rPr>
        <w:t xml:space="preserve">Weekly Earnings (AWE) directly impact the size of payments made, and assumptions about future Cost Price Index (CPI) have a significant effect on </w:t>
      </w:r>
      <w:r w:rsidR="00A32C30">
        <w:rPr>
          <w:rFonts w:asciiTheme="minorHAnsi" w:hAnsi="Calibri"/>
          <w:color w:val="000000" w:themeColor="text1"/>
          <w:kern w:val="24"/>
        </w:rPr>
        <w:t>supplementary</w:t>
      </w:r>
      <w:r w:rsidRPr="006E73E4">
        <w:rPr>
          <w:rFonts w:asciiTheme="minorHAnsi" w:hAnsi="Calibri"/>
          <w:color w:val="000000" w:themeColor="text1"/>
          <w:kern w:val="24"/>
        </w:rPr>
        <w:t xml:space="preserve"> payment categories. Changes in the unemployment rate affect the number of people both entering and exiting social security. This</w:t>
      </w:r>
      <w:r w:rsidR="00A860AA">
        <w:rPr>
          <w:rFonts w:asciiTheme="minorHAnsi" w:hAnsi="Calibri"/>
          <w:color w:val="000000" w:themeColor="text1"/>
          <w:kern w:val="24"/>
        </w:rPr>
        <w:t> </w:t>
      </w:r>
      <w:r w:rsidRPr="006E73E4">
        <w:rPr>
          <w:rFonts w:asciiTheme="minorHAnsi" w:hAnsi="Calibri"/>
          <w:color w:val="000000" w:themeColor="text1"/>
          <w:kern w:val="24"/>
        </w:rPr>
        <w:t xml:space="preserve">predominantly impacts </w:t>
      </w:r>
      <w:r w:rsidR="00ED7DE2">
        <w:rPr>
          <w:rFonts w:asciiTheme="minorHAnsi" w:hAnsi="Calibri"/>
          <w:color w:val="000000" w:themeColor="text1"/>
          <w:kern w:val="24"/>
        </w:rPr>
        <w:t>w</w:t>
      </w:r>
      <w:r w:rsidRPr="006E73E4">
        <w:rPr>
          <w:rFonts w:asciiTheme="minorHAnsi" w:hAnsi="Calibri"/>
          <w:color w:val="000000" w:themeColor="text1"/>
          <w:kern w:val="24"/>
        </w:rPr>
        <w:t xml:space="preserve">orking </w:t>
      </w:r>
      <w:r w:rsidR="00ED7DE2">
        <w:rPr>
          <w:rFonts w:asciiTheme="minorHAnsi" w:hAnsi="Calibri"/>
          <w:color w:val="000000" w:themeColor="text1"/>
          <w:kern w:val="24"/>
        </w:rPr>
        <w:t>a</w:t>
      </w:r>
      <w:r w:rsidRPr="006E73E4">
        <w:rPr>
          <w:rFonts w:asciiTheme="minorHAnsi" w:hAnsi="Calibri"/>
          <w:color w:val="000000" w:themeColor="text1"/>
          <w:kern w:val="24"/>
        </w:rPr>
        <w:t>ge and family payments, with flow</w:t>
      </w:r>
      <w:r w:rsidR="00B04FCE">
        <w:rPr>
          <w:rFonts w:asciiTheme="minorHAnsi" w:hAnsi="Calibri"/>
          <w:color w:val="000000" w:themeColor="text1"/>
          <w:kern w:val="24"/>
        </w:rPr>
        <w:noBreakHyphen/>
      </w:r>
      <w:r w:rsidRPr="006E73E4">
        <w:rPr>
          <w:rFonts w:asciiTheme="minorHAnsi" w:hAnsi="Calibri"/>
          <w:color w:val="000000" w:themeColor="text1"/>
          <w:kern w:val="24"/>
        </w:rPr>
        <w:t>on impact to other payments. As one example, if future economic conditions were more alike those assumed in the 2023 Intergenerational Report rather than that assumed for this 30</w:t>
      </w:r>
      <w:r w:rsidR="00E46C6A">
        <w:rPr>
          <w:rFonts w:asciiTheme="minorHAnsi" w:hAnsi="Calibri"/>
          <w:color w:val="000000" w:themeColor="text1"/>
          <w:kern w:val="24"/>
        </w:rPr>
        <w:t> </w:t>
      </w:r>
      <w:r w:rsidR="00E46C6A">
        <w:rPr>
          <w:rFonts w:asciiTheme="minorHAnsi" w:hAnsi="Calibri"/>
          <w:color w:val="000000" w:themeColor="text1"/>
          <w:kern w:val="24"/>
        </w:rPr>
        <w:t>June</w:t>
      </w:r>
      <w:r w:rsidR="00E46C6A">
        <w:rPr>
          <w:rFonts w:asciiTheme="minorHAnsi" w:hAnsi="Calibri"/>
          <w:color w:val="000000" w:themeColor="text1"/>
          <w:kern w:val="24"/>
        </w:rPr>
        <w:t> </w:t>
      </w:r>
      <w:r w:rsidRPr="006E73E4">
        <w:rPr>
          <w:rFonts w:asciiTheme="minorHAnsi" w:hAnsi="Calibri"/>
          <w:color w:val="000000" w:themeColor="text1"/>
          <w:kern w:val="24"/>
        </w:rPr>
        <w:t>2022 valuation, then the Lifetime Cost would decrease by approximately $92</w:t>
      </w:r>
      <w:r w:rsidR="00790C64">
        <w:rPr>
          <w:rFonts w:asciiTheme="minorHAnsi" w:hAnsi="Calibri"/>
          <w:color w:val="000000" w:themeColor="text1"/>
          <w:kern w:val="24"/>
        </w:rPr>
        <w:t> </w:t>
      </w:r>
      <w:r w:rsidR="00790C64">
        <w:rPr>
          <w:rFonts w:asciiTheme="minorHAnsi" w:hAnsi="Calibri"/>
          <w:color w:val="000000" w:themeColor="text1"/>
          <w:kern w:val="24"/>
        </w:rPr>
        <w:t>billion</w:t>
      </w:r>
      <w:r w:rsidRPr="006E73E4">
        <w:rPr>
          <w:rFonts w:asciiTheme="minorHAnsi" w:hAnsi="Calibri"/>
          <w:color w:val="000000" w:themeColor="text1"/>
          <w:kern w:val="24"/>
        </w:rPr>
        <w:t xml:space="preserve"> (1.7%). As a further source of uncertainty, the behaviour and response </w:t>
      </w:r>
      <w:r w:rsidR="00F7641F">
        <w:rPr>
          <w:rFonts w:asciiTheme="minorHAnsi" w:hAnsi="Calibri"/>
          <w:color w:val="000000" w:themeColor="text1"/>
          <w:kern w:val="24"/>
        </w:rPr>
        <w:t>of</w:t>
      </w:r>
      <w:r w:rsidRPr="006E73E4">
        <w:rPr>
          <w:rFonts w:asciiTheme="minorHAnsi" w:hAnsi="Calibri"/>
          <w:color w:val="000000" w:themeColor="text1"/>
          <w:kern w:val="24"/>
        </w:rPr>
        <w:t xml:space="preserve"> </w:t>
      </w:r>
      <w:r w:rsidR="001C4D1A">
        <w:rPr>
          <w:rFonts w:asciiTheme="minorHAnsi" w:hAnsi="Calibri"/>
          <w:color w:val="000000" w:themeColor="text1"/>
          <w:kern w:val="24"/>
        </w:rPr>
        <w:t xml:space="preserve">people receiving </w:t>
      </w:r>
      <w:r w:rsidRPr="006E73E4">
        <w:rPr>
          <w:rFonts w:asciiTheme="minorHAnsi" w:hAnsi="Calibri"/>
          <w:color w:val="000000" w:themeColor="text1"/>
          <w:kern w:val="24"/>
        </w:rPr>
        <w:t>social security</w:t>
      </w:r>
      <w:r w:rsidR="001C4D1A">
        <w:rPr>
          <w:rFonts w:asciiTheme="minorHAnsi" w:hAnsi="Calibri"/>
          <w:color w:val="000000" w:themeColor="text1"/>
          <w:kern w:val="24"/>
        </w:rPr>
        <w:t xml:space="preserve"> payments currently and in the future</w:t>
      </w:r>
      <w:r w:rsidRPr="006E73E4">
        <w:rPr>
          <w:rFonts w:asciiTheme="minorHAnsi" w:hAnsi="Calibri"/>
          <w:color w:val="000000" w:themeColor="text1"/>
          <w:kern w:val="24"/>
        </w:rPr>
        <w:t xml:space="preserve"> may also change over time </w:t>
      </w:r>
      <w:r w:rsidR="00F7641F">
        <w:rPr>
          <w:rFonts w:asciiTheme="minorHAnsi" w:hAnsi="Calibri"/>
          <w:color w:val="000000" w:themeColor="text1"/>
          <w:kern w:val="24"/>
        </w:rPr>
        <w:t>as</w:t>
      </w:r>
      <w:r w:rsidRPr="006E73E4">
        <w:rPr>
          <w:rFonts w:asciiTheme="minorHAnsi" w:hAnsi="Calibri"/>
          <w:color w:val="000000" w:themeColor="text1"/>
          <w:kern w:val="24"/>
        </w:rPr>
        <w:t xml:space="preserve"> policy and/or economic </w:t>
      </w:r>
      <w:r w:rsidR="00F7641F">
        <w:rPr>
          <w:rFonts w:asciiTheme="minorHAnsi" w:hAnsi="Calibri"/>
          <w:color w:val="000000" w:themeColor="text1"/>
          <w:kern w:val="24"/>
        </w:rPr>
        <w:t xml:space="preserve">conditions </w:t>
      </w:r>
      <w:r w:rsidRPr="006E73E4">
        <w:rPr>
          <w:rFonts w:asciiTheme="minorHAnsi" w:hAnsi="Calibri"/>
          <w:color w:val="000000" w:themeColor="text1"/>
          <w:kern w:val="24"/>
        </w:rPr>
        <w:t>change.</w:t>
      </w:r>
    </w:p>
    <w:p w14:paraId="31AE1D66" w14:textId="6366A82A" w:rsidR="00EF5752" w:rsidRPr="00B924CC" w:rsidRDefault="00B435EF" w:rsidP="00B924CC">
      <w:r w:rsidRPr="006E73E4">
        <w:t>Furthermore, of significance is the additional uncertain</w:t>
      </w:r>
      <w:r w:rsidR="00F7641F">
        <w:t>t</w:t>
      </w:r>
      <w:r w:rsidRPr="006E73E4">
        <w:t>y arising from COVID</w:t>
      </w:r>
      <w:r w:rsidR="00B04FCE">
        <w:noBreakHyphen/>
      </w:r>
      <w:r w:rsidRPr="006E73E4">
        <w:t>19, which has had a significant impact on a range of social security policies, payments and services. This valuation takes a long</w:t>
      </w:r>
      <w:r w:rsidR="00B04FCE">
        <w:noBreakHyphen/>
      </w:r>
      <w:r w:rsidRPr="006E73E4">
        <w:t xml:space="preserve">term view of expected social security usage, but is necessarily influenced by consideration of recent experience </w:t>
      </w:r>
      <w:r w:rsidR="003F340C">
        <w:t>t</w:t>
      </w:r>
      <w:r w:rsidR="001259CF">
        <w:t>hat</w:t>
      </w:r>
      <w:r w:rsidRPr="006E73E4">
        <w:t xml:space="preserve"> has been more volatile than it would have been, without the impact of COVID</w:t>
      </w:r>
      <w:r w:rsidR="00B04FCE">
        <w:noBreakHyphen/>
      </w:r>
      <w:r w:rsidRPr="006E73E4">
        <w:t>19. This highlights the uncertainties not only emanating from recent experience, but also within consequent assumptions that have to be made about the future.</w:t>
      </w:r>
    </w:p>
    <w:p w14:paraId="7FAAADD7" w14:textId="77777777" w:rsidR="00425207" w:rsidRDefault="00425207" w:rsidP="00B924CC">
      <w:pPr>
        <w:pStyle w:val="ChartGraphic"/>
      </w:pPr>
      <w:r>
        <w:t xml:space="preserve"> </w:t>
      </w:r>
      <w:r w:rsidR="00EF5752">
        <w:rPr>
          <w:noProof/>
        </w:rPr>
        <w:drawing>
          <wp:inline distT="0" distB="0" distL="0" distR="0" wp14:anchorId="493F8517" wp14:editId="288E03B1">
            <wp:extent cx="2407920" cy="642620"/>
            <wp:effectExtent l="0" t="0" r="0" b="5080"/>
            <wp:docPr id="9" name="Picture 9" descr="Guy Thorbur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uy Thorburn's signatur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7920" cy="642620"/>
                    </a:xfrm>
                    <a:prstGeom prst="rect">
                      <a:avLst/>
                    </a:prstGeom>
                  </pic:spPr>
                </pic:pic>
              </a:graphicData>
            </a:graphic>
          </wp:inline>
        </w:drawing>
      </w:r>
    </w:p>
    <w:p w14:paraId="51DBFE80" w14:textId="77777777" w:rsidR="00425207" w:rsidRPr="00917CE7" w:rsidRDefault="00425207" w:rsidP="00E37F73">
      <w:pPr>
        <w:pStyle w:val="NoSpacing"/>
        <w:rPr>
          <w:rStyle w:val="Strong"/>
        </w:rPr>
      </w:pPr>
      <w:r w:rsidRPr="00917CE7">
        <w:rPr>
          <w:rStyle w:val="Strong"/>
        </w:rPr>
        <w:t>Guy Thorburn FIAA</w:t>
      </w:r>
    </w:p>
    <w:p w14:paraId="7FBF55D4" w14:textId="77777777" w:rsidR="009F1E52" w:rsidRPr="00E37F73" w:rsidRDefault="00425207" w:rsidP="00E37F73">
      <w:pPr>
        <w:pStyle w:val="NoSpacing"/>
      </w:pPr>
      <w:r w:rsidRPr="00E37F73">
        <w:t>Australian Government Actuary</w:t>
      </w:r>
    </w:p>
    <w:p w14:paraId="7CA4D16E" w14:textId="77777777" w:rsidR="00F3364B" w:rsidRDefault="00404792" w:rsidP="00E37F73">
      <w:pPr>
        <w:pStyle w:val="NoSpacing"/>
        <w:sectPr w:rsidR="00F3364B" w:rsidSect="00B46214">
          <w:headerReference w:type="default" r:id="rId20"/>
          <w:footerReference w:type="default" r:id="rId21"/>
          <w:pgSz w:w="16838" w:h="11906" w:orient="landscape" w:code="9"/>
          <w:pgMar w:top="1418" w:right="1134" w:bottom="1418" w:left="1134" w:header="425" w:footer="680" w:gutter="0"/>
          <w:pgNumType w:fmt="lowerRoman"/>
          <w:cols w:num="2" w:space="709"/>
          <w:docGrid w:linePitch="360"/>
        </w:sectPr>
      </w:pPr>
      <w:r w:rsidRPr="00E37F73">
        <w:t>February 2024</w:t>
      </w:r>
    </w:p>
    <w:bookmarkStart w:id="5" w:name="_Toc160109469" w:displacedByCustomXml="next"/>
    <w:bookmarkStart w:id="6" w:name="_Toc158287438" w:displacedByCustomXml="next"/>
    <w:sdt>
      <w:sdtPr>
        <w:rPr>
          <w:rFonts w:ascii="Arial" w:eastAsiaTheme="minorHAnsi" w:hAnsi="Arial" w:cstheme="minorBidi"/>
          <w:b w:val="0"/>
          <w:bCs/>
          <w:color w:val="000000"/>
          <w:sz w:val="22"/>
          <w:szCs w:val="22"/>
        </w:rPr>
        <w:id w:val="-67965971"/>
        <w:docPartObj>
          <w:docPartGallery w:val="Table of Contents"/>
          <w:docPartUnique/>
        </w:docPartObj>
      </w:sdtPr>
      <w:sdtEndPr>
        <w:rPr>
          <w:rFonts w:eastAsia="Times New Roman" w:cs="Times New Roman"/>
          <w:bCs w:val="0"/>
          <w:noProof/>
          <w:sz w:val="20"/>
          <w:szCs w:val="20"/>
        </w:rPr>
      </w:sdtEndPr>
      <w:sdtContent>
        <w:p w14:paraId="1D733F84" w14:textId="77777777" w:rsidR="00AA7490" w:rsidRDefault="00AA7490" w:rsidP="00B924CC">
          <w:pPr>
            <w:pStyle w:val="TOCHeading"/>
          </w:pPr>
          <w:r w:rsidRPr="00B924CC">
            <w:t>Contents</w:t>
          </w:r>
          <w:bookmarkEnd w:id="6"/>
          <w:bookmarkEnd w:id="5"/>
        </w:p>
        <w:p w14:paraId="6E09F6C9" w14:textId="52A4DD0C" w:rsidR="00D92A04" w:rsidRDefault="00F3364B">
          <w:pPr>
            <w:pStyle w:val="TOC1"/>
            <w:rPr>
              <w:rFonts w:eastAsiaTheme="minorEastAsia" w:cstheme="minorBidi"/>
              <w:kern w:val="0"/>
            </w:rPr>
          </w:pPr>
          <w:r>
            <w:rPr>
              <w:color w:val="000000" w:themeColor="text1"/>
            </w:rPr>
            <w:fldChar w:fldCharType="begin"/>
          </w:r>
          <w:r>
            <w:rPr>
              <w:color w:val="000000" w:themeColor="text1"/>
            </w:rPr>
            <w:instrText xml:space="preserve"> TOC \o "1-1" \h \z \u </w:instrText>
          </w:r>
          <w:r>
            <w:rPr>
              <w:color w:val="000000" w:themeColor="text1"/>
            </w:rPr>
            <w:fldChar w:fldCharType="separate"/>
          </w:r>
          <w:hyperlink w:anchor="_Toc160109470" w:history="1">
            <w:r w:rsidR="00D92A04" w:rsidRPr="00F725AA">
              <w:rPr>
                <w:rStyle w:val="Hyperlink"/>
              </w:rPr>
              <w:t>2022 Valuation of the Social Security System: Summary of findings</w:t>
            </w:r>
            <w:r w:rsidR="00D92A04">
              <w:rPr>
                <w:webHidden/>
              </w:rPr>
              <w:tab/>
            </w:r>
            <w:r w:rsidR="00D92A04">
              <w:rPr>
                <w:webHidden/>
              </w:rPr>
              <w:fldChar w:fldCharType="begin"/>
            </w:r>
            <w:r w:rsidR="00D92A04">
              <w:rPr>
                <w:webHidden/>
              </w:rPr>
              <w:instrText xml:space="preserve"> PAGEREF _Toc160109470 \h </w:instrText>
            </w:r>
            <w:r w:rsidR="00D92A04">
              <w:rPr>
                <w:webHidden/>
              </w:rPr>
            </w:r>
            <w:r w:rsidR="00D92A04">
              <w:rPr>
                <w:webHidden/>
              </w:rPr>
              <w:fldChar w:fldCharType="separate"/>
            </w:r>
            <w:r w:rsidR="00722C0A">
              <w:rPr>
                <w:webHidden/>
              </w:rPr>
              <w:t>1</w:t>
            </w:r>
            <w:r w:rsidR="00D92A04">
              <w:rPr>
                <w:webHidden/>
              </w:rPr>
              <w:fldChar w:fldCharType="end"/>
            </w:r>
          </w:hyperlink>
        </w:p>
        <w:p w14:paraId="0F4D8072" w14:textId="1B2C379D" w:rsidR="00D92A04" w:rsidRDefault="003B135C">
          <w:pPr>
            <w:pStyle w:val="TOC1"/>
            <w:rPr>
              <w:rFonts w:eastAsiaTheme="minorEastAsia" w:cstheme="minorBidi"/>
              <w:kern w:val="0"/>
            </w:rPr>
          </w:pPr>
          <w:hyperlink w:anchor="_Toc160109471" w:history="1">
            <w:r w:rsidR="00D92A04" w:rsidRPr="00F725AA">
              <w:rPr>
                <w:rStyle w:val="Hyperlink"/>
              </w:rPr>
              <w:t>1</w:t>
            </w:r>
            <w:r w:rsidR="00D92A04">
              <w:rPr>
                <w:rFonts w:eastAsiaTheme="minorEastAsia" w:cstheme="minorBidi"/>
                <w:kern w:val="0"/>
              </w:rPr>
              <w:tab/>
            </w:r>
            <w:r w:rsidR="00D92A04" w:rsidRPr="00F725AA">
              <w:rPr>
                <w:rStyle w:val="Hyperlink"/>
              </w:rPr>
              <w:t>Childhood (under 18)</w:t>
            </w:r>
            <w:r w:rsidR="00D92A04">
              <w:rPr>
                <w:webHidden/>
              </w:rPr>
              <w:tab/>
            </w:r>
            <w:r w:rsidR="00D92A04">
              <w:rPr>
                <w:webHidden/>
              </w:rPr>
              <w:fldChar w:fldCharType="begin"/>
            </w:r>
            <w:r w:rsidR="00D92A04">
              <w:rPr>
                <w:webHidden/>
              </w:rPr>
              <w:instrText xml:space="preserve"> PAGEREF _Toc160109471 \h </w:instrText>
            </w:r>
            <w:r w:rsidR="00D92A04">
              <w:rPr>
                <w:webHidden/>
              </w:rPr>
            </w:r>
            <w:r w:rsidR="00D92A04">
              <w:rPr>
                <w:webHidden/>
              </w:rPr>
              <w:fldChar w:fldCharType="separate"/>
            </w:r>
            <w:r w:rsidR="00722C0A">
              <w:rPr>
                <w:webHidden/>
              </w:rPr>
              <w:t>7</w:t>
            </w:r>
            <w:r w:rsidR="00D92A04">
              <w:rPr>
                <w:webHidden/>
              </w:rPr>
              <w:fldChar w:fldCharType="end"/>
            </w:r>
          </w:hyperlink>
        </w:p>
        <w:p w14:paraId="2B455FF8" w14:textId="5D655B2C" w:rsidR="00D92A04" w:rsidRDefault="003B135C">
          <w:pPr>
            <w:pStyle w:val="TOC1"/>
            <w:rPr>
              <w:rFonts w:eastAsiaTheme="minorEastAsia" w:cstheme="minorBidi"/>
              <w:kern w:val="0"/>
            </w:rPr>
          </w:pPr>
          <w:hyperlink w:anchor="_Toc160109472" w:history="1">
            <w:r w:rsidR="00D92A04" w:rsidRPr="00F725AA">
              <w:rPr>
                <w:rStyle w:val="Hyperlink"/>
              </w:rPr>
              <w:t>2</w:t>
            </w:r>
            <w:r w:rsidR="00D92A04">
              <w:rPr>
                <w:rFonts w:eastAsiaTheme="minorEastAsia" w:cstheme="minorBidi"/>
                <w:kern w:val="0"/>
              </w:rPr>
              <w:tab/>
            </w:r>
            <w:r w:rsidR="00D92A04" w:rsidRPr="00F725AA">
              <w:rPr>
                <w:rStyle w:val="Hyperlink"/>
              </w:rPr>
              <w:t>Young adults (18 to 21)</w:t>
            </w:r>
            <w:r w:rsidR="00D92A04">
              <w:rPr>
                <w:webHidden/>
              </w:rPr>
              <w:tab/>
            </w:r>
            <w:r w:rsidR="00D92A04">
              <w:rPr>
                <w:webHidden/>
              </w:rPr>
              <w:fldChar w:fldCharType="begin"/>
            </w:r>
            <w:r w:rsidR="00D92A04">
              <w:rPr>
                <w:webHidden/>
              </w:rPr>
              <w:instrText xml:space="preserve"> PAGEREF _Toc160109472 \h </w:instrText>
            </w:r>
            <w:r w:rsidR="00D92A04">
              <w:rPr>
                <w:webHidden/>
              </w:rPr>
            </w:r>
            <w:r w:rsidR="00D92A04">
              <w:rPr>
                <w:webHidden/>
              </w:rPr>
              <w:fldChar w:fldCharType="separate"/>
            </w:r>
            <w:r w:rsidR="00722C0A">
              <w:rPr>
                <w:webHidden/>
              </w:rPr>
              <w:t>10</w:t>
            </w:r>
            <w:r w:rsidR="00D92A04">
              <w:rPr>
                <w:webHidden/>
              </w:rPr>
              <w:fldChar w:fldCharType="end"/>
            </w:r>
          </w:hyperlink>
        </w:p>
        <w:p w14:paraId="1F7F7CAB" w14:textId="62A0667E" w:rsidR="00D92A04" w:rsidRDefault="003B135C">
          <w:pPr>
            <w:pStyle w:val="TOC1"/>
            <w:rPr>
              <w:rFonts w:eastAsiaTheme="minorEastAsia" w:cstheme="minorBidi"/>
              <w:kern w:val="0"/>
            </w:rPr>
          </w:pPr>
          <w:hyperlink w:anchor="_Toc160109473" w:history="1">
            <w:r w:rsidR="00D92A04" w:rsidRPr="00F725AA">
              <w:rPr>
                <w:rStyle w:val="Hyperlink"/>
              </w:rPr>
              <w:t>3</w:t>
            </w:r>
            <w:r w:rsidR="00D92A04">
              <w:rPr>
                <w:rFonts w:eastAsiaTheme="minorEastAsia" w:cstheme="minorBidi"/>
                <w:kern w:val="0"/>
              </w:rPr>
              <w:tab/>
            </w:r>
            <w:r w:rsidR="00D92A04" w:rsidRPr="00F725AA">
              <w:rPr>
                <w:rStyle w:val="Hyperlink"/>
              </w:rPr>
              <w:t>Transition to work (22 to 25)</w:t>
            </w:r>
            <w:r w:rsidR="00D92A04">
              <w:rPr>
                <w:webHidden/>
              </w:rPr>
              <w:tab/>
            </w:r>
            <w:r w:rsidR="00D92A04">
              <w:rPr>
                <w:webHidden/>
              </w:rPr>
              <w:fldChar w:fldCharType="begin"/>
            </w:r>
            <w:r w:rsidR="00D92A04">
              <w:rPr>
                <w:webHidden/>
              </w:rPr>
              <w:instrText xml:space="preserve"> PAGEREF _Toc160109473 \h </w:instrText>
            </w:r>
            <w:r w:rsidR="00D92A04">
              <w:rPr>
                <w:webHidden/>
              </w:rPr>
            </w:r>
            <w:r w:rsidR="00D92A04">
              <w:rPr>
                <w:webHidden/>
              </w:rPr>
              <w:fldChar w:fldCharType="separate"/>
            </w:r>
            <w:r w:rsidR="00722C0A">
              <w:rPr>
                <w:webHidden/>
              </w:rPr>
              <w:t>13</w:t>
            </w:r>
            <w:r w:rsidR="00D92A04">
              <w:rPr>
                <w:webHidden/>
              </w:rPr>
              <w:fldChar w:fldCharType="end"/>
            </w:r>
          </w:hyperlink>
        </w:p>
        <w:p w14:paraId="78DE8236" w14:textId="25686722" w:rsidR="00D92A04" w:rsidRDefault="003B135C">
          <w:pPr>
            <w:pStyle w:val="TOC1"/>
            <w:rPr>
              <w:rFonts w:eastAsiaTheme="minorEastAsia" w:cstheme="minorBidi"/>
              <w:kern w:val="0"/>
            </w:rPr>
          </w:pPr>
          <w:hyperlink w:anchor="_Toc160109474" w:history="1">
            <w:r w:rsidR="00D92A04" w:rsidRPr="00F725AA">
              <w:rPr>
                <w:rStyle w:val="Hyperlink"/>
              </w:rPr>
              <w:t>4</w:t>
            </w:r>
            <w:r w:rsidR="00D92A04">
              <w:rPr>
                <w:rFonts w:eastAsiaTheme="minorEastAsia" w:cstheme="minorBidi"/>
                <w:kern w:val="0"/>
              </w:rPr>
              <w:tab/>
            </w:r>
            <w:r w:rsidR="00D92A04" w:rsidRPr="00F725AA">
              <w:rPr>
                <w:rStyle w:val="Hyperlink"/>
              </w:rPr>
              <w:t>Working age (26 to 44)</w:t>
            </w:r>
            <w:r w:rsidR="00D92A04">
              <w:rPr>
                <w:webHidden/>
              </w:rPr>
              <w:tab/>
            </w:r>
            <w:r w:rsidR="00D92A04">
              <w:rPr>
                <w:webHidden/>
              </w:rPr>
              <w:fldChar w:fldCharType="begin"/>
            </w:r>
            <w:r w:rsidR="00D92A04">
              <w:rPr>
                <w:webHidden/>
              </w:rPr>
              <w:instrText xml:space="preserve"> PAGEREF _Toc160109474 \h </w:instrText>
            </w:r>
            <w:r w:rsidR="00D92A04">
              <w:rPr>
                <w:webHidden/>
              </w:rPr>
            </w:r>
            <w:r w:rsidR="00D92A04">
              <w:rPr>
                <w:webHidden/>
              </w:rPr>
              <w:fldChar w:fldCharType="separate"/>
            </w:r>
            <w:r w:rsidR="00722C0A">
              <w:rPr>
                <w:webHidden/>
              </w:rPr>
              <w:t>17</w:t>
            </w:r>
            <w:r w:rsidR="00D92A04">
              <w:rPr>
                <w:webHidden/>
              </w:rPr>
              <w:fldChar w:fldCharType="end"/>
            </w:r>
          </w:hyperlink>
        </w:p>
        <w:p w14:paraId="0B364682" w14:textId="648F093B" w:rsidR="00D92A04" w:rsidRDefault="003B135C">
          <w:pPr>
            <w:pStyle w:val="TOC1"/>
            <w:rPr>
              <w:rFonts w:eastAsiaTheme="minorEastAsia" w:cstheme="minorBidi"/>
              <w:kern w:val="0"/>
            </w:rPr>
          </w:pPr>
          <w:hyperlink w:anchor="_Toc160109475" w:history="1">
            <w:r w:rsidR="00D92A04" w:rsidRPr="00F725AA">
              <w:rPr>
                <w:rStyle w:val="Hyperlink"/>
              </w:rPr>
              <w:t>5</w:t>
            </w:r>
            <w:r w:rsidR="00D92A04">
              <w:rPr>
                <w:rFonts w:eastAsiaTheme="minorEastAsia" w:cstheme="minorBidi"/>
                <w:kern w:val="0"/>
              </w:rPr>
              <w:tab/>
            </w:r>
            <w:r w:rsidR="00D92A04" w:rsidRPr="00F725AA">
              <w:rPr>
                <w:rStyle w:val="Hyperlink"/>
              </w:rPr>
              <w:t>Older working age (45 to 66)</w:t>
            </w:r>
            <w:r w:rsidR="00D92A04">
              <w:rPr>
                <w:webHidden/>
              </w:rPr>
              <w:tab/>
            </w:r>
            <w:r w:rsidR="00D92A04">
              <w:rPr>
                <w:webHidden/>
              </w:rPr>
              <w:fldChar w:fldCharType="begin"/>
            </w:r>
            <w:r w:rsidR="00D92A04">
              <w:rPr>
                <w:webHidden/>
              </w:rPr>
              <w:instrText xml:space="preserve"> PAGEREF _Toc160109475 \h </w:instrText>
            </w:r>
            <w:r w:rsidR="00D92A04">
              <w:rPr>
                <w:webHidden/>
              </w:rPr>
            </w:r>
            <w:r w:rsidR="00D92A04">
              <w:rPr>
                <w:webHidden/>
              </w:rPr>
              <w:fldChar w:fldCharType="separate"/>
            </w:r>
            <w:r w:rsidR="00722C0A">
              <w:rPr>
                <w:webHidden/>
              </w:rPr>
              <w:t>20</w:t>
            </w:r>
            <w:r w:rsidR="00D92A04">
              <w:rPr>
                <w:webHidden/>
              </w:rPr>
              <w:fldChar w:fldCharType="end"/>
            </w:r>
          </w:hyperlink>
        </w:p>
        <w:p w14:paraId="3C3BAA7D" w14:textId="745631DE" w:rsidR="00D92A04" w:rsidRDefault="003B135C">
          <w:pPr>
            <w:pStyle w:val="TOC1"/>
            <w:rPr>
              <w:rFonts w:eastAsiaTheme="minorEastAsia" w:cstheme="minorBidi"/>
              <w:kern w:val="0"/>
            </w:rPr>
          </w:pPr>
          <w:hyperlink w:anchor="_Toc160109476" w:history="1">
            <w:r w:rsidR="00D92A04" w:rsidRPr="00F725AA">
              <w:rPr>
                <w:rStyle w:val="Hyperlink"/>
              </w:rPr>
              <w:t>6</w:t>
            </w:r>
            <w:r w:rsidR="00D92A04">
              <w:rPr>
                <w:rFonts w:eastAsiaTheme="minorEastAsia" w:cstheme="minorBidi"/>
                <w:kern w:val="0"/>
              </w:rPr>
              <w:tab/>
            </w:r>
            <w:r w:rsidR="00D92A04" w:rsidRPr="00F725AA">
              <w:rPr>
                <w:rStyle w:val="Hyperlink"/>
              </w:rPr>
              <w:t>Retirement age (66 and over)</w:t>
            </w:r>
            <w:r w:rsidR="00D92A04">
              <w:rPr>
                <w:webHidden/>
              </w:rPr>
              <w:tab/>
            </w:r>
            <w:r w:rsidR="00D92A04">
              <w:rPr>
                <w:webHidden/>
              </w:rPr>
              <w:fldChar w:fldCharType="begin"/>
            </w:r>
            <w:r w:rsidR="00D92A04">
              <w:rPr>
                <w:webHidden/>
              </w:rPr>
              <w:instrText xml:space="preserve"> PAGEREF _Toc160109476 \h </w:instrText>
            </w:r>
            <w:r w:rsidR="00D92A04">
              <w:rPr>
                <w:webHidden/>
              </w:rPr>
            </w:r>
            <w:r w:rsidR="00D92A04">
              <w:rPr>
                <w:webHidden/>
              </w:rPr>
              <w:fldChar w:fldCharType="separate"/>
            </w:r>
            <w:r w:rsidR="00722C0A">
              <w:rPr>
                <w:webHidden/>
              </w:rPr>
              <w:t>23</w:t>
            </w:r>
            <w:r w:rsidR="00D92A04">
              <w:rPr>
                <w:webHidden/>
              </w:rPr>
              <w:fldChar w:fldCharType="end"/>
            </w:r>
          </w:hyperlink>
        </w:p>
        <w:p w14:paraId="58085F44" w14:textId="60B737E8" w:rsidR="00D92A04" w:rsidRDefault="003B135C">
          <w:pPr>
            <w:pStyle w:val="TOC1"/>
            <w:rPr>
              <w:rFonts w:eastAsiaTheme="minorEastAsia" w:cstheme="minorBidi"/>
              <w:kern w:val="0"/>
            </w:rPr>
          </w:pPr>
          <w:hyperlink w:anchor="_Toc160109477" w:history="1">
            <w:r w:rsidR="00D92A04" w:rsidRPr="00F725AA">
              <w:rPr>
                <w:rStyle w:val="Hyperlink"/>
              </w:rPr>
              <w:t>7</w:t>
            </w:r>
            <w:r w:rsidR="00D92A04">
              <w:rPr>
                <w:rFonts w:eastAsiaTheme="minorEastAsia" w:cstheme="minorBidi"/>
                <w:kern w:val="0"/>
              </w:rPr>
              <w:tab/>
            </w:r>
            <w:r w:rsidR="00D92A04" w:rsidRPr="00F725AA">
              <w:rPr>
                <w:rStyle w:val="Hyperlink"/>
              </w:rPr>
              <w:t>People with children</w:t>
            </w:r>
            <w:r w:rsidR="00D92A04">
              <w:rPr>
                <w:webHidden/>
              </w:rPr>
              <w:tab/>
            </w:r>
            <w:r w:rsidR="00D92A04">
              <w:rPr>
                <w:webHidden/>
              </w:rPr>
              <w:fldChar w:fldCharType="begin"/>
            </w:r>
            <w:r w:rsidR="00D92A04">
              <w:rPr>
                <w:webHidden/>
              </w:rPr>
              <w:instrText xml:space="preserve"> PAGEREF _Toc160109477 \h </w:instrText>
            </w:r>
            <w:r w:rsidR="00D92A04">
              <w:rPr>
                <w:webHidden/>
              </w:rPr>
            </w:r>
            <w:r w:rsidR="00D92A04">
              <w:rPr>
                <w:webHidden/>
              </w:rPr>
              <w:fldChar w:fldCharType="separate"/>
            </w:r>
            <w:r w:rsidR="00722C0A">
              <w:rPr>
                <w:webHidden/>
              </w:rPr>
              <w:t>26</w:t>
            </w:r>
            <w:r w:rsidR="00D92A04">
              <w:rPr>
                <w:webHidden/>
              </w:rPr>
              <w:fldChar w:fldCharType="end"/>
            </w:r>
          </w:hyperlink>
        </w:p>
        <w:p w14:paraId="543B9615" w14:textId="4DB678D9" w:rsidR="00D92A04" w:rsidRDefault="003B135C">
          <w:pPr>
            <w:pStyle w:val="TOC1"/>
            <w:rPr>
              <w:rFonts w:eastAsiaTheme="minorEastAsia" w:cstheme="minorBidi"/>
              <w:kern w:val="0"/>
            </w:rPr>
          </w:pPr>
          <w:hyperlink w:anchor="_Toc160109478" w:history="1">
            <w:r w:rsidR="00D92A04" w:rsidRPr="00F725AA">
              <w:rPr>
                <w:rStyle w:val="Hyperlink"/>
              </w:rPr>
              <w:t>8</w:t>
            </w:r>
            <w:r w:rsidR="00D92A04">
              <w:rPr>
                <w:rFonts w:eastAsiaTheme="minorEastAsia" w:cstheme="minorBidi"/>
                <w:kern w:val="0"/>
              </w:rPr>
              <w:tab/>
            </w:r>
            <w:r w:rsidR="00D92A04" w:rsidRPr="00F725AA">
              <w:rPr>
                <w:rStyle w:val="Hyperlink"/>
              </w:rPr>
              <w:t>People receiving payments to support caring</w:t>
            </w:r>
            <w:r w:rsidR="00D92A04">
              <w:rPr>
                <w:webHidden/>
              </w:rPr>
              <w:tab/>
            </w:r>
            <w:r w:rsidR="00D92A04">
              <w:rPr>
                <w:webHidden/>
              </w:rPr>
              <w:fldChar w:fldCharType="begin"/>
            </w:r>
            <w:r w:rsidR="00D92A04">
              <w:rPr>
                <w:webHidden/>
              </w:rPr>
              <w:instrText xml:space="preserve"> PAGEREF _Toc160109478 \h </w:instrText>
            </w:r>
            <w:r w:rsidR="00D92A04">
              <w:rPr>
                <w:webHidden/>
              </w:rPr>
            </w:r>
            <w:r w:rsidR="00D92A04">
              <w:rPr>
                <w:webHidden/>
              </w:rPr>
              <w:fldChar w:fldCharType="separate"/>
            </w:r>
            <w:r w:rsidR="00722C0A">
              <w:rPr>
                <w:webHidden/>
              </w:rPr>
              <w:t>30</w:t>
            </w:r>
            <w:r w:rsidR="00D92A04">
              <w:rPr>
                <w:webHidden/>
              </w:rPr>
              <w:fldChar w:fldCharType="end"/>
            </w:r>
          </w:hyperlink>
        </w:p>
        <w:p w14:paraId="0CF9906E" w14:textId="7CA8112A" w:rsidR="00D92A04" w:rsidRDefault="003B135C">
          <w:pPr>
            <w:pStyle w:val="TOC1"/>
            <w:rPr>
              <w:rFonts w:eastAsiaTheme="minorEastAsia" w:cstheme="minorBidi"/>
              <w:kern w:val="0"/>
            </w:rPr>
          </w:pPr>
          <w:hyperlink w:anchor="_Toc160109479" w:history="1">
            <w:r w:rsidR="00D92A04" w:rsidRPr="00F725AA">
              <w:rPr>
                <w:rStyle w:val="Hyperlink"/>
              </w:rPr>
              <w:t>9</w:t>
            </w:r>
            <w:r w:rsidR="00D92A04">
              <w:rPr>
                <w:rFonts w:eastAsiaTheme="minorEastAsia" w:cstheme="minorBidi"/>
                <w:kern w:val="0"/>
              </w:rPr>
              <w:tab/>
            </w:r>
            <w:r w:rsidR="00D92A04" w:rsidRPr="00F725AA">
              <w:rPr>
                <w:rStyle w:val="Hyperlink"/>
              </w:rPr>
              <w:t>People receiving Disability Support Pension</w:t>
            </w:r>
            <w:r w:rsidR="00D92A04">
              <w:rPr>
                <w:webHidden/>
              </w:rPr>
              <w:tab/>
            </w:r>
            <w:r w:rsidR="00D92A04">
              <w:rPr>
                <w:webHidden/>
              </w:rPr>
              <w:fldChar w:fldCharType="begin"/>
            </w:r>
            <w:r w:rsidR="00D92A04">
              <w:rPr>
                <w:webHidden/>
              </w:rPr>
              <w:instrText xml:space="preserve"> PAGEREF _Toc160109479 \h </w:instrText>
            </w:r>
            <w:r w:rsidR="00D92A04">
              <w:rPr>
                <w:webHidden/>
              </w:rPr>
            </w:r>
            <w:r w:rsidR="00D92A04">
              <w:rPr>
                <w:webHidden/>
              </w:rPr>
              <w:fldChar w:fldCharType="separate"/>
            </w:r>
            <w:r w:rsidR="00722C0A">
              <w:rPr>
                <w:webHidden/>
              </w:rPr>
              <w:t>34</w:t>
            </w:r>
            <w:r w:rsidR="00D92A04">
              <w:rPr>
                <w:webHidden/>
              </w:rPr>
              <w:fldChar w:fldCharType="end"/>
            </w:r>
          </w:hyperlink>
        </w:p>
        <w:p w14:paraId="5D26758B" w14:textId="734C0706" w:rsidR="00D92A04" w:rsidRDefault="003B135C">
          <w:pPr>
            <w:pStyle w:val="TOC1"/>
            <w:rPr>
              <w:rFonts w:eastAsiaTheme="minorEastAsia" w:cstheme="minorBidi"/>
              <w:kern w:val="0"/>
            </w:rPr>
          </w:pPr>
          <w:hyperlink w:anchor="_Toc160109480" w:history="1">
            <w:r w:rsidR="00D92A04" w:rsidRPr="00F725AA">
              <w:rPr>
                <w:rStyle w:val="Hyperlink"/>
              </w:rPr>
              <w:t>Reflections and looking ahead</w:t>
            </w:r>
            <w:r w:rsidR="00D92A04">
              <w:rPr>
                <w:webHidden/>
              </w:rPr>
              <w:tab/>
            </w:r>
            <w:r w:rsidR="00D92A04">
              <w:rPr>
                <w:webHidden/>
              </w:rPr>
              <w:fldChar w:fldCharType="begin"/>
            </w:r>
            <w:r w:rsidR="00D92A04">
              <w:rPr>
                <w:webHidden/>
              </w:rPr>
              <w:instrText xml:space="preserve"> PAGEREF _Toc160109480 \h </w:instrText>
            </w:r>
            <w:r w:rsidR="00D92A04">
              <w:rPr>
                <w:webHidden/>
              </w:rPr>
            </w:r>
            <w:r w:rsidR="00D92A04">
              <w:rPr>
                <w:webHidden/>
              </w:rPr>
              <w:fldChar w:fldCharType="separate"/>
            </w:r>
            <w:r w:rsidR="00722C0A">
              <w:rPr>
                <w:webHidden/>
              </w:rPr>
              <w:t>37</w:t>
            </w:r>
            <w:r w:rsidR="00D92A04">
              <w:rPr>
                <w:webHidden/>
              </w:rPr>
              <w:fldChar w:fldCharType="end"/>
            </w:r>
          </w:hyperlink>
        </w:p>
        <w:p w14:paraId="27784E6F" w14:textId="5DA1CB85" w:rsidR="00D92A04" w:rsidRDefault="003B135C">
          <w:pPr>
            <w:pStyle w:val="TOC1"/>
            <w:rPr>
              <w:rFonts w:eastAsiaTheme="minorEastAsia" w:cstheme="minorBidi"/>
              <w:kern w:val="0"/>
            </w:rPr>
          </w:pPr>
          <w:hyperlink w:anchor="_Toc160109481" w:history="1">
            <w:r w:rsidR="00D92A04" w:rsidRPr="00F725AA">
              <w:rPr>
                <w:rStyle w:val="Hyperlink"/>
              </w:rPr>
              <w:t>Appendix A: General Glossary</w:t>
            </w:r>
            <w:r w:rsidR="00D92A04">
              <w:rPr>
                <w:webHidden/>
              </w:rPr>
              <w:tab/>
            </w:r>
            <w:r w:rsidR="00D92A04">
              <w:rPr>
                <w:webHidden/>
              </w:rPr>
              <w:fldChar w:fldCharType="begin"/>
            </w:r>
            <w:r w:rsidR="00D92A04">
              <w:rPr>
                <w:webHidden/>
              </w:rPr>
              <w:instrText xml:space="preserve"> PAGEREF _Toc160109481 \h </w:instrText>
            </w:r>
            <w:r w:rsidR="00D92A04">
              <w:rPr>
                <w:webHidden/>
              </w:rPr>
            </w:r>
            <w:r w:rsidR="00D92A04">
              <w:rPr>
                <w:webHidden/>
              </w:rPr>
              <w:fldChar w:fldCharType="separate"/>
            </w:r>
            <w:r w:rsidR="00722C0A">
              <w:rPr>
                <w:webHidden/>
              </w:rPr>
              <w:t>38</w:t>
            </w:r>
            <w:r w:rsidR="00D92A04">
              <w:rPr>
                <w:webHidden/>
              </w:rPr>
              <w:fldChar w:fldCharType="end"/>
            </w:r>
          </w:hyperlink>
        </w:p>
        <w:p w14:paraId="4D65B23E" w14:textId="429258AC" w:rsidR="00D92A04" w:rsidRDefault="003B135C">
          <w:pPr>
            <w:pStyle w:val="TOC1"/>
            <w:rPr>
              <w:rFonts w:eastAsiaTheme="minorEastAsia" w:cstheme="minorBidi"/>
              <w:kern w:val="0"/>
            </w:rPr>
          </w:pPr>
          <w:hyperlink w:anchor="_Toc160109482" w:history="1">
            <w:r w:rsidR="00D92A04" w:rsidRPr="00F725AA">
              <w:rPr>
                <w:rStyle w:val="Hyperlink"/>
              </w:rPr>
              <w:t>Appendix B: Payment Glossary</w:t>
            </w:r>
            <w:r w:rsidR="00D92A04">
              <w:rPr>
                <w:webHidden/>
              </w:rPr>
              <w:tab/>
            </w:r>
            <w:r w:rsidR="00D92A04">
              <w:rPr>
                <w:webHidden/>
              </w:rPr>
              <w:fldChar w:fldCharType="begin"/>
            </w:r>
            <w:r w:rsidR="00D92A04">
              <w:rPr>
                <w:webHidden/>
              </w:rPr>
              <w:instrText xml:space="preserve"> PAGEREF _Toc160109482 \h </w:instrText>
            </w:r>
            <w:r w:rsidR="00D92A04">
              <w:rPr>
                <w:webHidden/>
              </w:rPr>
            </w:r>
            <w:r w:rsidR="00D92A04">
              <w:rPr>
                <w:webHidden/>
              </w:rPr>
              <w:fldChar w:fldCharType="separate"/>
            </w:r>
            <w:r w:rsidR="00722C0A">
              <w:rPr>
                <w:webHidden/>
              </w:rPr>
              <w:t>40</w:t>
            </w:r>
            <w:r w:rsidR="00D92A04">
              <w:rPr>
                <w:webHidden/>
              </w:rPr>
              <w:fldChar w:fldCharType="end"/>
            </w:r>
          </w:hyperlink>
        </w:p>
        <w:p w14:paraId="5173DE06" w14:textId="2D83C585" w:rsidR="00D92A04" w:rsidRDefault="003B135C">
          <w:pPr>
            <w:pStyle w:val="TOC1"/>
            <w:rPr>
              <w:rFonts w:eastAsiaTheme="minorEastAsia" w:cstheme="minorBidi"/>
              <w:kern w:val="0"/>
            </w:rPr>
          </w:pPr>
          <w:hyperlink w:anchor="_Toc160109483" w:history="1">
            <w:r w:rsidR="00D92A04" w:rsidRPr="00F725AA">
              <w:rPr>
                <w:rStyle w:val="Hyperlink"/>
              </w:rPr>
              <w:t>Technical note</w:t>
            </w:r>
            <w:r w:rsidR="00D92A04">
              <w:rPr>
                <w:webHidden/>
              </w:rPr>
              <w:tab/>
            </w:r>
            <w:r w:rsidR="00D92A04">
              <w:rPr>
                <w:webHidden/>
              </w:rPr>
              <w:fldChar w:fldCharType="begin"/>
            </w:r>
            <w:r w:rsidR="00D92A04">
              <w:rPr>
                <w:webHidden/>
              </w:rPr>
              <w:instrText xml:space="preserve"> PAGEREF _Toc160109483 \h </w:instrText>
            </w:r>
            <w:r w:rsidR="00D92A04">
              <w:rPr>
                <w:webHidden/>
              </w:rPr>
            </w:r>
            <w:r w:rsidR="00D92A04">
              <w:rPr>
                <w:webHidden/>
              </w:rPr>
              <w:fldChar w:fldCharType="separate"/>
            </w:r>
            <w:r w:rsidR="00722C0A">
              <w:rPr>
                <w:webHidden/>
              </w:rPr>
              <w:t>41</w:t>
            </w:r>
            <w:r w:rsidR="00D92A04">
              <w:rPr>
                <w:webHidden/>
              </w:rPr>
              <w:fldChar w:fldCharType="end"/>
            </w:r>
          </w:hyperlink>
        </w:p>
        <w:p w14:paraId="28D52DAC" w14:textId="6CA6BADA" w:rsidR="00523C23" w:rsidRPr="00F3364B" w:rsidRDefault="00F3364B" w:rsidP="00F3364B">
          <w:pPr>
            <w:ind w:right="-169"/>
            <w:rPr>
              <w:rStyle w:val="Heading1Char"/>
              <w:rFonts w:ascii="Arial" w:hAnsi="Arial" w:cs="Times New Roman"/>
              <w:b w:val="0"/>
              <w:bCs w:val="0"/>
              <w:color w:val="000000"/>
              <w:kern w:val="0"/>
              <w:sz w:val="20"/>
              <w:szCs w:val="20"/>
            </w:rPr>
            <w:sectPr w:rsidR="00523C23" w:rsidRPr="00F3364B" w:rsidSect="00B46214">
              <w:pgSz w:w="16838" w:h="11906" w:orient="landscape" w:code="9"/>
              <w:pgMar w:top="1418" w:right="1134" w:bottom="1418" w:left="1134" w:header="425" w:footer="680" w:gutter="0"/>
              <w:pgNumType w:fmt="lowerRoman"/>
              <w:cols w:num="2" w:space="709"/>
              <w:docGrid w:linePitch="360"/>
            </w:sectPr>
          </w:pPr>
          <w:r>
            <w:rPr>
              <w:rFonts w:ascii="Arial Bold" w:hAnsi="Arial Bold"/>
              <w:color w:val="000000" w:themeColor="text1"/>
              <w:sz w:val="22"/>
              <w:szCs w:val="22"/>
            </w:rPr>
            <w:fldChar w:fldCharType="end"/>
          </w:r>
        </w:p>
      </w:sdtContent>
    </w:sdt>
    <w:bookmarkStart w:id="7" w:name="_Toc153355574" w:displacedByCustomXml="prev"/>
    <w:bookmarkStart w:id="8" w:name="_Toc155358640" w:displacedByCustomXml="prev"/>
    <w:p w14:paraId="1AAC43B1" w14:textId="78A52CF3" w:rsidR="007C5DEE" w:rsidRPr="00EC4FC8" w:rsidRDefault="000F3131" w:rsidP="00EC4FC8">
      <w:pPr>
        <w:pStyle w:val="Heading1notnumbered"/>
      </w:pPr>
      <w:bookmarkStart w:id="9" w:name="_Toc160109470"/>
      <w:r w:rsidRPr="00EC4FC8">
        <w:lastRenderedPageBreak/>
        <w:t>2022 Valuation of the Social</w:t>
      </w:r>
      <w:r w:rsidR="00EE6F22">
        <w:t> </w:t>
      </w:r>
      <w:r w:rsidRPr="00EC4FC8">
        <w:t>Security System</w:t>
      </w:r>
      <w:r w:rsidR="002B6B06" w:rsidRPr="00EC4FC8">
        <w:t xml:space="preserve">: </w:t>
      </w:r>
      <w:r w:rsidR="005B52A1">
        <w:t>S</w:t>
      </w:r>
      <w:r w:rsidR="002B6B06" w:rsidRPr="00EC4FC8">
        <w:t>ummary</w:t>
      </w:r>
      <w:r w:rsidR="00EE6F22">
        <w:t> </w:t>
      </w:r>
      <w:r w:rsidR="002B6B06" w:rsidRPr="00EC4FC8">
        <w:t>of</w:t>
      </w:r>
      <w:r w:rsidR="00EE6F22">
        <w:t> </w:t>
      </w:r>
      <w:r w:rsidR="002B6B06" w:rsidRPr="00EC4FC8">
        <w:t>findings</w:t>
      </w:r>
      <w:bookmarkEnd w:id="9"/>
      <w:bookmarkEnd w:id="8"/>
      <w:bookmarkEnd w:id="7"/>
    </w:p>
    <w:p w14:paraId="0B6D6874" w14:textId="5BD41828" w:rsidR="00B04FCE" w:rsidRPr="00121CD5" w:rsidRDefault="000F3131" w:rsidP="00121CD5">
      <w:pPr>
        <w:pStyle w:val="Heading2notnumbered"/>
        <w:rPr>
          <w:rFonts w:eastAsiaTheme="minorEastAsia"/>
        </w:rPr>
      </w:pPr>
      <w:r w:rsidRPr="00121CD5">
        <w:rPr>
          <w:rFonts w:eastAsiaTheme="minorEastAsia"/>
        </w:rPr>
        <w:t xml:space="preserve">The 2022 valuation provides insights into how the Australian population </w:t>
      </w:r>
      <w:r w:rsidR="00CB3721">
        <w:rPr>
          <w:rFonts w:eastAsiaTheme="minorEastAsia"/>
        </w:rPr>
        <w:t xml:space="preserve">at 30 June 2022 </w:t>
      </w:r>
      <w:r w:rsidRPr="00121CD5">
        <w:rPr>
          <w:rFonts w:eastAsiaTheme="minorEastAsia"/>
        </w:rPr>
        <w:t>is likely to access social security over their lifetime.</w:t>
      </w:r>
    </w:p>
    <w:p w14:paraId="5EC38F2E" w14:textId="63CE6044" w:rsidR="000F3131" w:rsidRDefault="000F3131" w:rsidP="006E301F">
      <w:pPr>
        <w:rPr>
          <w:rFonts w:asciiTheme="minorHAnsi" w:eastAsiaTheme="minorEastAsia" w:hAnsiTheme="minorHAnsi" w:cstheme="minorHAnsi"/>
          <w:bCs/>
          <w:color w:val="000000" w:themeColor="text1"/>
          <w:kern w:val="24"/>
          <w:szCs w:val="21"/>
        </w:rPr>
      </w:pPr>
      <w:r>
        <w:rPr>
          <w:rFonts w:asciiTheme="minorHAnsi" w:eastAsiaTheme="minorEastAsia" w:hAnsiTheme="minorHAnsi" w:cstheme="minorHAnsi"/>
          <w:bCs/>
          <w:color w:val="000000" w:themeColor="text1"/>
          <w:kern w:val="24"/>
          <w:szCs w:val="21"/>
        </w:rPr>
        <w:t xml:space="preserve">The social security system provides a range of targeted support </w:t>
      </w:r>
      <w:r w:rsidR="002B6B06">
        <w:rPr>
          <w:rFonts w:asciiTheme="minorHAnsi" w:eastAsiaTheme="minorEastAsia" w:hAnsiTheme="minorHAnsi" w:cstheme="minorHAnsi"/>
          <w:bCs/>
          <w:color w:val="000000" w:themeColor="text1"/>
          <w:kern w:val="24"/>
          <w:szCs w:val="21"/>
        </w:rPr>
        <w:t>to assist people according to their needs at each stage of their lives</w:t>
      </w:r>
      <w:r>
        <w:rPr>
          <w:rFonts w:asciiTheme="minorHAnsi" w:eastAsiaTheme="minorEastAsia" w:hAnsiTheme="minorHAnsi" w:cstheme="minorHAnsi"/>
          <w:bCs/>
          <w:color w:val="000000" w:themeColor="text1"/>
          <w:kern w:val="24"/>
          <w:szCs w:val="21"/>
        </w:rPr>
        <w:t xml:space="preserve">. For </w:t>
      </w:r>
      <w:r w:rsidR="002B6B06">
        <w:rPr>
          <w:rFonts w:asciiTheme="minorHAnsi" w:eastAsiaTheme="minorEastAsia" w:hAnsiTheme="minorHAnsi" w:cstheme="minorHAnsi"/>
          <w:bCs/>
          <w:color w:val="000000" w:themeColor="text1"/>
          <w:kern w:val="24"/>
          <w:szCs w:val="21"/>
        </w:rPr>
        <w:t>vulnerable Australians</w:t>
      </w:r>
      <w:r>
        <w:rPr>
          <w:rFonts w:asciiTheme="minorHAnsi" w:eastAsiaTheme="minorEastAsia" w:hAnsiTheme="minorHAnsi" w:cstheme="minorHAnsi"/>
          <w:bCs/>
          <w:color w:val="000000" w:themeColor="text1"/>
          <w:kern w:val="24"/>
          <w:szCs w:val="21"/>
        </w:rPr>
        <w:t xml:space="preserve">, it </w:t>
      </w:r>
      <w:r w:rsidR="002B6B06">
        <w:rPr>
          <w:rFonts w:asciiTheme="minorHAnsi" w:eastAsiaTheme="minorEastAsia" w:hAnsiTheme="minorHAnsi" w:cstheme="minorHAnsi"/>
          <w:bCs/>
          <w:color w:val="000000" w:themeColor="text1"/>
          <w:kern w:val="24"/>
          <w:szCs w:val="21"/>
        </w:rPr>
        <w:t>provides</w:t>
      </w:r>
      <w:r>
        <w:rPr>
          <w:rFonts w:asciiTheme="minorHAnsi" w:eastAsiaTheme="minorEastAsia" w:hAnsiTheme="minorHAnsi" w:cstheme="minorHAnsi"/>
          <w:bCs/>
          <w:color w:val="000000" w:themeColor="text1"/>
          <w:kern w:val="24"/>
          <w:szCs w:val="21"/>
        </w:rPr>
        <w:t xml:space="preserve"> a safety net for</w:t>
      </w:r>
      <w:r w:rsidRPr="00935E66">
        <w:rPr>
          <w:rFonts w:asciiTheme="minorHAnsi" w:eastAsiaTheme="minorEastAsia" w:hAnsiTheme="minorHAnsi" w:cstheme="minorHAnsi"/>
          <w:bCs/>
          <w:color w:val="000000" w:themeColor="text1"/>
          <w:kern w:val="24"/>
          <w:szCs w:val="21"/>
        </w:rPr>
        <w:t xml:space="preserve"> </w:t>
      </w:r>
      <w:r>
        <w:rPr>
          <w:rFonts w:asciiTheme="minorHAnsi" w:eastAsiaTheme="minorEastAsia" w:hAnsiTheme="minorHAnsi" w:cstheme="minorHAnsi"/>
          <w:bCs/>
          <w:color w:val="000000" w:themeColor="text1"/>
          <w:kern w:val="24"/>
          <w:szCs w:val="21"/>
        </w:rPr>
        <w:t xml:space="preserve">when they are </w:t>
      </w:r>
      <w:r w:rsidRPr="00935E66">
        <w:rPr>
          <w:rFonts w:asciiTheme="minorHAnsi" w:eastAsiaTheme="minorEastAsia" w:hAnsiTheme="minorHAnsi" w:cstheme="minorHAnsi"/>
          <w:bCs/>
          <w:color w:val="000000" w:themeColor="text1"/>
          <w:kern w:val="24"/>
          <w:szCs w:val="21"/>
        </w:rPr>
        <w:t>unable to support themselves through work</w:t>
      </w:r>
      <w:r>
        <w:rPr>
          <w:rFonts w:asciiTheme="minorHAnsi" w:eastAsiaTheme="minorEastAsia" w:hAnsiTheme="minorHAnsi" w:cstheme="minorHAnsi"/>
          <w:bCs/>
          <w:color w:val="000000" w:themeColor="text1"/>
          <w:kern w:val="24"/>
          <w:szCs w:val="21"/>
        </w:rPr>
        <w:t>.</w:t>
      </w:r>
    </w:p>
    <w:p w14:paraId="0F58C1D0" w14:textId="78398981" w:rsidR="000F3131" w:rsidRDefault="007739DD" w:rsidP="006E301F">
      <w:pPr>
        <w:rPr>
          <w:rFonts w:asciiTheme="minorHAnsi" w:eastAsiaTheme="minorEastAsia" w:hAnsiTheme="minorHAnsi" w:cstheme="minorHAnsi"/>
          <w:bCs/>
          <w:color w:val="000000" w:themeColor="text1"/>
          <w:kern w:val="24"/>
          <w:szCs w:val="21"/>
        </w:rPr>
      </w:pPr>
      <w:r>
        <w:rPr>
          <w:rFonts w:asciiTheme="minorHAnsi" w:eastAsiaTheme="minorEastAsia" w:hAnsiTheme="minorHAnsi" w:cstheme="minorHAnsi"/>
          <w:bCs/>
          <w:color w:val="000000" w:themeColor="text1"/>
          <w:kern w:val="24"/>
          <w:szCs w:val="21"/>
        </w:rPr>
        <w:t>This</w:t>
      </w:r>
      <w:r w:rsidR="000F3131">
        <w:rPr>
          <w:rFonts w:asciiTheme="minorHAnsi" w:eastAsiaTheme="minorEastAsia" w:hAnsiTheme="minorHAnsi" w:cstheme="minorHAnsi"/>
          <w:bCs/>
          <w:color w:val="000000" w:themeColor="text1"/>
          <w:kern w:val="24"/>
          <w:szCs w:val="21"/>
        </w:rPr>
        <w:t xml:space="preserve"> annual valuation uses </w:t>
      </w:r>
      <w:r w:rsidR="00B76F38">
        <w:rPr>
          <w:rFonts w:asciiTheme="minorHAnsi" w:eastAsiaTheme="minorEastAsia" w:hAnsiTheme="minorHAnsi" w:cstheme="minorHAnsi"/>
          <w:bCs/>
          <w:color w:val="000000" w:themeColor="text1"/>
          <w:kern w:val="24"/>
          <w:szCs w:val="21"/>
        </w:rPr>
        <w:t>data as at 30 June 2022</w:t>
      </w:r>
      <w:r w:rsidR="000F3131">
        <w:rPr>
          <w:rFonts w:asciiTheme="minorHAnsi" w:eastAsiaTheme="minorEastAsia" w:hAnsiTheme="minorHAnsi" w:cstheme="minorHAnsi"/>
          <w:bCs/>
          <w:color w:val="000000" w:themeColor="text1"/>
          <w:kern w:val="24"/>
          <w:szCs w:val="21"/>
        </w:rPr>
        <w:t xml:space="preserve"> to project </w:t>
      </w:r>
      <w:r w:rsidR="002B6B06">
        <w:rPr>
          <w:rFonts w:asciiTheme="minorHAnsi" w:eastAsiaTheme="minorEastAsia" w:hAnsiTheme="minorHAnsi" w:cstheme="minorHAnsi"/>
          <w:bCs/>
          <w:color w:val="000000" w:themeColor="text1"/>
          <w:kern w:val="24"/>
          <w:szCs w:val="21"/>
        </w:rPr>
        <w:t>how</w:t>
      </w:r>
      <w:r w:rsidR="000F3131" w:rsidRPr="003132D0">
        <w:rPr>
          <w:rFonts w:asciiTheme="minorHAnsi" w:eastAsiaTheme="minorEastAsia" w:hAnsiTheme="minorHAnsi" w:cstheme="minorHAnsi"/>
          <w:bCs/>
          <w:color w:val="000000" w:themeColor="text1"/>
          <w:kern w:val="24"/>
          <w:szCs w:val="21"/>
        </w:rPr>
        <w:t xml:space="preserve"> the Australian population </w:t>
      </w:r>
      <w:r w:rsidR="002B6B06">
        <w:rPr>
          <w:rFonts w:asciiTheme="minorHAnsi" w:eastAsiaTheme="minorEastAsia" w:hAnsiTheme="minorHAnsi" w:cstheme="minorHAnsi"/>
          <w:bCs/>
          <w:color w:val="000000" w:themeColor="text1"/>
          <w:kern w:val="24"/>
          <w:szCs w:val="21"/>
        </w:rPr>
        <w:t xml:space="preserve">will interact </w:t>
      </w:r>
      <w:r w:rsidR="000F3131" w:rsidRPr="003132D0">
        <w:rPr>
          <w:rFonts w:asciiTheme="minorHAnsi" w:eastAsiaTheme="minorEastAsia" w:hAnsiTheme="minorHAnsi" w:cstheme="minorHAnsi"/>
          <w:bCs/>
          <w:color w:val="000000" w:themeColor="text1"/>
          <w:kern w:val="24"/>
          <w:szCs w:val="21"/>
        </w:rPr>
        <w:t xml:space="preserve">with the </w:t>
      </w:r>
      <w:r w:rsidR="000F3131">
        <w:rPr>
          <w:rFonts w:asciiTheme="minorHAnsi" w:eastAsiaTheme="minorEastAsia" w:hAnsiTheme="minorHAnsi" w:cstheme="minorHAnsi"/>
          <w:bCs/>
          <w:color w:val="000000" w:themeColor="text1"/>
          <w:kern w:val="24"/>
          <w:szCs w:val="21"/>
        </w:rPr>
        <w:t>s</w:t>
      </w:r>
      <w:r w:rsidR="000F3131" w:rsidRPr="003132D0">
        <w:rPr>
          <w:rFonts w:asciiTheme="minorHAnsi" w:eastAsiaTheme="minorEastAsia" w:hAnsiTheme="minorHAnsi" w:cstheme="minorHAnsi"/>
          <w:bCs/>
          <w:color w:val="000000" w:themeColor="text1"/>
          <w:kern w:val="24"/>
          <w:szCs w:val="21"/>
        </w:rPr>
        <w:t xml:space="preserve">ocial </w:t>
      </w:r>
      <w:r w:rsidR="000F3131">
        <w:rPr>
          <w:rFonts w:asciiTheme="minorHAnsi" w:eastAsiaTheme="minorEastAsia" w:hAnsiTheme="minorHAnsi" w:cstheme="minorHAnsi"/>
          <w:bCs/>
          <w:color w:val="000000" w:themeColor="text1"/>
          <w:kern w:val="24"/>
          <w:szCs w:val="21"/>
        </w:rPr>
        <w:t>s</w:t>
      </w:r>
      <w:r w:rsidR="000F3131" w:rsidRPr="003132D0">
        <w:rPr>
          <w:rFonts w:asciiTheme="minorHAnsi" w:eastAsiaTheme="minorEastAsia" w:hAnsiTheme="minorHAnsi" w:cstheme="minorHAnsi"/>
          <w:bCs/>
          <w:color w:val="000000" w:themeColor="text1"/>
          <w:kern w:val="24"/>
          <w:szCs w:val="21"/>
        </w:rPr>
        <w:t>ecurity system</w:t>
      </w:r>
      <w:r w:rsidR="002B6B06">
        <w:rPr>
          <w:rFonts w:asciiTheme="minorHAnsi" w:eastAsiaTheme="minorEastAsia" w:hAnsiTheme="minorHAnsi" w:cstheme="minorHAnsi"/>
          <w:bCs/>
          <w:color w:val="000000" w:themeColor="text1"/>
          <w:kern w:val="24"/>
          <w:szCs w:val="21"/>
        </w:rPr>
        <w:t xml:space="preserve"> in the future</w:t>
      </w:r>
      <w:r w:rsidR="000F3131">
        <w:rPr>
          <w:rFonts w:asciiTheme="minorHAnsi" w:eastAsiaTheme="minorEastAsia" w:hAnsiTheme="minorHAnsi" w:cstheme="minorHAnsi"/>
          <w:bCs/>
          <w:color w:val="000000" w:themeColor="text1"/>
          <w:kern w:val="24"/>
          <w:szCs w:val="21"/>
        </w:rPr>
        <w:t xml:space="preserve">. </w:t>
      </w:r>
      <w:r w:rsidR="002B6B06">
        <w:rPr>
          <w:rFonts w:asciiTheme="minorHAnsi" w:eastAsiaTheme="minorEastAsia" w:hAnsiTheme="minorHAnsi" w:cstheme="minorHAnsi"/>
          <w:bCs/>
          <w:color w:val="000000" w:themeColor="text1"/>
          <w:kern w:val="24"/>
          <w:szCs w:val="21"/>
        </w:rPr>
        <w:t>Insights from the projections can assist in identifying vulnerable groups and opportunities to provide targeted support at critical points in people</w:t>
      </w:r>
      <w:r w:rsidR="00B04FCE">
        <w:rPr>
          <w:rFonts w:asciiTheme="minorHAnsi" w:eastAsiaTheme="minorEastAsia" w:hAnsiTheme="minorHAnsi" w:cstheme="minorHAnsi"/>
          <w:bCs/>
          <w:color w:val="000000" w:themeColor="text1"/>
          <w:kern w:val="24"/>
          <w:szCs w:val="21"/>
        </w:rPr>
        <w:t>’</w:t>
      </w:r>
      <w:r w:rsidR="002B6B06">
        <w:rPr>
          <w:rFonts w:asciiTheme="minorHAnsi" w:eastAsiaTheme="minorEastAsia" w:hAnsiTheme="minorHAnsi" w:cstheme="minorHAnsi"/>
          <w:bCs/>
          <w:color w:val="000000" w:themeColor="text1"/>
          <w:kern w:val="24"/>
          <w:szCs w:val="21"/>
        </w:rPr>
        <w:t>s lives.</w:t>
      </w:r>
    </w:p>
    <w:p w14:paraId="7D18BA34" w14:textId="77777777" w:rsidR="0079546C" w:rsidRDefault="0079546C" w:rsidP="0079546C">
      <w:pPr>
        <w:rPr>
          <w:rFonts w:asciiTheme="minorHAnsi" w:eastAsiaTheme="minorEastAsia" w:hAnsiTheme="minorHAnsi" w:cstheme="minorHAnsi"/>
          <w:bCs/>
          <w:color w:val="000000" w:themeColor="text1"/>
          <w:kern w:val="24"/>
          <w:szCs w:val="21"/>
        </w:rPr>
      </w:pPr>
      <w:r>
        <w:rPr>
          <w:rFonts w:asciiTheme="minorHAnsi" w:eastAsiaTheme="minorEastAsia" w:hAnsiTheme="minorHAnsi" w:cstheme="minorHAnsi"/>
          <w:bCs/>
          <w:color w:val="000000" w:themeColor="text1"/>
          <w:kern w:val="24"/>
          <w:szCs w:val="21"/>
        </w:rPr>
        <w:t>Descriptions of social security payments used throughout this report are consistent with payment settings in place as at 30 June 2022.</w:t>
      </w:r>
    </w:p>
    <w:p w14:paraId="442C3912" w14:textId="513C813B" w:rsidR="00B04FCE" w:rsidRDefault="000F3131" w:rsidP="00E37F73">
      <w:pPr>
        <w:pStyle w:val="Heading2notnumbered"/>
        <w:rPr>
          <w:rFonts w:eastAsiaTheme="minorEastAsia"/>
        </w:rPr>
      </w:pPr>
      <w:r w:rsidRPr="00796AA6">
        <w:rPr>
          <w:rFonts w:eastAsiaTheme="minorEastAsia"/>
        </w:rPr>
        <w:t>At 30</w:t>
      </w:r>
      <w:r w:rsidR="00E46C6A">
        <w:rPr>
          <w:rFonts w:eastAsiaTheme="minorEastAsia"/>
        </w:rPr>
        <w:t> June </w:t>
      </w:r>
      <w:r w:rsidRPr="00796AA6">
        <w:rPr>
          <w:rFonts w:eastAsiaTheme="minorEastAsia"/>
        </w:rPr>
        <w:t xml:space="preserve">2022, the </w:t>
      </w:r>
      <w:r>
        <w:rPr>
          <w:rFonts w:eastAsiaTheme="minorEastAsia"/>
        </w:rPr>
        <w:t>Lifetime Cost</w:t>
      </w:r>
      <w:r w:rsidRPr="00796AA6">
        <w:rPr>
          <w:rFonts w:eastAsiaTheme="minorEastAsia"/>
        </w:rPr>
        <w:t xml:space="preserve"> for the </w:t>
      </w:r>
      <w:r>
        <w:rPr>
          <w:rFonts w:eastAsiaTheme="minorEastAsia"/>
        </w:rPr>
        <w:t>social security</w:t>
      </w:r>
      <w:r w:rsidRPr="00796AA6">
        <w:rPr>
          <w:rFonts w:eastAsiaTheme="minorEastAsia"/>
        </w:rPr>
        <w:t xml:space="preserve"> system is estimated at $5.553</w:t>
      </w:r>
      <w:r w:rsidR="00790C64">
        <w:rPr>
          <w:rFonts w:eastAsiaTheme="minorEastAsia"/>
        </w:rPr>
        <w:t> trillion</w:t>
      </w:r>
      <w:r w:rsidR="002B6B06">
        <w:rPr>
          <w:rFonts w:eastAsiaTheme="minorEastAsia"/>
        </w:rPr>
        <w:t>.</w:t>
      </w:r>
      <w:r w:rsidRPr="00796AA6">
        <w:rPr>
          <w:rFonts w:eastAsiaTheme="minorEastAsia"/>
        </w:rPr>
        <w:t xml:space="preserve"> </w:t>
      </w:r>
      <w:r w:rsidR="002B6B06">
        <w:rPr>
          <w:rFonts w:eastAsiaTheme="minorEastAsia"/>
        </w:rPr>
        <w:t>F</w:t>
      </w:r>
      <w:r w:rsidRPr="00796AA6">
        <w:rPr>
          <w:rFonts w:eastAsiaTheme="minorEastAsia"/>
        </w:rPr>
        <w:t>or 26.1</w:t>
      </w:r>
      <w:r w:rsidR="00F40387">
        <w:rPr>
          <w:rFonts w:eastAsiaTheme="minorEastAsia"/>
        </w:rPr>
        <w:t> million</w:t>
      </w:r>
      <w:r w:rsidRPr="00796AA6">
        <w:rPr>
          <w:rFonts w:eastAsiaTheme="minorEastAsia"/>
        </w:rPr>
        <w:t xml:space="preserve"> Australians, that is </w:t>
      </w:r>
      <w:r w:rsidR="002B6B06">
        <w:rPr>
          <w:rFonts w:eastAsiaTheme="minorEastAsia"/>
        </w:rPr>
        <w:t xml:space="preserve">on average </w:t>
      </w:r>
      <w:r w:rsidRPr="00796AA6">
        <w:rPr>
          <w:rFonts w:eastAsiaTheme="minorEastAsia"/>
        </w:rPr>
        <w:t>$21</w:t>
      </w:r>
      <w:r w:rsidR="00382711">
        <w:rPr>
          <w:rFonts w:eastAsiaTheme="minorEastAsia"/>
        </w:rPr>
        <w:t>3</w:t>
      </w:r>
      <w:r w:rsidRPr="00796AA6">
        <w:rPr>
          <w:rFonts w:eastAsiaTheme="minorEastAsia"/>
        </w:rPr>
        <w:t xml:space="preserve">,000 per </w:t>
      </w:r>
      <w:r w:rsidRPr="00F615E6">
        <w:rPr>
          <w:rFonts w:eastAsiaTheme="minorEastAsia"/>
        </w:rPr>
        <w:t>person</w:t>
      </w:r>
      <w:r w:rsidRPr="00796AA6">
        <w:rPr>
          <w:rFonts w:eastAsiaTheme="minorEastAsia"/>
        </w:rPr>
        <w:t>.</w:t>
      </w:r>
    </w:p>
    <w:p w14:paraId="6FA516F2" w14:textId="77777777" w:rsidR="00B04FCE" w:rsidRDefault="000F3131" w:rsidP="006E301F">
      <w:pPr>
        <w:rPr>
          <w:rFonts w:asciiTheme="minorHAnsi" w:eastAsiaTheme="minorEastAsia" w:hAnsiTheme="minorHAnsi" w:cstheme="minorHAnsi"/>
          <w:bCs/>
          <w:color w:val="000000" w:themeColor="text1"/>
          <w:kern w:val="24"/>
          <w:szCs w:val="21"/>
        </w:rPr>
      </w:pPr>
      <w:r>
        <w:rPr>
          <w:rFonts w:asciiTheme="minorHAnsi" w:eastAsiaTheme="minorEastAsia" w:hAnsiTheme="minorHAnsi" w:cstheme="minorHAnsi"/>
          <w:bCs/>
          <w:color w:val="000000" w:themeColor="text1"/>
          <w:kern w:val="24"/>
          <w:szCs w:val="21"/>
        </w:rPr>
        <w:t>T</w:t>
      </w:r>
      <w:r w:rsidRPr="00BD0ACB">
        <w:rPr>
          <w:rFonts w:asciiTheme="minorHAnsi" w:eastAsiaTheme="minorEastAsia" w:hAnsiTheme="minorHAnsi" w:cstheme="minorHAnsi"/>
          <w:bCs/>
          <w:color w:val="000000" w:themeColor="text1"/>
          <w:kern w:val="24"/>
          <w:szCs w:val="21"/>
        </w:rPr>
        <w:t>he main</w:t>
      </w:r>
      <w:r>
        <w:rPr>
          <w:rFonts w:asciiTheme="minorHAnsi" w:eastAsiaTheme="minorEastAsia" w:hAnsiTheme="minorHAnsi" w:cstheme="minorHAnsi"/>
          <w:bCs/>
          <w:color w:val="000000" w:themeColor="text1"/>
          <w:kern w:val="24"/>
          <w:szCs w:val="21"/>
        </w:rPr>
        <w:t xml:space="preserve"> contributors to Lifetime Cost are </w:t>
      </w:r>
      <w:r w:rsidRPr="00BD0ACB">
        <w:rPr>
          <w:rFonts w:asciiTheme="minorHAnsi" w:eastAsiaTheme="minorEastAsia" w:hAnsiTheme="minorHAnsi" w:cstheme="minorHAnsi"/>
          <w:bCs/>
          <w:color w:val="000000" w:themeColor="text1"/>
          <w:kern w:val="24"/>
          <w:szCs w:val="21"/>
        </w:rPr>
        <w:t>income support payments</w:t>
      </w:r>
      <w:r>
        <w:rPr>
          <w:rFonts w:asciiTheme="minorHAnsi" w:eastAsiaTheme="minorEastAsia" w:hAnsiTheme="minorHAnsi" w:cstheme="minorHAnsi"/>
          <w:bCs/>
          <w:color w:val="000000" w:themeColor="text1"/>
          <w:kern w:val="24"/>
          <w:szCs w:val="21"/>
        </w:rPr>
        <w:t>,</w:t>
      </w:r>
      <w:r w:rsidRPr="00BD0ACB">
        <w:rPr>
          <w:rFonts w:asciiTheme="minorHAnsi" w:eastAsiaTheme="minorEastAsia" w:hAnsiTheme="minorHAnsi" w:cstheme="minorHAnsi"/>
          <w:bCs/>
          <w:color w:val="000000" w:themeColor="text1"/>
          <w:kern w:val="24"/>
          <w:szCs w:val="21"/>
        </w:rPr>
        <w:t xml:space="preserve"> and </w:t>
      </w:r>
      <w:r>
        <w:rPr>
          <w:rFonts w:asciiTheme="minorHAnsi" w:eastAsiaTheme="minorEastAsia" w:hAnsiTheme="minorHAnsi" w:cstheme="minorHAnsi"/>
          <w:bCs/>
          <w:color w:val="000000" w:themeColor="text1"/>
          <w:kern w:val="24"/>
          <w:szCs w:val="21"/>
        </w:rPr>
        <w:t xml:space="preserve">family </w:t>
      </w:r>
      <w:r w:rsidRPr="00BD0ACB">
        <w:rPr>
          <w:rFonts w:asciiTheme="minorHAnsi" w:eastAsiaTheme="minorEastAsia" w:hAnsiTheme="minorHAnsi" w:cstheme="minorHAnsi"/>
          <w:bCs/>
          <w:color w:val="000000" w:themeColor="text1"/>
          <w:kern w:val="24"/>
          <w:szCs w:val="21"/>
        </w:rPr>
        <w:t>payments</w:t>
      </w:r>
      <w:r>
        <w:rPr>
          <w:rFonts w:asciiTheme="minorHAnsi" w:eastAsiaTheme="minorEastAsia" w:hAnsiTheme="minorHAnsi" w:cstheme="minorHAnsi"/>
          <w:bCs/>
          <w:color w:val="000000" w:themeColor="text1"/>
          <w:kern w:val="24"/>
          <w:szCs w:val="21"/>
        </w:rPr>
        <w:t>.</w:t>
      </w:r>
    </w:p>
    <w:p w14:paraId="3E9DD9A6" w14:textId="128AD0E4" w:rsidR="00B04FCE" w:rsidRDefault="000F3131" w:rsidP="006E301F">
      <w:pPr>
        <w:rPr>
          <w:rFonts w:asciiTheme="minorHAnsi" w:eastAsiaTheme="minorEastAsia" w:hAnsiTheme="minorHAnsi" w:cstheme="minorHAnsi"/>
          <w:bCs/>
          <w:color w:val="000000" w:themeColor="text1"/>
          <w:kern w:val="24"/>
          <w:szCs w:val="21"/>
        </w:rPr>
      </w:pPr>
      <w:r w:rsidRPr="00796AA6">
        <w:rPr>
          <w:rFonts w:asciiTheme="minorHAnsi" w:eastAsiaTheme="minorEastAsia" w:hAnsiTheme="minorHAnsi" w:cstheme="minorHAnsi"/>
          <w:bCs/>
          <w:color w:val="000000" w:themeColor="text1"/>
          <w:kern w:val="24"/>
          <w:szCs w:val="21"/>
        </w:rPr>
        <w:t xml:space="preserve">The </w:t>
      </w:r>
      <w:r w:rsidR="000C4738">
        <w:rPr>
          <w:rFonts w:asciiTheme="minorHAnsi" w:eastAsiaTheme="minorEastAsia" w:hAnsiTheme="minorHAnsi" w:cstheme="minorHAnsi"/>
          <w:bCs/>
          <w:color w:val="000000" w:themeColor="text1"/>
          <w:kern w:val="24"/>
          <w:szCs w:val="21"/>
        </w:rPr>
        <w:t>largest</w:t>
      </w:r>
      <w:r w:rsidR="000C4738" w:rsidRPr="00796AA6">
        <w:rPr>
          <w:rFonts w:asciiTheme="minorHAnsi" w:eastAsiaTheme="minorEastAsia" w:hAnsiTheme="minorHAnsi" w:cstheme="minorHAnsi"/>
          <w:bCs/>
          <w:color w:val="000000" w:themeColor="text1"/>
          <w:kern w:val="24"/>
          <w:szCs w:val="21"/>
        </w:rPr>
        <w:t xml:space="preserve"> </w:t>
      </w:r>
      <w:r w:rsidRPr="00796AA6">
        <w:rPr>
          <w:rFonts w:asciiTheme="minorHAnsi" w:eastAsiaTheme="minorEastAsia" w:hAnsiTheme="minorHAnsi" w:cstheme="minorHAnsi"/>
          <w:bCs/>
          <w:color w:val="000000" w:themeColor="text1"/>
          <w:kern w:val="24"/>
          <w:szCs w:val="21"/>
        </w:rPr>
        <w:t xml:space="preserve">contributor to </w:t>
      </w:r>
      <w:r>
        <w:rPr>
          <w:rFonts w:asciiTheme="minorHAnsi" w:eastAsiaTheme="minorEastAsia" w:hAnsiTheme="minorHAnsi" w:cstheme="minorHAnsi"/>
          <w:bCs/>
          <w:color w:val="000000" w:themeColor="text1"/>
          <w:kern w:val="24"/>
          <w:szCs w:val="21"/>
        </w:rPr>
        <w:t>Lifetime Cost</w:t>
      </w:r>
      <w:r w:rsidRPr="00796AA6">
        <w:rPr>
          <w:rFonts w:asciiTheme="minorHAnsi" w:eastAsiaTheme="minorEastAsia" w:hAnsiTheme="minorHAnsi" w:cstheme="minorHAnsi"/>
          <w:bCs/>
          <w:color w:val="000000" w:themeColor="text1"/>
          <w:kern w:val="24"/>
          <w:szCs w:val="21"/>
        </w:rPr>
        <w:t xml:space="preserve"> is the Age Pension ($3</w:t>
      </w:r>
      <w:r w:rsidR="008B6186">
        <w:rPr>
          <w:rFonts w:asciiTheme="minorHAnsi" w:eastAsiaTheme="minorEastAsia" w:hAnsiTheme="minorHAnsi" w:cstheme="minorHAnsi"/>
          <w:bCs/>
          <w:color w:val="000000" w:themeColor="text1"/>
          <w:kern w:val="24"/>
          <w:szCs w:val="21"/>
        </w:rPr>
        <w:t>.</w:t>
      </w:r>
      <w:r>
        <w:rPr>
          <w:rFonts w:asciiTheme="minorHAnsi" w:eastAsiaTheme="minorEastAsia" w:hAnsiTheme="minorHAnsi" w:cstheme="minorHAnsi"/>
          <w:bCs/>
          <w:color w:val="000000" w:themeColor="text1"/>
          <w:kern w:val="24"/>
          <w:szCs w:val="21"/>
        </w:rPr>
        <w:t>3</w:t>
      </w:r>
      <w:r w:rsidR="00790C64">
        <w:rPr>
          <w:rFonts w:asciiTheme="minorHAnsi" w:eastAsiaTheme="minorEastAsia" w:hAnsiTheme="minorHAnsi" w:cstheme="minorHAnsi"/>
          <w:bCs/>
          <w:color w:val="000000" w:themeColor="text1"/>
          <w:kern w:val="24"/>
          <w:szCs w:val="21"/>
        </w:rPr>
        <w:t> trillion</w:t>
      </w:r>
      <w:r>
        <w:rPr>
          <w:rFonts w:asciiTheme="minorHAnsi" w:eastAsiaTheme="minorEastAsia" w:hAnsiTheme="minorHAnsi" w:cstheme="minorHAnsi"/>
          <w:bCs/>
          <w:color w:val="000000" w:themeColor="text1"/>
          <w:kern w:val="24"/>
          <w:szCs w:val="21"/>
        </w:rPr>
        <w:t>, or 59</w:t>
      </w:r>
      <w:r w:rsidRPr="00796AA6">
        <w:rPr>
          <w:rFonts w:asciiTheme="minorHAnsi" w:eastAsiaTheme="minorEastAsia" w:hAnsiTheme="minorHAnsi" w:cstheme="minorHAnsi"/>
          <w:bCs/>
          <w:color w:val="000000" w:themeColor="text1"/>
          <w:kern w:val="24"/>
          <w:szCs w:val="21"/>
        </w:rPr>
        <w:t xml:space="preserve">% of the total). </w:t>
      </w:r>
      <w:r w:rsidR="00BB023F">
        <w:rPr>
          <w:rFonts w:asciiTheme="minorHAnsi" w:eastAsiaTheme="minorEastAsia" w:hAnsiTheme="minorHAnsi" w:cstheme="minorHAnsi"/>
          <w:bCs/>
          <w:color w:val="000000" w:themeColor="text1"/>
          <w:kern w:val="24"/>
          <w:szCs w:val="21"/>
        </w:rPr>
        <w:t>Supplementary family</w:t>
      </w:r>
      <w:r>
        <w:rPr>
          <w:rFonts w:asciiTheme="minorHAnsi" w:eastAsiaTheme="minorEastAsia" w:hAnsiTheme="minorHAnsi" w:cstheme="minorHAnsi"/>
          <w:bCs/>
          <w:color w:val="000000" w:themeColor="text1"/>
          <w:kern w:val="24"/>
          <w:szCs w:val="21"/>
        </w:rPr>
        <w:t xml:space="preserve"> payments </w:t>
      </w:r>
      <w:r w:rsidR="00B151A2">
        <w:rPr>
          <w:rFonts w:asciiTheme="minorHAnsi" w:eastAsiaTheme="minorEastAsia" w:hAnsiTheme="minorHAnsi" w:cstheme="minorHAnsi"/>
          <w:bCs/>
          <w:color w:val="000000" w:themeColor="text1"/>
          <w:kern w:val="24"/>
          <w:szCs w:val="21"/>
        </w:rPr>
        <w:t xml:space="preserve">- including </w:t>
      </w:r>
      <w:r w:rsidR="005E3E8F">
        <w:rPr>
          <w:rFonts w:asciiTheme="minorHAnsi" w:eastAsiaTheme="minorEastAsia" w:hAnsiTheme="minorHAnsi" w:cstheme="minorHAnsi"/>
          <w:bCs/>
          <w:color w:val="000000" w:themeColor="text1"/>
          <w:kern w:val="24"/>
          <w:szCs w:val="21"/>
        </w:rPr>
        <w:t>F</w:t>
      </w:r>
      <w:r w:rsidR="00C50521">
        <w:rPr>
          <w:rFonts w:asciiTheme="minorHAnsi" w:eastAsiaTheme="minorEastAsia" w:hAnsiTheme="minorHAnsi" w:cstheme="minorHAnsi"/>
          <w:bCs/>
          <w:color w:val="000000" w:themeColor="text1"/>
          <w:kern w:val="24"/>
          <w:szCs w:val="21"/>
        </w:rPr>
        <w:t xml:space="preserve">amily </w:t>
      </w:r>
      <w:r w:rsidR="005E3E8F">
        <w:rPr>
          <w:rFonts w:asciiTheme="minorHAnsi" w:eastAsiaTheme="minorEastAsia" w:hAnsiTheme="minorHAnsi" w:cstheme="minorHAnsi"/>
          <w:bCs/>
          <w:color w:val="000000" w:themeColor="text1"/>
          <w:kern w:val="24"/>
          <w:szCs w:val="21"/>
        </w:rPr>
        <w:t>T</w:t>
      </w:r>
      <w:r w:rsidR="00C50521">
        <w:rPr>
          <w:rFonts w:asciiTheme="minorHAnsi" w:eastAsiaTheme="minorEastAsia" w:hAnsiTheme="minorHAnsi" w:cstheme="minorHAnsi"/>
          <w:bCs/>
          <w:color w:val="000000" w:themeColor="text1"/>
          <w:kern w:val="24"/>
          <w:szCs w:val="21"/>
        </w:rPr>
        <w:t xml:space="preserve">ax </w:t>
      </w:r>
      <w:r w:rsidR="005E3E8F">
        <w:rPr>
          <w:rFonts w:asciiTheme="minorHAnsi" w:eastAsiaTheme="minorEastAsia" w:hAnsiTheme="minorHAnsi" w:cstheme="minorHAnsi"/>
          <w:bCs/>
          <w:color w:val="000000" w:themeColor="text1"/>
          <w:kern w:val="24"/>
          <w:szCs w:val="21"/>
        </w:rPr>
        <w:t>B</w:t>
      </w:r>
      <w:r w:rsidR="00C50521">
        <w:rPr>
          <w:rFonts w:asciiTheme="minorHAnsi" w:eastAsiaTheme="minorEastAsia" w:hAnsiTheme="minorHAnsi" w:cstheme="minorHAnsi"/>
          <w:bCs/>
          <w:color w:val="000000" w:themeColor="text1"/>
          <w:kern w:val="24"/>
          <w:szCs w:val="21"/>
        </w:rPr>
        <w:t>enefit</w:t>
      </w:r>
      <w:r w:rsidR="005E3E8F">
        <w:rPr>
          <w:rFonts w:asciiTheme="minorHAnsi" w:eastAsiaTheme="minorEastAsia" w:hAnsiTheme="minorHAnsi" w:cstheme="minorHAnsi"/>
          <w:bCs/>
          <w:color w:val="000000" w:themeColor="text1"/>
          <w:kern w:val="24"/>
          <w:szCs w:val="21"/>
        </w:rPr>
        <w:t xml:space="preserve"> </w:t>
      </w:r>
      <w:r w:rsidR="00174EAC">
        <w:rPr>
          <w:rFonts w:asciiTheme="minorHAnsi" w:eastAsiaTheme="minorEastAsia" w:hAnsiTheme="minorHAnsi" w:cstheme="minorHAnsi"/>
          <w:bCs/>
          <w:color w:val="000000" w:themeColor="text1"/>
          <w:kern w:val="24"/>
          <w:szCs w:val="21"/>
        </w:rPr>
        <w:t>(FTB)</w:t>
      </w:r>
      <w:r w:rsidR="005E3E8F">
        <w:rPr>
          <w:rFonts w:asciiTheme="minorHAnsi" w:eastAsiaTheme="minorEastAsia" w:hAnsiTheme="minorHAnsi" w:cstheme="minorHAnsi"/>
          <w:bCs/>
          <w:color w:val="000000" w:themeColor="text1"/>
          <w:kern w:val="24"/>
          <w:szCs w:val="21"/>
        </w:rPr>
        <w:t xml:space="preserve"> and </w:t>
      </w:r>
      <w:r w:rsidR="00DB45E0">
        <w:rPr>
          <w:rFonts w:asciiTheme="minorHAnsi" w:eastAsiaTheme="minorEastAsia" w:hAnsiTheme="minorHAnsi" w:cstheme="minorHAnsi"/>
          <w:bCs/>
          <w:color w:val="000000" w:themeColor="text1"/>
          <w:kern w:val="24"/>
          <w:szCs w:val="21"/>
        </w:rPr>
        <w:t>other family payments</w:t>
      </w:r>
      <w:r>
        <w:rPr>
          <w:rFonts w:asciiTheme="minorHAnsi" w:eastAsiaTheme="minorEastAsia" w:hAnsiTheme="minorHAnsi" w:cstheme="minorHAnsi"/>
          <w:bCs/>
          <w:color w:val="000000" w:themeColor="text1"/>
          <w:kern w:val="24"/>
          <w:szCs w:val="21"/>
        </w:rPr>
        <w:t xml:space="preserve"> </w:t>
      </w:r>
      <w:r w:rsidR="009E5DBF">
        <w:rPr>
          <w:rFonts w:asciiTheme="minorHAnsi" w:eastAsiaTheme="minorEastAsia" w:hAnsiTheme="minorHAnsi" w:cstheme="minorHAnsi"/>
          <w:bCs/>
          <w:color w:val="000000" w:themeColor="text1"/>
          <w:kern w:val="24"/>
          <w:szCs w:val="21"/>
        </w:rPr>
        <w:t>-</w:t>
      </w:r>
      <w:r>
        <w:rPr>
          <w:rFonts w:asciiTheme="minorHAnsi" w:eastAsiaTheme="minorEastAsia" w:hAnsiTheme="minorHAnsi" w:cstheme="minorHAnsi"/>
          <w:bCs/>
          <w:color w:val="000000" w:themeColor="text1"/>
          <w:kern w:val="24"/>
          <w:szCs w:val="21"/>
        </w:rPr>
        <w:t xml:space="preserve"> ($</w:t>
      </w:r>
      <w:r w:rsidR="008A58A1">
        <w:rPr>
          <w:rFonts w:asciiTheme="minorHAnsi" w:eastAsiaTheme="minorEastAsia" w:hAnsiTheme="minorHAnsi" w:cstheme="minorHAnsi"/>
          <w:bCs/>
          <w:color w:val="000000" w:themeColor="text1"/>
          <w:kern w:val="24"/>
          <w:szCs w:val="21"/>
        </w:rPr>
        <w:t>560</w:t>
      </w:r>
      <w:r w:rsidR="00790C64">
        <w:rPr>
          <w:rFonts w:asciiTheme="minorHAnsi" w:eastAsiaTheme="minorEastAsia" w:hAnsiTheme="minorHAnsi" w:cstheme="minorHAnsi"/>
          <w:bCs/>
          <w:color w:val="000000" w:themeColor="text1"/>
          <w:kern w:val="24"/>
          <w:szCs w:val="21"/>
        </w:rPr>
        <w:t> billion</w:t>
      </w:r>
      <w:r w:rsidRPr="00796AA6">
        <w:rPr>
          <w:rFonts w:asciiTheme="minorHAnsi" w:eastAsiaTheme="minorEastAsia" w:hAnsiTheme="minorHAnsi" w:cstheme="minorHAnsi"/>
          <w:bCs/>
          <w:color w:val="000000" w:themeColor="text1"/>
          <w:kern w:val="24"/>
          <w:szCs w:val="21"/>
        </w:rPr>
        <w:t>)</w:t>
      </w:r>
      <w:r>
        <w:rPr>
          <w:rFonts w:asciiTheme="minorHAnsi" w:eastAsiaTheme="minorEastAsia" w:hAnsiTheme="minorHAnsi" w:cstheme="minorHAnsi"/>
          <w:bCs/>
          <w:color w:val="000000" w:themeColor="text1"/>
          <w:kern w:val="24"/>
          <w:szCs w:val="21"/>
        </w:rPr>
        <w:t>,</w:t>
      </w:r>
      <w:r w:rsidRPr="00796AA6">
        <w:rPr>
          <w:rFonts w:asciiTheme="minorHAnsi" w:eastAsiaTheme="minorEastAsia" w:hAnsiTheme="minorHAnsi" w:cstheme="minorHAnsi"/>
          <w:bCs/>
          <w:color w:val="000000" w:themeColor="text1"/>
          <w:kern w:val="24"/>
          <w:szCs w:val="21"/>
        </w:rPr>
        <w:t xml:space="preserve"> and Disability Support Pension </w:t>
      </w:r>
      <w:r w:rsidR="00174EAC">
        <w:rPr>
          <w:rFonts w:asciiTheme="minorHAnsi" w:eastAsiaTheme="minorEastAsia" w:hAnsiTheme="minorHAnsi" w:cstheme="minorHAnsi"/>
          <w:bCs/>
          <w:color w:val="000000" w:themeColor="text1"/>
          <w:kern w:val="24"/>
          <w:szCs w:val="21"/>
        </w:rPr>
        <w:t xml:space="preserve">(DSP) </w:t>
      </w:r>
      <w:r w:rsidRPr="00796AA6">
        <w:rPr>
          <w:rFonts w:asciiTheme="minorHAnsi" w:eastAsiaTheme="minorEastAsia" w:hAnsiTheme="minorHAnsi" w:cstheme="minorHAnsi"/>
          <w:bCs/>
          <w:color w:val="000000" w:themeColor="text1"/>
          <w:kern w:val="24"/>
          <w:szCs w:val="21"/>
        </w:rPr>
        <w:t>($</w:t>
      </w:r>
      <w:r>
        <w:rPr>
          <w:rFonts w:asciiTheme="minorHAnsi" w:eastAsiaTheme="minorEastAsia" w:hAnsiTheme="minorHAnsi" w:cstheme="minorHAnsi"/>
          <w:bCs/>
          <w:color w:val="000000" w:themeColor="text1"/>
          <w:kern w:val="24"/>
          <w:szCs w:val="21"/>
        </w:rPr>
        <w:t>560</w:t>
      </w:r>
      <w:r w:rsidR="00790C64">
        <w:rPr>
          <w:rFonts w:asciiTheme="minorHAnsi" w:eastAsiaTheme="minorEastAsia" w:hAnsiTheme="minorHAnsi" w:cstheme="minorHAnsi"/>
          <w:bCs/>
          <w:color w:val="000000" w:themeColor="text1"/>
          <w:kern w:val="24"/>
          <w:szCs w:val="21"/>
        </w:rPr>
        <w:t> billion</w:t>
      </w:r>
      <w:r>
        <w:rPr>
          <w:rFonts w:asciiTheme="minorHAnsi" w:eastAsiaTheme="minorEastAsia" w:hAnsiTheme="minorHAnsi" w:cstheme="minorHAnsi"/>
          <w:bCs/>
          <w:color w:val="000000" w:themeColor="text1"/>
          <w:kern w:val="24"/>
          <w:szCs w:val="21"/>
        </w:rPr>
        <w:t>)</w:t>
      </w:r>
      <w:r w:rsidRPr="00796AA6">
        <w:rPr>
          <w:rFonts w:asciiTheme="minorHAnsi" w:eastAsiaTheme="minorEastAsia" w:hAnsiTheme="minorHAnsi" w:cstheme="minorHAnsi"/>
          <w:bCs/>
          <w:color w:val="000000" w:themeColor="text1"/>
          <w:kern w:val="24"/>
          <w:szCs w:val="21"/>
        </w:rPr>
        <w:t xml:space="preserve"> are </w:t>
      </w:r>
      <w:r>
        <w:rPr>
          <w:rFonts w:asciiTheme="minorHAnsi" w:eastAsiaTheme="minorEastAsia" w:hAnsiTheme="minorHAnsi" w:cstheme="minorHAnsi"/>
          <w:bCs/>
          <w:color w:val="000000" w:themeColor="text1"/>
          <w:kern w:val="24"/>
          <w:szCs w:val="21"/>
        </w:rPr>
        <w:t xml:space="preserve">the next largest </w:t>
      </w:r>
      <w:r w:rsidRPr="00796AA6">
        <w:rPr>
          <w:rFonts w:asciiTheme="minorHAnsi" w:eastAsiaTheme="minorEastAsia" w:hAnsiTheme="minorHAnsi" w:cstheme="minorHAnsi"/>
          <w:bCs/>
          <w:color w:val="000000" w:themeColor="text1"/>
          <w:kern w:val="24"/>
          <w:szCs w:val="21"/>
        </w:rPr>
        <w:t xml:space="preserve">contributors </w:t>
      </w:r>
      <w:r>
        <w:rPr>
          <w:rFonts w:asciiTheme="minorHAnsi" w:eastAsiaTheme="minorEastAsia" w:hAnsiTheme="minorHAnsi" w:cstheme="minorHAnsi"/>
          <w:bCs/>
          <w:color w:val="000000" w:themeColor="text1"/>
          <w:kern w:val="24"/>
          <w:szCs w:val="21"/>
        </w:rPr>
        <w:t xml:space="preserve">(20% of </w:t>
      </w:r>
      <w:r w:rsidRPr="00796AA6">
        <w:rPr>
          <w:rFonts w:asciiTheme="minorHAnsi" w:eastAsiaTheme="minorEastAsia" w:hAnsiTheme="minorHAnsi" w:cstheme="minorHAnsi"/>
          <w:bCs/>
          <w:color w:val="000000" w:themeColor="text1"/>
          <w:kern w:val="24"/>
          <w:szCs w:val="21"/>
        </w:rPr>
        <w:t xml:space="preserve">the total </w:t>
      </w:r>
      <w:r>
        <w:rPr>
          <w:rFonts w:asciiTheme="minorHAnsi" w:eastAsiaTheme="minorEastAsia" w:hAnsiTheme="minorHAnsi" w:cstheme="minorHAnsi"/>
          <w:bCs/>
          <w:color w:val="000000" w:themeColor="text1"/>
          <w:kern w:val="24"/>
          <w:szCs w:val="21"/>
        </w:rPr>
        <w:t>Lifetime Cost)</w:t>
      </w:r>
      <w:r w:rsidRPr="00796AA6">
        <w:rPr>
          <w:rFonts w:asciiTheme="minorHAnsi" w:eastAsiaTheme="minorEastAsia" w:hAnsiTheme="minorHAnsi" w:cstheme="minorHAnsi"/>
          <w:bCs/>
          <w:color w:val="000000" w:themeColor="text1"/>
          <w:kern w:val="24"/>
          <w:szCs w:val="21"/>
        </w:rPr>
        <w:t>.</w:t>
      </w:r>
    </w:p>
    <w:p w14:paraId="2968088F" w14:textId="5ACF4345" w:rsidR="00B04FCE" w:rsidRDefault="000F3131" w:rsidP="00121CD5">
      <w:pPr>
        <w:pStyle w:val="Heading2notnumbered"/>
        <w:rPr>
          <w:rFonts w:eastAsiaTheme="minorEastAsia"/>
        </w:rPr>
      </w:pPr>
      <w:r w:rsidRPr="003F05B8">
        <w:rPr>
          <w:rFonts w:eastAsiaTheme="minorEastAsia"/>
        </w:rPr>
        <w:t xml:space="preserve">Compared to </w:t>
      </w:r>
      <w:r w:rsidR="00020EAE">
        <w:rPr>
          <w:rFonts w:eastAsiaTheme="minorEastAsia"/>
        </w:rPr>
        <w:t xml:space="preserve">the </w:t>
      </w:r>
      <w:r w:rsidR="00112A11">
        <w:rPr>
          <w:rFonts w:eastAsiaTheme="minorEastAsia"/>
        </w:rPr>
        <w:t>30</w:t>
      </w:r>
      <w:r w:rsidR="00E46C6A">
        <w:rPr>
          <w:rFonts w:eastAsiaTheme="minorEastAsia"/>
        </w:rPr>
        <w:t> June </w:t>
      </w:r>
      <w:r w:rsidRPr="003F05B8">
        <w:rPr>
          <w:rFonts w:eastAsiaTheme="minorEastAsia"/>
        </w:rPr>
        <w:t>2021</w:t>
      </w:r>
      <w:r w:rsidR="00112A11">
        <w:rPr>
          <w:rFonts w:eastAsiaTheme="minorEastAsia"/>
        </w:rPr>
        <w:t xml:space="preserve"> valuation</w:t>
      </w:r>
      <w:r w:rsidRPr="003F05B8">
        <w:rPr>
          <w:rFonts w:eastAsiaTheme="minorEastAsia"/>
        </w:rPr>
        <w:t>, the Lifetime Cost has increased by $13</w:t>
      </w:r>
      <w:r w:rsidR="00D030E8">
        <w:rPr>
          <w:rFonts w:eastAsiaTheme="minorEastAsia"/>
        </w:rPr>
        <w:t>0</w:t>
      </w:r>
      <w:r w:rsidR="00790C64">
        <w:rPr>
          <w:rFonts w:eastAsiaTheme="minorEastAsia"/>
        </w:rPr>
        <w:t> </w:t>
      </w:r>
      <w:r w:rsidR="00790C64" w:rsidRPr="00121CD5">
        <w:rPr>
          <w:rFonts w:eastAsiaTheme="minorEastAsia"/>
        </w:rPr>
        <w:t>billion</w:t>
      </w:r>
      <w:r w:rsidRPr="003F05B8">
        <w:rPr>
          <w:rFonts w:eastAsiaTheme="minorEastAsia"/>
        </w:rPr>
        <w:t xml:space="preserve"> (2.4%).</w:t>
      </w:r>
    </w:p>
    <w:p w14:paraId="0E60973E" w14:textId="4193AA19" w:rsidR="000F3131" w:rsidRDefault="00F24F45" w:rsidP="00AC0D94">
      <w:pPr>
        <w:rPr>
          <w:rFonts w:asciiTheme="minorHAnsi" w:eastAsiaTheme="minorEastAsia" w:hAnsiTheme="minorHAnsi" w:cstheme="minorHAnsi"/>
          <w:color w:val="000000" w:themeColor="text1"/>
          <w:kern w:val="24"/>
          <w:szCs w:val="21"/>
        </w:rPr>
      </w:pPr>
      <w:r>
        <w:rPr>
          <w:rFonts w:asciiTheme="minorHAnsi" w:eastAsiaTheme="minorEastAsia" w:hAnsiTheme="minorHAnsi" w:cstheme="minorHAnsi"/>
          <w:noProof/>
          <w:color w:val="000000" w:themeColor="text1"/>
          <w:kern w:val="24"/>
          <w:szCs w:val="21"/>
        </w:rPr>
        <w:t>This</w:t>
      </w:r>
      <w:r w:rsidR="000F3131" w:rsidRPr="000D7DE5">
        <w:rPr>
          <w:rFonts w:asciiTheme="minorHAnsi" w:eastAsiaTheme="minorEastAsia" w:hAnsiTheme="minorHAnsi" w:cstheme="minorHAnsi"/>
          <w:noProof/>
          <w:color w:val="000000" w:themeColor="text1"/>
          <w:kern w:val="24"/>
          <w:szCs w:val="21"/>
        </w:rPr>
        <w:t xml:space="preserve"> reflects </w:t>
      </w:r>
      <w:r w:rsidR="000F3131">
        <w:rPr>
          <w:rFonts w:asciiTheme="minorHAnsi" w:eastAsiaTheme="minorEastAsia" w:hAnsiTheme="minorHAnsi" w:cstheme="minorHAnsi"/>
          <w:color w:val="000000" w:themeColor="text1"/>
          <w:kern w:val="24"/>
          <w:szCs w:val="21"/>
        </w:rPr>
        <w:t>the 1</w:t>
      </w:r>
      <w:r w:rsidR="004C3765">
        <w:rPr>
          <w:rFonts w:asciiTheme="minorHAnsi" w:eastAsiaTheme="minorEastAsia" w:hAnsiTheme="minorHAnsi" w:cstheme="minorHAnsi"/>
          <w:color w:val="000000" w:themeColor="text1"/>
          <w:kern w:val="24"/>
          <w:szCs w:val="21"/>
        </w:rPr>
        <w:t>.</w:t>
      </w:r>
      <w:r w:rsidR="000F3131">
        <w:rPr>
          <w:rFonts w:asciiTheme="minorHAnsi" w:eastAsiaTheme="minorEastAsia" w:hAnsiTheme="minorHAnsi" w:cstheme="minorHAnsi"/>
          <w:color w:val="000000" w:themeColor="text1"/>
          <w:kern w:val="24"/>
          <w:szCs w:val="21"/>
        </w:rPr>
        <w:t xml:space="preserve">1% </w:t>
      </w:r>
      <w:r w:rsidR="000F3131" w:rsidRPr="003C37AA">
        <w:rPr>
          <w:rFonts w:asciiTheme="minorHAnsi" w:eastAsiaTheme="minorEastAsia" w:hAnsiTheme="minorHAnsi" w:cstheme="minorHAnsi"/>
          <w:color w:val="000000" w:themeColor="text1"/>
          <w:kern w:val="24"/>
          <w:szCs w:val="21"/>
        </w:rPr>
        <w:t>population growth</w:t>
      </w:r>
      <w:r w:rsidR="000F3131">
        <w:rPr>
          <w:rFonts w:asciiTheme="minorHAnsi" w:eastAsiaTheme="minorEastAsia" w:hAnsiTheme="minorHAnsi" w:cstheme="minorHAnsi"/>
          <w:color w:val="000000" w:themeColor="text1"/>
          <w:kern w:val="24"/>
          <w:szCs w:val="21"/>
        </w:rPr>
        <w:t xml:space="preserve"> over the year</w:t>
      </w:r>
      <w:r w:rsidR="00AC0D94">
        <w:rPr>
          <w:rFonts w:asciiTheme="minorHAnsi" w:eastAsiaTheme="minorEastAsia" w:hAnsiTheme="minorHAnsi" w:cstheme="minorHAnsi"/>
          <w:color w:val="000000" w:themeColor="text1"/>
          <w:kern w:val="24"/>
          <w:szCs w:val="21"/>
        </w:rPr>
        <w:t xml:space="preserve"> </w:t>
      </w:r>
      <w:r w:rsidR="00AC0D94">
        <w:rPr>
          <w:rFonts w:asciiTheme="minorHAnsi" w:eastAsiaTheme="minorEastAsia" w:hAnsiTheme="minorHAnsi" w:cstheme="minorHAnsi"/>
          <w:bCs/>
          <w:color w:val="000000" w:themeColor="text1"/>
          <w:kern w:val="24"/>
        </w:rPr>
        <w:t>as</w:t>
      </w:r>
      <w:r w:rsidR="00EE0C43" w:rsidRPr="005D2E5B">
        <w:rPr>
          <w:rFonts w:asciiTheme="minorHAnsi" w:eastAsiaTheme="minorEastAsia" w:hAnsiTheme="minorHAnsi" w:cstheme="minorHAnsi"/>
          <w:bCs/>
          <w:color w:val="000000" w:themeColor="text1"/>
          <w:kern w:val="24"/>
        </w:rPr>
        <w:t xml:space="preserve"> </w:t>
      </w:r>
      <w:r w:rsidR="00AC0D94">
        <w:rPr>
          <w:rFonts w:asciiTheme="minorHAnsi" w:eastAsiaTheme="minorEastAsia" w:hAnsiTheme="minorHAnsi" w:cstheme="minorHAnsi"/>
          <w:bCs/>
          <w:color w:val="000000" w:themeColor="text1"/>
          <w:kern w:val="24"/>
        </w:rPr>
        <w:t>COVID</w:t>
      </w:r>
      <w:r w:rsidR="00B04FCE">
        <w:rPr>
          <w:rFonts w:asciiTheme="minorHAnsi" w:eastAsiaTheme="minorEastAsia" w:hAnsiTheme="minorHAnsi" w:cstheme="minorHAnsi"/>
          <w:bCs/>
          <w:color w:val="000000" w:themeColor="text1"/>
          <w:kern w:val="24"/>
        </w:rPr>
        <w:noBreakHyphen/>
      </w:r>
      <w:r w:rsidR="00AC0D94">
        <w:rPr>
          <w:rFonts w:asciiTheme="minorHAnsi" w:eastAsiaTheme="minorEastAsia" w:hAnsiTheme="minorHAnsi" w:cstheme="minorHAnsi"/>
          <w:bCs/>
          <w:color w:val="000000" w:themeColor="text1"/>
          <w:kern w:val="24"/>
        </w:rPr>
        <w:t xml:space="preserve">19 </w:t>
      </w:r>
      <w:r w:rsidR="00EE0C43" w:rsidRPr="005D2E5B">
        <w:rPr>
          <w:rFonts w:asciiTheme="minorHAnsi" w:eastAsiaTheme="minorEastAsia" w:hAnsiTheme="minorHAnsi" w:cstheme="minorHAnsi"/>
          <w:bCs/>
          <w:color w:val="000000" w:themeColor="text1"/>
          <w:kern w:val="24"/>
        </w:rPr>
        <w:t xml:space="preserve">travel restrictions </w:t>
      </w:r>
      <w:r w:rsidR="00AC0D94">
        <w:rPr>
          <w:rFonts w:asciiTheme="minorHAnsi" w:eastAsiaTheme="minorEastAsia" w:hAnsiTheme="minorHAnsi" w:cstheme="minorHAnsi"/>
          <w:bCs/>
          <w:color w:val="000000" w:themeColor="text1"/>
          <w:kern w:val="24"/>
        </w:rPr>
        <w:t>were relaxed</w:t>
      </w:r>
      <w:r w:rsidR="000F3131">
        <w:rPr>
          <w:rFonts w:asciiTheme="minorHAnsi" w:eastAsiaTheme="minorEastAsia" w:hAnsiTheme="minorHAnsi" w:cstheme="minorHAnsi"/>
          <w:color w:val="000000" w:themeColor="text1"/>
          <w:kern w:val="24"/>
          <w:szCs w:val="21"/>
        </w:rPr>
        <w:t xml:space="preserve">, as well as an additional year of expected population mortality improvement (Australians living longer), and </w:t>
      </w:r>
      <w:r w:rsidR="000F3131" w:rsidRPr="003A0F2B">
        <w:rPr>
          <w:rFonts w:asciiTheme="minorHAnsi" w:eastAsiaTheme="minorEastAsia" w:hAnsiTheme="minorHAnsi" w:cstheme="minorHAnsi"/>
          <w:color w:val="000000" w:themeColor="text1"/>
          <w:kern w:val="24"/>
          <w:szCs w:val="21"/>
        </w:rPr>
        <w:t>one</w:t>
      </w:r>
      <w:r w:rsidR="00CB4AEA">
        <w:rPr>
          <w:rFonts w:asciiTheme="minorHAnsi" w:eastAsiaTheme="minorEastAsia" w:hAnsiTheme="minorHAnsi" w:cstheme="minorHAnsi"/>
          <w:color w:val="000000" w:themeColor="text1"/>
          <w:kern w:val="24"/>
          <w:szCs w:val="21"/>
        </w:rPr>
        <w:t> more</w:t>
      </w:r>
      <w:r w:rsidR="000F3131" w:rsidRPr="003A0F2B">
        <w:rPr>
          <w:rFonts w:asciiTheme="minorHAnsi" w:eastAsiaTheme="minorEastAsia" w:hAnsiTheme="minorHAnsi" w:cstheme="minorHAnsi"/>
          <w:color w:val="000000" w:themeColor="text1"/>
          <w:kern w:val="24"/>
          <w:szCs w:val="21"/>
        </w:rPr>
        <w:t xml:space="preserve"> year </w:t>
      </w:r>
      <w:r w:rsidR="000F3131">
        <w:rPr>
          <w:rFonts w:asciiTheme="minorHAnsi" w:eastAsiaTheme="minorEastAsia" w:hAnsiTheme="minorHAnsi" w:cstheme="minorHAnsi"/>
          <w:color w:val="000000" w:themeColor="text1"/>
          <w:kern w:val="24"/>
          <w:szCs w:val="21"/>
        </w:rPr>
        <w:t>of social security payment indexation (to maintain the real value of payments</w:t>
      </w:r>
      <w:r w:rsidR="000F3131" w:rsidRPr="00C84374">
        <w:rPr>
          <w:rFonts w:asciiTheme="minorHAnsi" w:eastAsiaTheme="minorEastAsia" w:hAnsiTheme="minorHAnsi" w:cstheme="minorHAnsi"/>
          <w:color w:val="000000" w:themeColor="text1"/>
          <w:kern w:val="24"/>
          <w:szCs w:val="21"/>
        </w:rPr>
        <w:t xml:space="preserve"> </w:t>
      </w:r>
      <w:r w:rsidR="000F3131">
        <w:rPr>
          <w:rFonts w:asciiTheme="minorHAnsi" w:eastAsiaTheme="minorEastAsia" w:hAnsiTheme="minorHAnsi" w:cstheme="minorHAnsi"/>
          <w:color w:val="000000" w:themeColor="text1"/>
          <w:kern w:val="24"/>
          <w:szCs w:val="21"/>
        </w:rPr>
        <w:t>in line with inflation and wage growth).</w:t>
      </w:r>
    </w:p>
    <w:p w14:paraId="74CCB92C" w14:textId="0E413CF9" w:rsidR="00B04FCE" w:rsidRDefault="000F3131" w:rsidP="006E301F">
      <w:pPr>
        <w:rPr>
          <w:rFonts w:asciiTheme="minorHAnsi" w:eastAsiaTheme="minorEastAsia" w:hAnsiTheme="minorHAnsi" w:cstheme="minorHAnsi"/>
          <w:noProof/>
          <w:color w:val="000000" w:themeColor="text1"/>
          <w:kern w:val="24"/>
          <w:szCs w:val="21"/>
        </w:rPr>
      </w:pPr>
      <w:r>
        <w:rPr>
          <w:rFonts w:asciiTheme="minorHAnsi" w:eastAsiaTheme="minorEastAsia" w:hAnsiTheme="minorHAnsi" w:cstheme="minorHAnsi"/>
          <w:color w:val="000000" w:themeColor="text1"/>
          <w:kern w:val="24"/>
          <w:szCs w:val="21"/>
        </w:rPr>
        <w:t>The rise in Lifetime Cost</w:t>
      </w:r>
      <w:r w:rsidRPr="003C37AA">
        <w:rPr>
          <w:rFonts w:asciiTheme="minorHAnsi" w:eastAsiaTheme="minorEastAsia" w:hAnsiTheme="minorHAnsi" w:cstheme="minorHAnsi"/>
          <w:color w:val="000000" w:themeColor="text1"/>
          <w:kern w:val="24"/>
          <w:szCs w:val="21"/>
        </w:rPr>
        <w:t xml:space="preserve"> is partially offset by a</w:t>
      </w:r>
      <w:r>
        <w:rPr>
          <w:rFonts w:asciiTheme="minorHAnsi" w:eastAsiaTheme="minorEastAsia" w:hAnsiTheme="minorHAnsi" w:cstheme="minorHAnsi"/>
          <w:color w:val="000000" w:themeColor="text1"/>
          <w:kern w:val="24"/>
          <w:szCs w:val="21"/>
        </w:rPr>
        <w:t xml:space="preserve"> </w:t>
      </w:r>
      <w:r w:rsidRPr="003C37AA">
        <w:rPr>
          <w:rFonts w:asciiTheme="minorHAnsi" w:eastAsiaTheme="minorEastAsia" w:hAnsiTheme="minorHAnsi" w:cstheme="minorHAnsi"/>
          <w:color w:val="000000" w:themeColor="text1"/>
          <w:kern w:val="24"/>
          <w:szCs w:val="21"/>
        </w:rPr>
        <w:t xml:space="preserve">lower assumed rate of </w:t>
      </w:r>
      <w:r>
        <w:rPr>
          <w:rFonts w:asciiTheme="minorHAnsi" w:eastAsiaTheme="minorEastAsia" w:hAnsiTheme="minorHAnsi" w:cstheme="minorHAnsi"/>
          <w:color w:val="000000" w:themeColor="text1"/>
          <w:kern w:val="24"/>
          <w:szCs w:val="21"/>
        </w:rPr>
        <w:t>long</w:t>
      </w:r>
      <w:r w:rsidR="00B04FCE">
        <w:rPr>
          <w:rFonts w:asciiTheme="minorHAnsi" w:eastAsiaTheme="minorEastAsia" w:hAnsiTheme="minorHAnsi" w:cstheme="minorHAnsi"/>
          <w:color w:val="000000" w:themeColor="text1"/>
          <w:kern w:val="24"/>
          <w:szCs w:val="21"/>
        </w:rPr>
        <w:noBreakHyphen/>
      </w:r>
      <w:r>
        <w:rPr>
          <w:rFonts w:asciiTheme="minorHAnsi" w:eastAsiaTheme="minorEastAsia" w:hAnsiTheme="minorHAnsi" w:cstheme="minorHAnsi"/>
          <w:color w:val="000000" w:themeColor="text1"/>
          <w:kern w:val="24"/>
          <w:szCs w:val="21"/>
        </w:rPr>
        <w:t>term</w:t>
      </w:r>
      <w:r w:rsidRPr="003C37AA">
        <w:rPr>
          <w:rFonts w:asciiTheme="minorHAnsi" w:eastAsiaTheme="minorEastAsia" w:hAnsiTheme="minorHAnsi" w:cstheme="minorHAnsi"/>
          <w:color w:val="000000" w:themeColor="text1"/>
          <w:kern w:val="24"/>
          <w:szCs w:val="21"/>
        </w:rPr>
        <w:t xml:space="preserve"> payment indexation, and lower assumed </w:t>
      </w:r>
      <w:r>
        <w:rPr>
          <w:rFonts w:asciiTheme="minorHAnsi" w:eastAsiaTheme="minorEastAsia" w:hAnsiTheme="minorHAnsi" w:cstheme="minorHAnsi"/>
          <w:color w:val="000000" w:themeColor="text1"/>
          <w:kern w:val="24"/>
          <w:szCs w:val="21"/>
        </w:rPr>
        <w:t>long</w:t>
      </w:r>
      <w:r w:rsidR="00B04FCE">
        <w:rPr>
          <w:rFonts w:asciiTheme="minorHAnsi" w:eastAsiaTheme="minorEastAsia" w:hAnsiTheme="minorHAnsi" w:cstheme="minorHAnsi"/>
          <w:color w:val="000000" w:themeColor="text1"/>
          <w:kern w:val="24"/>
          <w:szCs w:val="21"/>
        </w:rPr>
        <w:noBreakHyphen/>
      </w:r>
      <w:r>
        <w:rPr>
          <w:rFonts w:asciiTheme="minorHAnsi" w:eastAsiaTheme="minorEastAsia" w:hAnsiTheme="minorHAnsi" w:cstheme="minorHAnsi"/>
          <w:color w:val="000000" w:themeColor="text1"/>
          <w:kern w:val="24"/>
          <w:szCs w:val="21"/>
        </w:rPr>
        <w:t>term</w:t>
      </w:r>
      <w:r w:rsidRPr="003C37AA">
        <w:rPr>
          <w:rFonts w:asciiTheme="minorHAnsi" w:eastAsiaTheme="minorEastAsia" w:hAnsiTheme="minorHAnsi" w:cstheme="minorHAnsi"/>
          <w:color w:val="000000" w:themeColor="text1"/>
          <w:kern w:val="24"/>
          <w:szCs w:val="21"/>
        </w:rPr>
        <w:t xml:space="preserve"> </w:t>
      </w:r>
      <w:r>
        <w:rPr>
          <w:rFonts w:asciiTheme="minorHAnsi" w:eastAsiaTheme="minorEastAsia" w:hAnsiTheme="minorHAnsi" w:cstheme="minorHAnsi"/>
          <w:color w:val="000000" w:themeColor="text1"/>
          <w:kern w:val="24"/>
          <w:szCs w:val="21"/>
        </w:rPr>
        <w:t xml:space="preserve">social security </w:t>
      </w:r>
      <w:r w:rsidRPr="003C37AA">
        <w:rPr>
          <w:rFonts w:asciiTheme="minorHAnsi" w:eastAsiaTheme="minorEastAsia" w:hAnsiTheme="minorHAnsi" w:cstheme="minorHAnsi"/>
          <w:color w:val="000000" w:themeColor="text1"/>
          <w:kern w:val="24"/>
          <w:szCs w:val="21"/>
        </w:rPr>
        <w:t>usage.</w:t>
      </w:r>
      <w:r w:rsidRPr="003C37AA">
        <w:rPr>
          <w:rFonts w:asciiTheme="minorHAnsi" w:eastAsiaTheme="minorEastAsia" w:hAnsiTheme="minorHAnsi" w:cstheme="minorHAnsi"/>
          <w:noProof/>
          <w:color w:val="000000" w:themeColor="text1"/>
          <w:kern w:val="24"/>
          <w:szCs w:val="21"/>
        </w:rPr>
        <w:t xml:space="preserve"> </w:t>
      </w:r>
      <w:r>
        <w:rPr>
          <w:rFonts w:asciiTheme="minorHAnsi" w:eastAsiaTheme="minorEastAsia" w:hAnsiTheme="minorHAnsi" w:cstheme="minorHAnsi"/>
          <w:noProof/>
          <w:color w:val="000000" w:themeColor="text1"/>
          <w:kern w:val="24"/>
          <w:szCs w:val="21"/>
        </w:rPr>
        <w:t xml:space="preserve">These changes in assumptions are primarily driven by changes in the price and wage inflation, and unemployment rate </w:t>
      </w:r>
      <w:r w:rsidRPr="009A5A59">
        <w:rPr>
          <w:rFonts w:asciiTheme="minorHAnsi" w:eastAsiaTheme="minorEastAsia" w:hAnsiTheme="minorHAnsi" w:cstheme="minorHAnsi"/>
          <w:noProof/>
          <w:color w:val="000000" w:themeColor="text1"/>
          <w:kern w:val="24"/>
          <w:szCs w:val="21"/>
        </w:rPr>
        <w:t>fo</w:t>
      </w:r>
      <w:r>
        <w:rPr>
          <w:rFonts w:asciiTheme="minorHAnsi" w:eastAsiaTheme="minorEastAsia" w:hAnsiTheme="minorHAnsi" w:cstheme="minorHAnsi"/>
          <w:noProof/>
          <w:color w:val="000000" w:themeColor="text1"/>
          <w:kern w:val="24"/>
          <w:szCs w:val="21"/>
        </w:rPr>
        <w:t>recast in</w:t>
      </w:r>
      <w:r w:rsidRPr="009A5A59">
        <w:rPr>
          <w:rFonts w:asciiTheme="minorHAnsi" w:eastAsiaTheme="minorEastAsia" w:hAnsiTheme="minorHAnsi" w:cstheme="minorHAnsi"/>
          <w:noProof/>
          <w:color w:val="000000" w:themeColor="text1"/>
          <w:kern w:val="24"/>
          <w:szCs w:val="21"/>
        </w:rPr>
        <w:t xml:space="preserve"> </w:t>
      </w:r>
      <w:r>
        <w:rPr>
          <w:rFonts w:asciiTheme="minorHAnsi" w:eastAsiaTheme="minorEastAsia" w:hAnsiTheme="minorHAnsi" w:cstheme="minorHAnsi"/>
          <w:noProof/>
          <w:color w:val="000000" w:themeColor="text1"/>
          <w:kern w:val="24"/>
          <w:szCs w:val="21"/>
        </w:rPr>
        <w:t>the 2023 Federal Budget compared to</w:t>
      </w:r>
      <w:r w:rsidRPr="00F85888">
        <w:rPr>
          <w:rFonts w:asciiTheme="minorHAnsi" w:eastAsiaTheme="minorEastAsia" w:hAnsiTheme="minorHAnsi" w:cstheme="minorHAnsi"/>
          <w:noProof/>
          <w:color w:val="000000" w:themeColor="text1"/>
          <w:kern w:val="24"/>
          <w:szCs w:val="21"/>
        </w:rPr>
        <w:t xml:space="preserve"> the </w:t>
      </w:r>
      <w:r>
        <w:rPr>
          <w:rFonts w:asciiTheme="minorHAnsi" w:eastAsiaTheme="minorEastAsia" w:hAnsiTheme="minorHAnsi" w:cstheme="minorHAnsi"/>
          <w:noProof/>
          <w:color w:val="000000" w:themeColor="text1"/>
          <w:kern w:val="24"/>
          <w:szCs w:val="21"/>
        </w:rPr>
        <w:t xml:space="preserve">previous Budget </w:t>
      </w:r>
      <w:r w:rsidRPr="00F85888">
        <w:rPr>
          <w:rFonts w:asciiTheme="minorHAnsi" w:eastAsiaTheme="minorEastAsia" w:hAnsiTheme="minorHAnsi" w:cstheme="minorHAnsi"/>
          <w:noProof/>
          <w:color w:val="000000" w:themeColor="text1"/>
          <w:kern w:val="24"/>
          <w:szCs w:val="21"/>
        </w:rPr>
        <w:t>forecast</w:t>
      </w:r>
      <w:r>
        <w:rPr>
          <w:rFonts w:asciiTheme="minorHAnsi" w:eastAsiaTheme="minorEastAsia" w:hAnsiTheme="minorHAnsi" w:cstheme="minorHAnsi"/>
          <w:noProof/>
          <w:color w:val="000000" w:themeColor="text1"/>
          <w:kern w:val="24"/>
          <w:szCs w:val="21"/>
        </w:rPr>
        <w:t xml:space="preserve">. The </w:t>
      </w:r>
      <w:r w:rsidRPr="00F85888">
        <w:rPr>
          <w:rFonts w:asciiTheme="minorHAnsi" w:eastAsiaTheme="minorEastAsia" w:hAnsiTheme="minorHAnsi" w:cstheme="minorHAnsi"/>
          <w:noProof/>
          <w:color w:val="000000" w:themeColor="text1"/>
          <w:kern w:val="24"/>
          <w:szCs w:val="21"/>
        </w:rPr>
        <w:t xml:space="preserve">lower </w:t>
      </w:r>
      <w:r>
        <w:rPr>
          <w:rFonts w:asciiTheme="minorHAnsi" w:eastAsiaTheme="minorEastAsia" w:hAnsiTheme="minorHAnsi" w:cstheme="minorHAnsi"/>
          <w:noProof/>
          <w:color w:val="000000" w:themeColor="text1"/>
          <w:kern w:val="24"/>
          <w:szCs w:val="21"/>
        </w:rPr>
        <w:t xml:space="preserve">wage inflation forecast </w:t>
      </w:r>
      <w:r w:rsidRPr="00F85888">
        <w:rPr>
          <w:rFonts w:asciiTheme="minorHAnsi" w:eastAsiaTheme="minorEastAsia" w:hAnsiTheme="minorHAnsi" w:cstheme="minorHAnsi"/>
          <w:noProof/>
          <w:color w:val="000000" w:themeColor="text1"/>
          <w:kern w:val="24"/>
          <w:szCs w:val="21"/>
        </w:rPr>
        <w:t>affected</w:t>
      </w:r>
      <w:r>
        <w:rPr>
          <w:rFonts w:asciiTheme="minorHAnsi" w:eastAsiaTheme="minorEastAsia" w:hAnsiTheme="minorHAnsi" w:cstheme="minorHAnsi"/>
          <w:noProof/>
          <w:color w:val="000000" w:themeColor="text1"/>
          <w:kern w:val="24"/>
          <w:szCs w:val="21"/>
        </w:rPr>
        <w:t xml:space="preserve"> the largest social security payments</w:t>
      </w:r>
      <w:r w:rsidR="004230C7">
        <w:rPr>
          <w:rFonts w:asciiTheme="minorHAnsi" w:eastAsiaTheme="minorEastAsia" w:hAnsiTheme="minorHAnsi" w:cstheme="minorHAnsi"/>
          <w:noProof/>
          <w:color w:val="000000" w:themeColor="text1"/>
          <w:kern w:val="24"/>
          <w:szCs w:val="21"/>
        </w:rPr>
        <w:t>,</w:t>
      </w:r>
      <w:r>
        <w:rPr>
          <w:rFonts w:asciiTheme="minorHAnsi" w:eastAsiaTheme="minorEastAsia" w:hAnsiTheme="minorHAnsi" w:cstheme="minorHAnsi"/>
          <w:noProof/>
          <w:color w:val="000000" w:themeColor="text1"/>
          <w:kern w:val="24"/>
          <w:szCs w:val="21"/>
        </w:rPr>
        <w:t xml:space="preserve"> including</w:t>
      </w:r>
      <w:r w:rsidRPr="00F85888">
        <w:rPr>
          <w:rFonts w:asciiTheme="minorHAnsi" w:eastAsiaTheme="minorEastAsia" w:hAnsiTheme="minorHAnsi" w:cstheme="minorHAnsi"/>
          <w:noProof/>
          <w:color w:val="000000" w:themeColor="text1"/>
          <w:kern w:val="24"/>
          <w:szCs w:val="21"/>
        </w:rPr>
        <w:t xml:space="preserve"> Age Pension, </w:t>
      </w:r>
      <w:r>
        <w:rPr>
          <w:rFonts w:asciiTheme="minorHAnsi" w:eastAsiaTheme="minorEastAsia" w:hAnsiTheme="minorHAnsi" w:cstheme="minorHAnsi"/>
          <w:noProof/>
          <w:color w:val="000000" w:themeColor="text1"/>
          <w:kern w:val="24"/>
          <w:szCs w:val="21"/>
        </w:rPr>
        <w:t xml:space="preserve">and </w:t>
      </w:r>
      <w:r w:rsidR="00C61A5E">
        <w:rPr>
          <w:rFonts w:asciiTheme="minorHAnsi" w:eastAsiaTheme="minorEastAsia" w:hAnsiTheme="minorHAnsi" w:cstheme="minorHAnsi"/>
          <w:noProof/>
          <w:color w:val="000000" w:themeColor="text1"/>
          <w:kern w:val="24"/>
          <w:szCs w:val="21"/>
        </w:rPr>
        <w:t>DSP</w:t>
      </w:r>
      <w:r w:rsidRPr="00F85888">
        <w:rPr>
          <w:rFonts w:asciiTheme="minorHAnsi" w:eastAsiaTheme="minorEastAsia" w:hAnsiTheme="minorHAnsi" w:cstheme="minorHAnsi"/>
          <w:noProof/>
          <w:color w:val="000000" w:themeColor="text1"/>
          <w:kern w:val="24"/>
          <w:szCs w:val="21"/>
        </w:rPr>
        <w:t>.</w:t>
      </w:r>
      <w:r>
        <w:rPr>
          <w:rFonts w:asciiTheme="minorHAnsi" w:eastAsiaTheme="minorEastAsia" w:hAnsiTheme="minorHAnsi" w:cstheme="minorHAnsi"/>
          <w:noProof/>
          <w:color w:val="000000" w:themeColor="text1"/>
          <w:kern w:val="24"/>
          <w:szCs w:val="21"/>
        </w:rPr>
        <w:t xml:space="preserve"> </w:t>
      </w:r>
      <w:r w:rsidR="00212A76">
        <w:rPr>
          <w:rFonts w:asciiTheme="minorHAnsi" w:eastAsiaTheme="minorEastAsia" w:hAnsiTheme="minorHAnsi" w:cstheme="minorHAnsi"/>
          <w:noProof/>
          <w:color w:val="000000" w:themeColor="text1"/>
          <w:kern w:val="24"/>
          <w:szCs w:val="21"/>
        </w:rPr>
        <w:t>At the same time</w:t>
      </w:r>
      <w:r>
        <w:rPr>
          <w:rFonts w:asciiTheme="minorHAnsi" w:eastAsiaTheme="minorEastAsia" w:hAnsiTheme="minorHAnsi" w:cstheme="minorHAnsi"/>
          <w:noProof/>
          <w:color w:val="000000" w:themeColor="text1"/>
          <w:kern w:val="24"/>
          <w:szCs w:val="21"/>
        </w:rPr>
        <w:t>, t</w:t>
      </w:r>
      <w:r w:rsidRPr="00D35D86">
        <w:rPr>
          <w:rFonts w:asciiTheme="minorHAnsi" w:eastAsiaTheme="minorEastAsia" w:hAnsiTheme="minorHAnsi" w:cstheme="minorHAnsi"/>
          <w:noProof/>
          <w:color w:val="000000" w:themeColor="text1"/>
          <w:kern w:val="24"/>
          <w:szCs w:val="21"/>
        </w:rPr>
        <w:t>he improved unemployment rate forecast reduced the assumed future entry rates into social security, particularly for working age payments</w:t>
      </w:r>
      <w:r>
        <w:rPr>
          <w:rFonts w:asciiTheme="minorHAnsi" w:eastAsiaTheme="minorEastAsia" w:hAnsiTheme="minorHAnsi" w:cstheme="minorHAnsi"/>
          <w:noProof/>
          <w:color w:val="000000" w:themeColor="text1"/>
          <w:kern w:val="24"/>
          <w:szCs w:val="21"/>
        </w:rPr>
        <w:t>.</w:t>
      </w:r>
    </w:p>
    <w:p w14:paraId="745A77AB" w14:textId="7C24A87C" w:rsidR="007843BB" w:rsidRDefault="007843BB" w:rsidP="007843BB">
      <w:pPr>
        <w:rPr>
          <w:rFonts w:eastAsiaTheme="minorEastAsia"/>
        </w:rPr>
        <w:sectPr w:rsidR="007843BB" w:rsidSect="00B46214">
          <w:headerReference w:type="default" r:id="rId22"/>
          <w:footerReference w:type="default" r:id="rId23"/>
          <w:pgSz w:w="16838" w:h="11906" w:orient="landscape" w:code="9"/>
          <w:pgMar w:top="1418" w:right="1134" w:bottom="1418" w:left="1134" w:header="425" w:footer="680" w:gutter="0"/>
          <w:pgNumType w:start="1"/>
          <w:cols w:num="2" w:space="709"/>
          <w:docGrid w:linePitch="360"/>
        </w:sectPr>
      </w:pPr>
    </w:p>
    <w:p w14:paraId="4351F538" w14:textId="4FA14BEC" w:rsidR="007843BB" w:rsidRDefault="00374AC8" w:rsidP="00E20362">
      <w:pPr>
        <w:pStyle w:val="ChartGraphic"/>
        <w:rPr>
          <w:rFonts w:eastAsiaTheme="minorEastAsia"/>
        </w:rPr>
      </w:pPr>
      <w:r>
        <w:rPr>
          <w:noProof/>
        </w:rPr>
        <w:lastRenderedPageBreak/>
        <w:drawing>
          <wp:inline distT="0" distB="0" distL="0" distR="0" wp14:anchorId="0A699ECD" wp14:editId="6E40672D">
            <wp:extent cx="9294184" cy="5781675"/>
            <wp:effectExtent l="0" t="0" r="2540" b="0"/>
            <wp:docPr id="37" name="Picture 37" descr="This infographic shows a breakdown of the total future lifetime cost at 30 June 2022 of $5.553 trillion by different payment categories. These categories are:&#10;&#10;- $40 billion: student payments&#10;- $87 billion: Parenting Payment&#10;- $245 billion: other family payments&#10;- $327 billion: Carer Payment and allowances&#10;- $270 billion: working age payments&#10;- $451 billion: other payments, allowances and supplements&#10;- $315 billion: Family Tax Benefit&#10;- $560 billion: Disability Support Pension&#10;- $3.259 trillion: Age Pension&#10;&#10;Age pension makes up the largest proportion (59%) of the total future lifetim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infographic shows a breakdown of the total future lifetime cost at 30 June 2022 of $5.553 trillion by different payment categories. These categories are:&#10;&#10;- $40 billion: student payments&#10;- $87 billion: Parenting Payment&#10;- $245 billion: other family payments&#10;- $327 billion: Carer Payment and allowances&#10;- $270 billion: working age payments&#10;- $451 billion: other payments, allowances and supplements&#10;- $315 billion: Family Tax Benefit&#10;- $560 billion: Disability Support Pension&#10;- $3.259 trillion: Age Pension&#10;&#10;Age pension makes up the largest proportion (59%) of the total future lifetime co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00416" cy="5785552"/>
                    </a:xfrm>
                    <a:prstGeom prst="rect">
                      <a:avLst/>
                    </a:prstGeom>
                    <a:noFill/>
                  </pic:spPr>
                </pic:pic>
              </a:graphicData>
            </a:graphic>
          </wp:inline>
        </w:drawing>
      </w:r>
    </w:p>
    <w:p w14:paraId="3E17E00F" w14:textId="188F0F7D" w:rsidR="007843BB" w:rsidRDefault="007843BB" w:rsidP="007843BB">
      <w:pPr>
        <w:rPr>
          <w:rFonts w:eastAsiaTheme="minorEastAsia"/>
        </w:rPr>
        <w:sectPr w:rsidR="007843BB" w:rsidSect="00B46214">
          <w:pgSz w:w="16838" w:h="11906" w:orient="landscape" w:code="9"/>
          <w:pgMar w:top="1418" w:right="1134" w:bottom="1418" w:left="1134" w:header="425" w:footer="680" w:gutter="0"/>
          <w:cols w:space="709"/>
          <w:docGrid w:linePitch="360"/>
        </w:sectPr>
      </w:pPr>
    </w:p>
    <w:p w14:paraId="5E65303A" w14:textId="313C42E9" w:rsidR="000F3131" w:rsidRPr="003C37AA" w:rsidRDefault="000F3131" w:rsidP="00A06FAA">
      <w:pPr>
        <w:pStyle w:val="Heading2notnumbered"/>
        <w:rPr>
          <w:rFonts w:eastAsiaTheme="minorEastAsia"/>
        </w:rPr>
      </w:pPr>
      <w:r w:rsidRPr="003C37AA">
        <w:rPr>
          <w:rFonts w:eastAsiaTheme="minorEastAsia"/>
        </w:rPr>
        <w:lastRenderedPageBreak/>
        <w:t xml:space="preserve">More than half of all Australians have </w:t>
      </w:r>
      <w:r>
        <w:rPr>
          <w:rFonts w:eastAsiaTheme="minorEastAsia"/>
        </w:rPr>
        <w:t>accessed</w:t>
      </w:r>
      <w:r w:rsidRPr="003C37AA">
        <w:rPr>
          <w:rFonts w:eastAsiaTheme="minorEastAsia"/>
        </w:rPr>
        <w:t xml:space="preserve"> </w:t>
      </w:r>
      <w:r>
        <w:rPr>
          <w:rFonts w:eastAsiaTheme="minorEastAsia"/>
        </w:rPr>
        <w:t>social security</w:t>
      </w:r>
      <w:r w:rsidRPr="003C37AA">
        <w:rPr>
          <w:rFonts w:eastAsiaTheme="minorEastAsia"/>
        </w:rPr>
        <w:t xml:space="preserve"> support at some point in their lives.</w:t>
      </w:r>
    </w:p>
    <w:p w14:paraId="455D40F1" w14:textId="5117DC41" w:rsidR="00B04FCE" w:rsidRDefault="000F3131" w:rsidP="006E301F">
      <w:pPr>
        <w:rPr>
          <w:rFonts w:asciiTheme="minorHAnsi" w:hAnsiTheme="minorHAnsi" w:cstheme="minorHAnsi"/>
          <w:color w:val="000000" w:themeColor="text1"/>
          <w:kern w:val="24"/>
          <w:szCs w:val="21"/>
        </w:rPr>
      </w:pPr>
      <w:r w:rsidRPr="003C37AA">
        <w:rPr>
          <w:rFonts w:asciiTheme="minorHAnsi" w:hAnsiTheme="minorHAnsi" w:cstheme="minorHAnsi"/>
          <w:color w:val="000000" w:themeColor="text1"/>
          <w:kern w:val="24"/>
          <w:szCs w:val="21"/>
        </w:rPr>
        <w:t xml:space="preserve">Around 30% of Australians </w:t>
      </w:r>
      <w:r>
        <w:rPr>
          <w:rFonts w:asciiTheme="minorHAnsi" w:hAnsiTheme="minorHAnsi" w:cstheme="minorHAnsi"/>
          <w:color w:val="000000" w:themeColor="text1"/>
          <w:kern w:val="24"/>
          <w:szCs w:val="21"/>
        </w:rPr>
        <w:t>accessed</w:t>
      </w:r>
      <w:r w:rsidRPr="003C37AA">
        <w:rPr>
          <w:rFonts w:asciiTheme="minorHAnsi" w:hAnsiTheme="minorHAnsi" w:cstheme="minorHAnsi"/>
          <w:color w:val="000000" w:themeColor="text1"/>
          <w:kern w:val="24"/>
          <w:szCs w:val="21"/>
        </w:rPr>
        <w:t xml:space="preserve"> </w:t>
      </w:r>
      <w:r>
        <w:rPr>
          <w:rFonts w:asciiTheme="minorHAnsi" w:hAnsiTheme="minorHAnsi" w:cstheme="minorHAnsi"/>
          <w:color w:val="000000" w:themeColor="text1"/>
          <w:kern w:val="24"/>
          <w:szCs w:val="21"/>
        </w:rPr>
        <w:t>social security</w:t>
      </w:r>
      <w:r w:rsidRPr="003C37AA">
        <w:rPr>
          <w:rFonts w:asciiTheme="minorHAnsi" w:hAnsiTheme="minorHAnsi" w:cstheme="minorHAnsi"/>
          <w:color w:val="000000" w:themeColor="text1"/>
          <w:kern w:val="24"/>
          <w:szCs w:val="21"/>
        </w:rPr>
        <w:t xml:space="preserve"> support in 2021</w:t>
      </w:r>
      <w:r w:rsidR="009F12CC">
        <w:rPr>
          <w:rFonts w:asciiTheme="minorHAnsi" w:hAnsiTheme="minorHAnsi" w:cstheme="minorHAnsi"/>
          <w:color w:val="000000" w:themeColor="text1"/>
          <w:kern w:val="24"/>
          <w:szCs w:val="21"/>
        </w:rPr>
        <w:t>–</w:t>
      </w:r>
      <w:r w:rsidRPr="003C37AA">
        <w:rPr>
          <w:rFonts w:asciiTheme="minorHAnsi" w:hAnsiTheme="minorHAnsi" w:cstheme="minorHAnsi"/>
          <w:color w:val="000000" w:themeColor="text1"/>
          <w:kern w:val="24"/>
          <w:szCs w:val="21"/>
        </w:rPr>
        <w:t xml:space="preserve">22, primarily through the </w:t>
      </w:r>
      <w:r w:rsidRPr="003C37AA">
        <w:rPr>
          <w:rFonts w:asciiTheme="minorHAnsi" w:hAnsiTheme="minorHAnsi" w:cstheme="minorHAnsi"/>
          <w:bCs/>
          <w:color w:val="000000" w:themeColor="text1"/>
          <w:kern w:val="24"/>
          <w:szCs w:val="21"/>
        </w:rPr>
        <w:t>Age Pension, employment support, and family support.</w:t>
      </w:r>
      <w:r>
        <w:rPr>
          <w:rFonts w:asciiTheme="minorHAnsi" w:hAnsiTheme="minorHAnsi" w:cstheme="minorHAnsi"/>
          <w:bCs/>
          <w:color w:val="000000" w:themeColor="text1"/>
          <w:kern w:val="24"/>
          <w:szCs w:val="21"/>
        </w:rPr>
        <w:t xml:space="preserve"> </w:t>
      </w:r>
      <w:r w:rsidRPr="003C37AA">
        <w:rPr>
          <w:rFonts w:asciiTheme="minorHAnsi" w:hAnsiTheme="minorHAnsi" w:cstheme="minorHAnsi"/>
          <w:bCs/>
          <w:color w:val="000000" w:themeColor="text1"/>
          <w:kern w:val="24"/>
          <w:szCs w:val="21"/>
        </w:rPr>
        <w:t>A</w:t>
      </w:r>
      <w:r w:rsidR="00430894">
        <w:rPr>
          <w:rFonts w:asciiTheme="minorHAnsi" w:hAnsiTheme="minorHAnsi" w:cstheme="minorHAnsi"/>
          <w:bCs/>
          <w:color w:val="000000" w:themeColor="text1"/>
          <w:kern w:val="24"/>
          <w:szCs w:val="21"/>
        </w:rPr>
        <w:t> </w:t>
      </w:r>
      <w:r w:rsidRPr="003C37AA">
        <w:rPr>
          <w:rFonts w:asciiTheme="minorHAnsi" w:hAnsiTheme="minorHAnsi" w:cstheme="minorHAnsi"/>
          <w:bCs/>
          <w:color w:val="000000" w:themeColor="text1"/>
          <w:kern w:val="24"/>
          <w:szCs w:val="21"/>
        </w:rPr>
        <w:t xml:space="preserve">further </w:t>
      </w:r>
      <w:r w:rsidRPr="003C37AA">
        <w:rPr>
          <w:rFonts w:asciiTheme="minorHAnsi" w:hAnsiTheme="minorHAnsi" w:cstheme="minorHAnsi"/>
          <w:color w:val="000000" w:themeColor="text1"/>
          <w:kern w:val="24"/>
          <w:szCs w:val="21"/>
        </w:rPr>
        <w:t xml:space="preserve">24% have </w:t>
      </w:r>
      <w:r>
        <w:rPr>
          <w:rFonts w:asciiTheme="minorHAnsi" w:hAnsiTheme="minorHAnsi" w:cstheme="minorHAnsi"/>
          <w:color w:val="000000" w:themeColor="text1"/>
          <w:kern w:val="24"/>
          <w:szCs w:val="21"/>
        </w:rPr>
        <w:t>accessed</w:t>
      </w:r>
      <w:r w:rsidRPr="003C37AA">
        <w:rPr>
          <w:rFonts w:asciiTheme="minorHAnsi" w:hAnsiTheme="minorHAnsi" w:cstheme="minorHAnsi"/>
          <w:color w:val="000000" w:themeColor="text1"/>
          <w:kern w:val="24"/>
          <w:szCs w:val="21"/>
        </w:rPr>
        <w:t xml:space="preserve"> </w:t>
      </w:r>
      <w:r>
        <w:rPr>
          <w:rFonts w:asciiTheme="minorHAnsi" w:hAnsiTheme="minorHAnsi" w:cstheme="minorHAnsi"/>
          <w:color w:val="000000" w:themeColor="text1"/>
          <w:kern w:val="24"/>
          <w:szCs w:val="21"/>
        </w:rPr>
        <w:t>social security in the past 2</w:t>
      </w:r>
      <w:r w:rsidR="00CA2404">
        <w:rPr>
          <w:rFonts w:asciiTheme="minorHAnsi" w:hAnsiTheme="minorHAnsi" w:cstheme="minorHAnsi"/>
          <w:color w:val="000000" w:themeColor="text1"/>
          <w:kern w:val="24"/>
          <w:szCs w:val="21"/>
        </w:rPr>
        <w:t>1</w:t>
      </w:r>
      <w:r w:rsidR="00E46C6A">
        <w:rPr>
          <w:rFonts w:asciiTheme="minorHAnsi" w:hAnsiTheme="minorHAnsi" w:cstheme="minorHAnsi"/>
          <w:color w:val="000000" w:themeColor="text1"/>
          <w:kern w:val="24"/>
          <w:szCs w:val="21"/>
        </w:rPr>
        <w:t> year</w:t>
      </w:r>
      <w:r>
        <w:rPr>
          <w:rFonts w:asciiTheme="minorHAnsi" w:hAnsiTheme="minorHAnsi" w:cstheme="minorHAnsi"/>
          <w:color w:val="000000" w:themeColor="text1"/>
          <w:kern w:val="24"/>
          <w:szCs w:val="21"/>
        </w:rPr>
        <w:t xml:space="preserve">s, many of whom have recently accessed the </w:t>
      </w:r>
      <w:r w:rsidR="005E332C">
        <w:rPr>
          <w:rFonts w:asciiTheme="minorHAnsi" w:hAnsiTheme="minorHAnsi" w:cstheme="minorHAnsi"/>
          <w:color w:val="000000" w:themeColor="text1"/>
          <w:kern w:val="24"/>
          <w:szCs w:val="21"/>
        </w:rPr>
        <w:t>JobSeeker Payment</w:t>
      </w:r>
      <w:r>
        <w:rPr>
          <w:rFonts w:asciiTheme="minorHAnsi" w:hAnsiTheme="minorHAnsi" w:cstheme="minorHAnsi"/>
          <w:color w:val="000000" w:themeColor="text1"/>
          <w:kern w:val="24"/>
          <w:szCs w:val="21"/>
        </w:rPr>
        <w:t>.</w:t>
      </w:r>
    </w:p>
    <w:p w14:paraId="49CB6700" w14:textId="6903D9B4" w:rsidR="000F3131" w:rsidRPr="003C37AA" w:rsidRDefault="000F3131" w:rsidP="006E301F">
      <w:pPr>
        <w:rPr>
          <w:rFonts w:asciiTheme="minorHAnsi" w:hAnsiTheme="minorHAnsi" w:cstheme="minorHAnsi"/>
          <w:szCs w:val="21"/>
        </w:rPr>
      </w:pPr>
      <w:r>
        <w:rPr>
          <w:rFonts w:asciiTheme="minorHAnsi" w:hAnsiTheme="minorHAnsi" w:cstheme="minorHAnsi"/>
          <w:color w:val="000000" w:themeColor="text1"/>
          <w:kern w:val="24"/>
          <w:szCs w:val="21"/>
        </w:rPr>
        <w:t>T</w:t>
      </w:r>
      <w:r>
        <w:rPr>
          <w:rFonts w:asciiTheme="minorHAnsi" w:eastAsiaTheme="minorEastAsia" w:hAnsiTheme="minorHAnsi" w:cstheme="minorHAnsi"/>
          <w:bCs/>
          <w:color w:val="000000" w:themeColor="text1"/>
          <w:kern w:val="24"/>
          <w:szCs w:val="21"/>
        </w:rPr>
        <w:t xml:space="preserve">he number of people accessing </w:t>
      </w:r>
      <w:r w:rsidR="005E332C">
        <w:rPr>
          <w:rFonts w:asciiTheme="minorHAnsi" w:hAnsiTheme="minorHAnsi" w:cstheme="minorHAnsi"/>
          <w:bCs/>
          <w:color w:val="000000" w:themeColor="text1"/>
          <w:kern w:val="24"/>
          <w:szCs w:val="21"/>
        </w:rPr>
        <w:t>JobSeeker Payment</w:t>
      </w:r>
      <w:r w:rsidRPr="00685B27">
        <w:rPr>
          <w:rFonts w:asciiTheme="minorHAnsi" w:hAnsiTheme="minorHAnsi" w:cstheme="minorHAnsi"/>
          <w:bCs/>
          <w:color w:val="000000" w:themeColor="text1"/>
          <w:kern w:val="24"/>
          <w:szCs w:val="21"/>
        </w:rPr>
        <w:t xml:space="preserve"> </w:t>
      </w:r>
      <w:r w:rsidR="00ED4692">
        <w:rPr>
          <w:rFonts w:asciiTheme="minorHAnsi" w:eastAsiaTheme="minorEastAsia" w:hAnsiTheme="minorHAnsi" w:cstheme="minorHAnsi"/>
          <w:bCs/>
          <w:color w:val="000000" w:themeColor="text1"/>
          <w:kern w:val="24"/>
          <w:szCs w:val="21"/>
        </w:rPr>
        <w:t>decreased</w:t>
      </w:r>
      <w:r>
        <w:rPr>
          <w:rFonts w:asciiTheme="minorHAnsi" w:eastAsiaTheme="minorEastAsia" w:hAnsiTheme="minorHAnsi" w:cstheme="minorHAnsi"/>
          <w:bCs/>
          <w:color w:val="000000" w:themeColor="text1"/>
          <w:kern w:val="24"/>
          <w:szCs w:val="21"/>
        </w:rPr>
        <w:t xml:space="preserve"> by </w:t>
      </w:r>
      <w:r w:rsidRPr="00685B27">
        <w:rPr>
          <w:rFonts w:asciiTheme="minorHAnsi" w:hAnsiTheme="minorHAnsi" w:cstheme="minorHAnsi"/>
          <w:bCs/>
          <w:color w:val="000000" w:themeColor="text1"/>
          <w:kern w:val="24"/>
          <w:szCs w:val="21"/>
        </w:rPr>
        <w:t xml:space="preserve">20% </w:t>
      </w:r>
      <w:r>
        <w:rPr>
          <w:rFonts w:asciiTheme="minorHAnsi" w:hAnsiTheme="minorHAnsi" w:cstheme="minorHAnsi"/>
          <w:bCs/>
          <w:color w:val="000000" w:themeColor="text1"/>
          <w:kern w:val="24"/>
          <w:szCs w:val="21"/>
        </w:rPr>
        <w:t xml:space="preserve">over the year to </w:t>
      </w:r>
      <w:r w:rsidRPr="00685B27">
        <w:rPr>
          <w:rFonts w:asciiTheme="minorHAnsi" w:hAnsiTheme="minorHAnsi" w:cstheme="minorHAnsi"/>
          <w:bCs/>
          <w:color w:val="000000" w:themeColor="text1"/>
          <w:kern w:val="24"/>
          <w:szCs w:val="21"/>
        </w:rPr>
        <w:t>30</w:t>
      </w:r>
      <w:r w:rsidR="00E46C6A">
        <w:rPr>
          <w:rFonts w:asciiTheme="minorHAnsi" w:hAnsiTheme="minorHAnsi" w:cstheme="minorHAnsi"/>
          <w:bCs/>
          <w:color w:val="000000" w:themeColor="text1"/>
          <w:kern w:val="24"/>
          <w:szCs w:val="21"/>
        </w:rPr>
        <w:t> June </w:t>
      </w:r>
      <w:r w:rsidRPr="00685B27">
        <w:rPr>
          <w:rFonts w:asciiTheme="minorHAnsi" w:hAnsiTheme="minorHAnsi" w:cstheme="minorHAnsi"/>
          <w:bCs/>
          <w:color w:val="000000" w:themeColor="text1"/>
          <w:kern w:val="24"/>
          <w:szCs w:val="21"/>
        </w:rPr>
        <w:t>2022</w:t>
      </w:r>
      <w:r>
        <w:rPr>
          <w:rFonts w:asciiTheme="minorHAnsi" w:hAnsiTheme="minorHAnsi" w:cstheme="minorHAnsi"/>
          <w:bCs/>
          <w:color w:val="000000" w:themeColor="text1"/>
          <w:kern w:val="24"/>
          <w:szCs w:val="21"/>
        </w:rPr>
        <w:t xml:space="preserve">, following </w:t>
      </w:r>
      <w:r>
        <w:rPr>
          <w:rFonts w:asciiTheme="minorHAnsi" w:eastAsiaTheme="minorEastAsia" w:hAnsiTheme="minorHAnsi" w:cstheme="minorHAnsi"/>
          <w:bCs/>
          <w:color w:val="000000" w:themeColor="text1"/>
          <w:kern w:val="24"/>
          <w:szCs w:val="21"/>
        </w:rPr>
        <w:t>the significant increase during the height of the COVID</w:t>
      </w:r>
      <w:r w:rsidR="00B04FCE">
        <w:rPr>
          <w:rFonts w:asciiTheme="minorHAnsi" w:eastAsiaTheme="minorEastAsia" w:hAnsiTheme="minorHAnsi" w:cstheme="minorHAnsi"/>
          <w:bCs/>
          <w:color w:val="000000" w:themeColor="text1"/>
          <w:kern w:val="24"/>
          <w:szCs w:val="21"/>
        </w:rPr>
        <w:noBreakHyphen/>
      </w:r>
      <w:r>
        <w:rPr>
          <w:rFonts w:asciiTheme="minorHAnsi" w:eastAsiaTheme="minorEastAsia" w:hAnsiTheme="minorHAnsi" w:cstheme="minorHAnsi"/>
          <w:bCs/>
          <w:color w:val="000000" w:themeColor="text1"/>
          <w:kern w:val="24"/>
          <w:szCs w:val="21"/>
        </w:rPr>
        <w:t xml:space="preserve">19 </w:t>
      </w:r>
      <w:r w:rsidRPr="00A54EF1">
        <w:rPr>
          <w:rFonts w:asciiTheme="minorHAnsi" w:eastAsiaTheme="minorEastAsia" w:hAnsiTheme="minorHAnsi" w:cstheme="minorHAnsi"/>
          <w:bCs/>
          <w:color w:val="000000" w:themeColor="text1"/>
          <w:kern w:val="24"/>
          <w:szCs w:val="21"/>
        </w:rPr>
        <w:t>pandemic</w:t>
      </w:r>
      <w:r w:rsidRPr="00685B27">
        <w:rPr>
          <w:rFonts w:asciiTheme="minorHAnsi" w:hAnsiTheme="minorHAnsi" w:cstheme="minorHAnsi"/>
          <w:bCs/>
          <w:color w:val="000000" w:themeColor="text1"/>
          <w:kern w:val="24"/>
          <w:szCs w:val="21"/>
        </w:rPr>
        <w:t>.</w:t>
      </w:r>
      <w:r>
        <w:rPr>
          <w:rFonts w:asciiTheme="minorHAnsi" w:hAnsiTheme="minorHAnsi" w:cstheme="minorHAnsi"/>
          <w:bCs/>
          <w:color w:val="000000" w:themeColor="text1"/>
          <w:kern w:val="24"/>
          <w:szCs w:val="21"/>
        </w:rPr>
        <w:t xml:space="preserve"> While the rapid onset and subsequent recovery </w:t>
      </w:r>
      <w:r w:rsidR="004230C7">
        <w:rPr>
          <w:rFonts w:asciiTheme="minorHAnsi" w:hAnsiTheme="minorHAnsi" w:cstheme="minorHAnsi"/>
          <w:bCs/>
          <w:color w:val="000000" w:themeColor="text1"/>
          <w:kern w:val="24"/>
          <w:szCs w:val="21"/>
        </w:rPr>
        <w:t>from the economic effects of COVID</w:t>
      </w:r>
      <w:r w:rsidR="00B04FCE">
        <w:rPr>
          <w:rFonts w:asciiTheme="minorHAnsi" w:hAnsiTheme="minorHAnsi" w:cstheme="minorHAnsi"/>
          <w:bCs/>
          <w:color w:val="000000" w:themeColor="text1"/>
          <w:kern w:val="24"/>
          <w:szCs w:val="21"/>
        </w:rPr>
        <w:noBreakHyphen/>
      </w:r>
      <w:r w:rsidR="004230C7">
        <w:rPr>
          <w:rFonts w:asciiTheme="minorHAnsi" w:hAnsiTheme="minorHAnsi" w:cstheme="minorHAnsi"/>
          <w:bCs/>
          <w:color w:val="000000" w:themeColor="text1"/>
          <w:kern w:val="24"/>
          <w:szCs w:val="21"/>
        </w:rPr>
        <w:t xml:space="preserve">19 </w:t>
      </w:r>
      <w:r>
        <w:rPr>
          <w:rFonts w:asciiTheme="minorHAnsi" w:hAnsiTheme="minorHAnsi" w:cstheme="minorHAnsi"/>
          <w:bCs/>
          <w:color w:val="000000" w:themeColor="text1"/>
          <w:kern w:val="24"/>
          <w:szCs w:val="21"/>
        </w:rPr>
        <w:t xml:space="preserve">has </w:t>
      </w:r>
      <w:r w:rsidR="004230C7">
        <w:rPr>
          <w:rFonts w:asciiTheme="minorHAnsi" w:hAnsiTheme="minorHAnsi" w:cstheme="minorHAnsi"/>
          <w:bCs/>
          <w:color w:val="000000" w:themeColor="text1"/>
          <w:kern w:val="24"/>
          <w:szCs w:val="21"/>
        </w:rPr>
        <w:t>resulted in a relatively small</w:t>
      </w:r>
      <w:r>
        <w:rPr>
          <w:rFonts w:asciiTheme="minorHAnsi" w:hAnsiTheme="minorHAnsi" w:cstheme="minorHAnsi"/>
          <w:bCs/>
          <w:color w:val="000000" w:themeColor="text1"/>
          <w:kern w:val="24"/>
          <w:szCs w:val="21"/>
        </w:rPr>
        <w:t xml:space="preserve"> impact </w:t>
      </w:r>
      <w:r w:rsidR="004230C7">
        <w:rPr>
          <w:rFonts w:asciiTheme="minorHAnsi" w:hAnsiTheme="minorHAnsi" w:cstheme="minorHAnsi"/>
          <w:bCs/>
          <w:color w:val="000000" w:themeColor="text1"/>
          <w:kern w:val="24"/>
          <w:szCs w:val="21"/>
        </w:rPr>
        <w:t>on</w:t>
      </w:r>
      <w:r>
        <w:rPr>
          <w:rFonts w:asciiTheme="minorHAnsi" w:hAnsiTheme="minorHAnsi" w:cstheme="minorHAnsi"/>
          <w:bCs/>
          <w:color w:val="000000" w:themeColor="text1"/>
          <w:kern w:val="24"/>
          <w:szCs w:val="21"/>
        </w:rPr>
        <w:t xml:space="preserve"> L</w:t>
      </w:r>
      <w:r w:rsidRPr="00685B27">
        <w:rPr>
          <w:rFonts w:asciiTheme="minorHAnsi" w:hAnsiTheme="minorHAnsi" w:cstheme="minorHAnsi"/>
          <w:bCs/>
          <w:color w:val="000000" w:themeColor="text1"/>
          <w:kern w:val="24"/>
          <w:szCs w:val="21"/>
        </w:rPr>
        <w:t xml:space="preserve">ifetime </w:t>
      </w:r>
      <w:r>
        <w:rPr>
          <w:rFonts w:asciiTheme="minorHAnsi" w:hAnsiTheme="minorHAnsi" w:cstheme="minorHAnsi"/>
          <w:bCs/>
          <w:color w:val="000000" w:themeColor="text1"/>
          <w:kern w:val="24"/>
          <w:szCs w:val="21"/>
        </w:rPr>
        <w:t>C</w:t>
      </w:r>
      <w:r w:rsidRPr="00685B27">
        <w:rPr>
          <w:rFonts w:asciiTheme="minorHAnsi" w:hAnsiTheme="minorHAnsi" w:cstheme="minorHAnsi"/>
          <w:bCs/>
          <w:color w:val="000000" w:themeColor="text1"/>
          <w:kern w:val="24"/>
          <w:szCs w:val="21"/>
        </w:rPr>
        <w:t>ost</w:t>
      </w:r>
      <w:r w:rsidR="004230C7">
        <w:rPr>
          <w:rFonts w:asciiTheme="minorHAnsi" w:hAnsiTheme="minorHAnsi" w:cstheme="minorHAnsi"/>
          <w:bCs/>
          <w:color w:val="000000" w:themeColor="text1"/>
          <w:kern w:val="24"/>
          <w:szCs w:val="21"/>
        </w:rPr>
        <w:t xml:space="preserve"> when measured across the projected lifetime</w:t>
      </w:r>
      <w:r>
        <w:rPr>
          <w:rFonts w:asciiTheme="minorHAnsi" w:hAnsiTheme="minorHAnsi" w:cstheme="minorHAnsi"/>
          <w:bCs/>
          <w:color w:val="000000" w:themeColor="text1"/>
          <w:kern w:val="24"/>
          <w:szCs w:val="21"/>
        </w:rPr>
        <w:t xml:space="preserve">, many </w:t>
      </w:r>
      <w:r w:rsidR="00D172BC">
        <w:rPr>
          <w:rFonts w:asciiTheme="minorHAnsi" w:hAnsiTheme="minorHAnsi" w:cstheme="minorHAnsi"/>
          <w:bCs/>
          <w:color w:val="000000" w:themeColor="text1"/>
          <w:kern w:val="24"/>
          <w:szCs w:val="21"/>
        </w:rPr>
        <w:t xml:space="preserve">people </w:t>
      </w:r>
      <w:r w:rsidR="00403873">
        <w:rPr>
          <w:rFonts w:asciiTheme="minorHAnsi" w:hAnsiTheme="minorHAnsi" w:cstheme="minorHAnsi"/>
          <w:bCs/>
          <w:color w:val="000000" w:themeColor="text1"/>
          <w:kern w:val="24"/>
          <w:szCs w:val="21"/>
        </w:rPr>
        <w:t>require further social security support</w:t>
      </w:r>
      <w:r>
        <w:rPr>
          <w:rFonts w:asciiTheme="minorHAnsi" w:hAnsiTheme="minorHAnsi" w:cstheme="minorHAnsi"/>
          <w:bCs/>
          <w:color w:val="000000" w:themeColor="text1"/>
          <w:kern w:val="24"/>
          <w:szCs w:val="21"/>
        </w:rPr>
        <w:t>.</w:t>
      </w:r>
    </w:p>
    <w:p w14:paraId="4B8B676C" w14:textId="64934F6A" w:rsidR="00C760D8" w:rsidRPr="009727A0" w:rsidRDefault="00C760D8" w:rsidP="00E37F73">
      <w:pPr>
        <w:pStyle w:val="Heading2notnumbered"/>
      </w:pPr>
      <w:r w:rsidRPr="00C760D8">
        <w:t xml:space="preserve">1 in </w:t>
      </w:r>
      <w:r w:rsidR="00A5286E">
        <w:t>6</w:t>
      </w:r>
      <w:r w:rsidR="00A5286E" w:rsidRPr="009727A0">
        <w:t xml:space="preserve"> </w:t>
      </w:r>
      <w:r w:rsidRPr="009727A0">
        <w:t xml:space="preserve">Australians who are not currently receiving </w:t>
      </w:r>
      <w:r>
        <w:t xml:space="preserve">social security </w:t>
      </w:r>
      <w:r w:rsidR="001215D2" w:rsidRPr="009727A0">
        <w:t xml:space="preserve">(or </w:t>
      </w:r>
      <w:r w:rsidR="001215D2">
        <w:t>11</w:t>
      </w:r>
      <w:r w:rsidR="001215D2" w:rsidRPr="009727A0">
        <w:t xml:space="preserve"> per cent of the population) </w:t>
      </w:r>
      <w:r>
        <w:t>are expected to</w:t>
      </w:r>
      <w:r w:rsidRPr="009727A0">
        <w:t xml:space="preserve"> start receiving payments over the next five</w:t>
      </w:r>
      <w:r w:rsidR="00E46C6A">
        <w:t> year</w:t>
      </w:r>
      <w:r w:rsidRPr="009727A0">
        <w:t>s.</w:t>
      </w:r>
    </w:p>
    <w:p w14:paraId="1FE879E1" w14:textId="2B0FEA9B" w:rsidR="000F3131" w:rsidRPr="005D2E5B" w:rsidRDefault="00735DAA" w:rsidP="006E301F">
      <w:pPr>
        <w:rPr>
          <w:rFonts w:asciiTheme="minorHAnsi" w:hAnsiTheme="minorHAnsi" w:cstheme="minorHAnsi"/>
        </w:rPr>
      </w:pPr>
      <w:r>
        <w:rPr>
          <w:rFonts w:asciiTheme="minorHAnsi" w:eastAsiaTheme="minorEastAsia" w:hAnsiTheme="minorHAnsi" w:cstheme="minorHAnsi"/>
          <w:bCs/>
          <w:color w:val="000000" w:themeColor="text1"/>
          <w:kern w:val="24"/>
        </w:rPr>
        <w:t>Most</w:t>
      </w:r>
      <w:r w:rsidR="004230C7" w:rsidRPr="005D2E5B">
        <w:rPr>
          <w:rFonts w:asciiTheme="minorHAnsi" w:eastAsiaTheme="minorEastAsia" w:hAnsiTheme="minorHAnsi" w:cstheme="minorHAnsi"/>
          <w:bCs/>
          <w:color w:val="000000" w:themeColor="text1"/>
          <w:kern w:val="24"/>
        </w:rPr>
        <w:t xml:space="preserve"> </w:t>
      </w:r>
      <w:r w:rsidR="002A3FE2">
        <w:rPr>
          <w:rFonts w:asciiTheme="minorHAnsi" w:eastAsiaTheme="minorEastAsia" w:hAnsiTheme="minorHAnsi" w:cstheme="minorHAnsi"/>
          <w:bCs/>
          <w:color w:val="000000" w:themeColor="text1"/>
          <w:kern w:val="24"/>
        </w:rPr>
        <w:t xml:space="preserve">people </w:t>
      </w:r>
      <w:r w:rsidR="003474CF">
        <w:rPr>
          <w:rFonts w:asciiTheme="minorHAnsi" w:eastAsiaTheme="minorEastAsia" w:hAnsiTheme="minorHAnsi" w:cstheme="minorHAnsi"/>
          <w:bCs/>
          <w:color w:val="000000" w:themeColor="text1"/>
          <w:kern w:val="24"/>
        </w:rPr>
        <w:t xml:space="preserve">projected to </w:t>
      </w:r>
      <w:r w:rsidR="002A3FE2">
        <w:rPr>
          <w:rFonts w:asciiTheme="minorHAnsi" w:eastAsiaTheme="minorEastAsia" w:hAnsiTheme="minorHAnsi" w:cstheme="minorHAnsi"/>
          <w:bCs/>
          <w:color w:val="000000" w:themeColor="text1"/>
          <w:kern w:val="24"/>
        </w:rPr>
        <w:t xml:space="preserve">start receiving social security </w:t>
      </w:r>
      <w:r w:rsidR="003474CF">
        <w:rPr>
          <w:rFonts w:asciiTheme="minorHAnsi" w:eastAsiaTheme="minorEastAsia" w:hAnsiTheme="minorHAnsi" w:cstheme="minorHAnsi"/>
          <w:bCs/>
          <w:color w:val="000000" w:themeColor="text1"/>
          <w:kern w:val="24"/>
        </w:rPr>
        <w:t xml:space="preserve">are </w:t>
      </w:r>
      <w:r w:rsidR="00D172BC">
        <w:rPr>
          <w:rFonts w:asciiTheme="minorHAnsi" w:eastAsiaTheme="minorEastAsia" w:hAnsiTheme="minorHAnsi" w:cstheme="minorHAnsi"/>
          <w:bCs/>
          <w:color w:val="000000" w:themeColor="text1"/>
          <w:kern w:val="24"/>
        </w:rPr>
        <w:t xml:space="preserve">expected </w:t>
      </w:r>
      <w:r w:rsidR="003474CF">
        <w:rPr>
          <w:rFonts w:asciiTheme="minorHAnsi" w:eastAsiaTheme="minorEastAsia" w:hAnsiTheme="minorHAnsi" w:cstheme="minorHAnsi"/>
          <w:bCs/>
          <w:color w:val="000000" w:themeColor="text1"/>
          <w:kern w:val="24"/>
        </w:rPr>
        <w:t xml:space="preserve">to </w:t>
      </w:r>
      <w:r w:rsidR="002A3FE2">
        <w:rPr>
          <w:rFonts w:asciiTheme="minorHAnsi" w:eastAsiaTheme="minorEastAsia" w:hAnsiTheme="minorHAnsi" w:cstheme="minorHAnsi"/>
          <w:bCs/>
          <w:color w:val="000000" w:themeColor="text1"/>
          <w:kern w:val="24"/>
        </w:rPr>
        <w:t>receive either</w:t>
      </w:r>
      <w:r w:rsidR="000F3131" w:rsidRPr="005D2E5B">
        <w:rPr>
          <w:rFonts w:asciiTheme="minorHAnsi" w:eastAsiaTheme="minorEastAsia" w:hAnsiTheme="minorHAnsi" w:cstheme="minorHAnsi"/>
          <w:bCs/>
          <w:color w:val="000000" w:themeColor="text1"/>
          <w:kern w:val="24"/>
        </w:rPr>
        <w:t xml:space="preserve"> studying payments, working age payments, </w:t>
      </w:r>
      <w:r w:rsidR="004230C7" w:rsidRPr="005D2E5B">
        <w:rPr>
          <w:rFonts w:asciiTheme="minorHAnsi" w:eastAsiaTheme="minorEastAsia" w:hAnsiTheme="minorHAnsi" w:cstheme="minorHAnsi"/>
          <w:bCs/>
          <w:color w:val="000000" w:themeColor="text1"/>
          <w:kern w:val="24"/>
        </w:rPr>
        <w:t xml:space="preserve">supplementary </w:t>
      </w:r>
      <w:r w:rsidR="000F3131" w:rsidRPr="005D2E5B">
        <w:rPr>
          <w:rFonts w:asciiTheme="minorHAnsi" w:eastAsiaTheme="minorEastAsia" w:hAnsiTheme="minorHAnsi" w:cstheme="minorHAnsi"/>
          <w:bCs/>
          <w:color w:val="000000" w:themeColor="text1"/>
          <w:kern w:val="24"/>
        </w:rPr>
        <w:t xml:space="preserve">family payments, </w:t>
      </w:r>
      <w:r w:rsidR="002A3FE2">
        <w:rPr>
          <w:rFonts w:asciiTheme="minorHAnsi" w:eastAsiaTheme="minorEastAsia" w:hAnsiTheme="minorHAnsi" w:cstheme="minorHAnsi"/>
          <w:bCs/>
          <w:color w:val="000000" w:themeColor="text1"/>
          <w:kern w:val="24"/>
        </w:rPr>
        <w:t>or</w:t>
      </w:r>
      <w:r w:rsidR="002A3FE2" w:rsidRPr="005D2E5B">
        <w:rPr>
          <w:rFonts w:asciiTheme="minorHAnsi" w:eastAsiaTheme="minorEastAsia" w:hAnsiTheme="minorHAnsi" w:cstheme="minorHAnsi"/>
          <w:bCs/>
          <w:color w:val="000000" w:themeColor="text1"/>
          <w:kern w:val="24"/>
        </w:rPr>
        <w:t xml:space="preserve"> </w:t>
      </w:r>
      <w:r w:rsidR="000F3131" w:rsidRPr="005D2E5B">
        <w:rPr>
          <w:rFonts w:asciiTheme="minorHAnsi" w:eastAsiaTheme="minorEastAsia" w:hAnsiTheme="minorHAnsi" w:cstheme="minorHAnsi"/>
          <w:bCs/>
          <w:color w:val="000000" w:themeColor="text1"/>
          <w:kern w:val="24"/>
        </w:rPr>
        <w:t>the Age Pension</w:t>
      </w:r>
      <w:r w:rsidR="000F3131" w:rsidRPr="005D2E5B">
        <w:rPr>
          <w:rFonts w:asciiTheme="minorHAnsi" w:hAnsiTheme="minorHAnsi" w:cstheme="minorHAnsi"/>
        </w:rPr>
        <w:t>.</w:t>
      </w:r>
    </w:p>
    <w:p w14:paraId="462F8BCF" w14:textId="7C696B75" w:rsidR="000F3131" w:rsidRPr="003C37AA" w:rsidRDefault="0090742B" w:rsidP="00E37F73">
      <w:pPr>
        <w:pStyle w:val="Heading2notnumbered"/>
      </w:pPr>
      <w:r>
        <w:rPr>
          <w:rStyle w:val="ui-provider"/>
        </w:rPr>
        <w:t xml:space="preserve">All Australians, including those who have not yet accessed the social security system, </w:t>
      </w:r>
      <w:r w:rsidR="000F13B9">
        <w:t>are</w:t>
      </w:r>
      <w:r w:rsidR="000F13B9" w:rsidRPr="003C37AA">
        <w:t xml:space="preserve"> expected to </w:t>
      </w:r>
      <w:r w:rsidR="000F13B9">
        <w:t>access</w:t>
      </w:r>
      <w:r w:rsidR="000F13B9" w:rsidRPr="003C37AA">
        <w:t xml:space="preserve"> </w:t>
      </w:r>
      <w:r w:rsidR="000F13B9">
        <w:t xml:space="preserve">social security, on average, for </w:t>
      </w:r>
      <w:r w:rsidR="000F13B9" w:rsidRPr="003C37AA">
        <w:t>18.3</w:t>
      </w:r>
      <w:r w:rsidR="00E46C6A">
        <w:t> year</w:t>
      </w:r>
      <w:r w:rsidR="000F13B9" w:rsidRPr="003C37AA">
        <w:t>s of</w:t>
      </w:r>
      <w:r w:rsidR="000F13B9">
        <w:t xml:space="preserve"> their future lifetime</w:t>
      </w:r>
      <w:r w:rsidR="000F13B9" w:rsidRPr="003C37AA">
        <w:t>.</w:t>
      </w:r>
      <w:r w:rsidR="000F13B9">
        <w:t xml:space="preserve"> </w:t>
      </w:r>
      <w:r w:rsidR="000F3131" w:rsidRPr="003C37AA">
        <w:t>The expected average</w:t>
      </w:r>
      <w:r w:rsidR="000F3131">
        <w:t xml:space="preserve"> total time on</w:t>
      </w:r>
      <w:r w:rsidR="000F3131" w:rsidRPr="003C37AA">
        <w:t xml:space="preserve"> payment for a new recipient varies significantly between payment types.</w:t>
      </w:r>
    </w:p>
    <w:p w14:paraId="29135AD1" w14:textId="004BC650" w:rsidR="000F3131" w:rsidRPr="003C37AA" w:rsidRDefault="000F3131" w:rsidP="006E301F">
      <w:pPr>
        <w:rPr>
          <w:rFonts w:asciiTheme="minorHAnsi" w:hAnsiTheme="minorHAnsi" w:cstheme="minorHAnsi"/>
          <w:szCs w:val="21"/>
        </w:rPr>
      </w:pPr>
      <w:r w:rsidRPr="003C37AA">
        <w:rPr>
          <w:rFonts w:asciiTheme="minorHAnsi" w:hAnsiTheme="minorHAnsi" w:cstheme="minorHAnsi"/>
          <w:szCs w:val="21"/>
        </w:rPr>
        <w:t>In 20</w:t>
      </w:r>
      <w:r w:rsidR="00BC5C94">
        <w:rPr>
          <w:rFonts w:asciiTheme="minorHAnsi" w:hAnsiTheme="minorHAnsi" w:cstheme="minorHAnsi"/>
          <w:szCs w:val="21"/>
        </w:rPr>
        <w:t>21</w:t>
      </w:r>
      <w:r w:rsidR="009F12CC">
        <w:rPr>
          <w:rFonts w:asciiTheme="minorHAnsi" w:hAnsiTheme="minorHAnsi" w:cstheme="minorHAnsi"/>
          <w:szCs w:val="21"/>
        </w:rPr>
        <w:t>–</w:t>
      </w:r>
      <w:r w:rsidRPr="003C37AA">
        <w:rPr>
          <w:rFonts w:asciiTheme="minorHAnsi" w:hAnsiTheme="minorHAnsi" w:cstheme="minorHAnsi"/>
          <w:szCs w:val="21"/>
        </w:rPr>
        <w:t xml:space="preserve">22, </w:t>
      </w:r>
      <w:r w:rsidR="006F573D">
        <w:rPr>
          <w:rFonts w:asciiTheme="minorHAnsi" w:hAnsiTheme="minorHAnsi" w:cstheme="minorHAnsi"/>
          <w:szCs w:val="21"/>
        </w:rPr>
        <w:t>people new to studying or working age payments are</w:t>
      </w:r>
      <w:r w:rsidRPr="003C37AA">
        <w:rPr>
          <w:rFonts w:asciiTheme="minorHAnsi" w:hAnsiTheme="minorHAnsi" w:cstheme="minorHAnsi"/>
          <w:szCs w:val="21"/>
        </w:rPr>
        <w:t xml:space="preserve"> expected to access </w:t>
      </w:r>
      <w:r w:rsidR="00735DAA">
        <w:rPr>
          <w:rFonts w:asciiTheme="minorHAnsi" w:hAnsiTheme="minorHAnsi" w:cstheme="minorHAnsi"/>
          <w:szCs w:val="21"/>
        </w:rPr>
        <w:t xml:space="preserve">those </w:t>
      </w:r>
      <w:r w:rsidR="00E57BC5">
        <w:rPr>
          <w:rFonts w:asciiTheme="minorHAnsi" w:hAnsiTheme="minorHAnsi" w:cstheme="minorHAnsi"/>
          <w:szCs w:val="21"/>
        </w:rPr>
        <w:t>particular</w:t>
      </w:r>
      <w:r w:rsidRPr="003C37AA">
        <w:rPr>
          <w:rFonts w:asciiTheme="minorHAnsi" w:hAnsiTheme="minorHAnsi" w:cstheme="minorHAnsi"/>
          <w:szCs w:val="21"/>
        </w:rPr>
        <w:t xml:space="preserve"> payment</w:t>
      </w:r>
      <w:r w:rsidR="00735DAA">
        <w:rPr>
          <w:rFonts w:asciiTheme="minorHAnsi" w:hAnsiTheme="minorHAnsi" w:cstheme="minorHAnsi"/>
          <w:szCs w:val="21"/>
        </w:rPr>
        <w:t>s</w:t>
      </w:r>
      <w:r w:rsidR="00E57BC5">
        <w:rPr>
          <w:rFonts w:asciiTheme="minorHAnsi" w:hAnsiTheme="minorHAnsi" w:cstheme="minorHAnsi"/>
          <w:szCs w:val="21"/>
        </w:rPr>
        <w:t xml:space="preserve"> </w:t>
      </w:r>
      <w:r w:rsidRPr="003C37AA">
        <w:rPr>
          <w:rFonts w:asciiTheme="minorHAnsi" w:hAnsiTheme="minorHAnsi" w:cstheme="minorHAnsi"/>
          <w:szCs w:val="21"/>
        </w:rPr>
        <w:t>multiple</w:t>
      </w:r>
      <w:r w:rsidR="00F40387">
        <w:rPr>
          <w:rFonts w:asciiTheme="minorHAnsi" w:hAnsiTheme="minorHAnsi" w:cstheme="minorHAnsi"/>
          <w:szCs w:val="21"/>
        </w:rPr>
        <w:t> times</w:t>
      </w:r>
      <w:r w:rsidRPr="003C37AA">
        <w:rPr>
          <w:rFonts w:asciiTheme="minorHAnsi" w:hAnsiTheme="minorHAnsi" w:cstheme="minorHAnsi"/>
          <w:szCs w:val="21"/>
        </w:rPr>
        <w:t xml:space="preserve"> over their lifetime, for a</w:t>
      </w:r>
      <w:r w:rsidR="006F573D">
        <w:rPr>
          <w:rFonts w:asciiTheme="minorHAnsi" w:hAnsiTheme="minorHAnsi" w:cstheme="minorHAnsi"/>
          <w:szCs w:val="21"/>
        </w:rPr>
        <w:t>n average</w:t>
      </w:r>
      <w:r w:rsidRPr="003C37AA">
        <w:rPr>
          <w:rFonts w:asciiTheme="minorHAnsi" w:hAnsiTheme="minorHAnsi" w:cstheme="minorHAnsi"/>
          <w:szCs w:val="21"/>
        </w:rPr>
        <w:t xml:space="preserve"> total of 3 and 5</w:t>
      </w:r>
      <w:r w:rsidR="00E46C6A">
        <w:rPr>
          <w:rFonts w:asciiTheme="minorHAnsi" w:hAnsiTheme="minorHAnsi" w:cstheme="minorHAnsi"/>
          <w:szCs w:val="21"/>
        </w:rPr>
        <w:t> year</w:t>
      </w:r>
      <w:r w:rsidRPr="003C37AA">
        <w:rPr>
          <w:rFonts w:asciiTheme="minorHAnsi" w:hAnsiTheme="minorHAnsi" w:cstheme="minorHAnsi"/>
          <w:szCs w:val="21"/>
        </w:rPr>
        <w:t>s</w:t>
      </w:r>
      <w:r w:rsidR="006F573D">
        <w:rPr>
          <w:rFonts w:asciiTheme="minorHAnsi" w:hAnsiTheme="minorHAnsi" w:cstheme="minorHAnsi"/>
          <w:szCs w:val="21"/>
        </w:rPr>
        <w:t>, respectively</w:t>
      </w:r>
      <w:r w:rsidRPr="003C37AA">
        <w:rPr>
          <w:rFonts w:asciiTheme="minorHAnsi" w:hAnsiTheme="minorHAnsi" w:cstheme="minorHAnsi"/>
          <w:szCs w:val="21"/>
        </w:rPr>
        <w:t>.</w:t>
      </w:r>
    </w:p>
    <w:p w14:paraId="56968543" w14:textId="2BD9990C" w:rsidR="00B04FCE" w:rsidRDefault="000F3131" w:rsidP="006E301F">
      <w:pPr>
        <w:rPr>
          <w:rFonts w:asciiTheme="minorHAnsi" w:hAnsiTheme="minorHAnsi" w:cstheme="minorHAnsi"/>
          <w:color w:val="000000" w:themeColor="text1"/>
          <w:kern w:val="24"/>
          <w:szCs w:val="21"/>
        </w:rPr>
      </w:pPr>
      <w:r w:rsidRPr="003C37AA">
        <w:rPr>
          <w:rFonts w:asciiTheme="minorHAnsi" w:hAnsiTheme="minorHAnsi" w:cstheme="minorHAnsi"/>
          <w:color w:val="000000" w:themeColor="text1"/>
          <w:kern w:val="24"/>
          <w:szCs w:val="21"/>
        </w:rPr>
        <w:t xml:space="preserve">In contrast, a new recipient of </w:t>
      </w:r>
      <w:r w:rsidR="00744C8C">
        <w:rPr>
          <w:rFonts w:asciiTheme="minorHAnsi" w:hAnsiTheme="minorHAnsi" w:cstheme="minorHAnsi"/>
          <w:color w:val="000000" w:themeColor="text1"/>
          <w:kern w:val="24"/>
          <w:szCs w:val="21"/>
        </w:rPr>
        <w:t>DSP</w:t>
      </w:r>
      <w:r w:rsidR="006F573D">
        <w:rPr>
          <w:rFonts w:asciiTheme="minorHAnsi" w:hAnsiTheme="minorHAnsi" w:cstheme="minorHAnsi"/>
          <w:color w:val="000000" w:themeColor="text1"/>
          <w:kern w:val="24"/>
          <w:szCs w:val="21"/>
        </w:rPr>
        <w:t xml:space="preserve"> is expected to remain on payment for more than 20</w:t>
      </w:r>
      <w:r w:rsidR="00E46C6A">
        <w:rPr>
          <w:rFonts w:asciiTheme="minorHAnsi" w:hAnsiTheme="minorHAnsi" w:cstheme="minorHAnsi"/>
          <w:color w:val="000000" w:themeColor="text1"/>
          <w:kern w:val="24"/>
          <w:szCs w:val="21"/>
        </w:rPr>
        <w:t> year</w:t>
      </w:r>
      <w:r w:rsidR="006F573D">
        <w:rPr>
          <w:rFonts w:asciiTheme="minorHAnsi" w:hAnsiTheme="minorHAnsi" w:cstheme="minorHAnsi"/>
          <w:color w:val="000000" w:themeColor="text1"/>
          <w:kern w:val="24"/>
          <w:szCs w:val="21"/>
        </w:rPr>
        <w:t>s, and a person new to</w:t>
      </w:r>
      <w:r w:rsidR="006F573D" w:rsidRPr="003C37AA">
        <w:rPr>
          <w:rFonts w:asciiTheme="minorHAnsi" w:hAnsiTheme="minorHAnsi" w:cstheme="minorHAnsi"/>
          <w:color w:val="000000" w:themeColor="text1"/>
          <w:kern w:val="24"/>
          <w:szCs w:val="21"/>
        </w:rPr>
        <w:t xml:space="preserve"> </w:t>
      </w:r>
      <w:r w:rsidRPr="003C37AA">
        <w:rPr>
          <w:rFonts w:asciiTheme="minorHAnsi" w:hAnsiTheme="minorHAnsi" w:cstheme="minorHAnsi"/>
          <w:color w:val="000000" w:themeColor="text1"/>
          <w:kern w:val="24"/>
          <w:szCs w:val="21"/>
        </w:rPr>
        <w:t xml:space="preserve">Age Pension </w:t>
      </w:r>
      <w:r w:rsidR="00F2688B">
        <w:rPr>
          <w:rFonts w:asciiTheme="minorHAnsi" w:hAnsiTheme="minorHAnsi" w:cstheme="minorHAnsi"/>
          <w:color w:val="000000" w:themeColor="text1"/>
          <w:kern w:val="24"/>
          <w:szCs w:val="21"/>
        </w:rPr>
        <w:t>is</w:t>
      </w:r>
      <w:r w:rsidRPr="003C37AA">
        <w:rPr>
          <w:rFonts w:asciiTheme="minorHAnsi" w:hAnsiTheme="minorHAnsi" w:cstheme="minorHAnsi"/>
          <w:color w:val="000000" w:themeColor="text1"/>
          <w:kern w:val="24"/>
          <w:szCs w:val="21"/>
        </w:rPr>
        <w:t xml:space="preserve"> expected to remain on payment for 18</w:t>
      </w:r>
      <w:r w:rsidR="00E46C6A">
        <w:rPr>
          <w:rFonts w:asciiTheme="minorHAnsi" w:hAnsiTheme="minorHAnsi" w:cstheme="minorHAnsi"/>
          <w:color w:val="000000" w:themeColor="text1"/>
          <w:kern w:val="24"/>
          <w:szCs w:val="21"/>
        </w:rPr>
        <w:t> year</w:t>
      </w:r>
      <w:r w:rsidRPr="003C37AA">
        <w:rPr>
          <w:rFonts w:asciiTheme="minorHAnsi" w:hAnsiTheme="minorHAnsi" w:cstheme="minorHAnsi"/>
          <w:color w:val="000000" w:themeColor="text1"/>
          <w:kern w:val="24"/>
          <w:szCs w:val="21"/>
        </w:rPr>
        <w:t>s on average.</w:t>
      </w:r>
    </w:p>
    <w:tbl>
      <w:tblPr>
        <w:tblStyle w:val="TableGrid"/>
        <w:tblW w:w="0" w:type="auto"/>
        <w:tblCellMar>
          <w:top w:w="227" w:type="dxa"/>
          <w:left w:w="340" w:type="dxa"/>
          <w:bottom w:w="227" w:type="dxa"/>
          <w:right w:w="340" w:type="dxa"/>
        </w:tblCellMar>
        <w:tblLook w:val="04A0" w:firstRow="1" w:lastRow="0" w:firstColumn="1" w:lastColumn="0" w:noHBand="0" w:noVBand="1"/>
        <w:tblDescription w:val="This is not a diagram"/>
      </w:tblPr>
      <w:tblGrid>
        <w:gridCol w:w="6930"/>
      </w:tblGrid>
      <w:tr w:rsidR="00C03124" w14:paraId="77537EA0" w14:textId="77777777" w:rsidTr="00B87900">
        <w:trPr>
          <w:tblHeader/>
        </w:trPr>
        <w:tc>
          <w:tcPr>
            <w:tcW w:w="6930" w:type="dxa"/>
            <w:shd w:val="clear" w:color="auto" w:fill="CEDBE3" w:themeFill="text2"/>
          </w:tcPr>
          <w:p w14:paraId="4EC4ABF9" w14:textId="77777777" w:rsidR="00B04FCE" w:rsidRDefault="00C03124" w:rsidP="00C53C90">
            <w:pPr>
              <w:pStyle w:val="BoxHeading"/>
              <w:jc w:val="left"/>
              <w:rPr>
                <w:rFonts w:eastAsiaTheme="majorEastAsia"/>
              </w:rPr>
            </w:pPr>
            <w:r w:rsidRPr="00D52F35">
              <w:rPr>
                <w:rFonts w:eastAsiaTheme="majorEastAsia"/>
              </w:rPr>
              <w:t>About the Approach</w:t>
            </w:r>
          </w:p>
          <w:p w14:paraId="162B43B5" w14:textId="6F4F4708" w:rsidR="00C03124" w:rsidRPr="00D52F35" w:rsidRDefault="00C03124" w:rsidP="00C53C90">
            <w:pPr>
              <w:pStyle w:val="BoxText"/>
              <w:jc w:val="left"/>
            </w:pPr>
            <w:r w:rsidRPr="00D52F35">
              <w:t>The results presented in this report are based on an actuarial valuation at 30</w:t>
            </w:r>
            <w:r w:rsidR="00E46C6A">
              <w:t> June </w:t>
            </w:r>
            <w:r w:rsidRPr="00D52F35">
              <w:t>2022. This is the eighth in a series of annual valuations produced since the establishment of the Australian Priority Investment Approach to Welfare in 2015.</w:t>
            </w:r>
          </w:p>
          <w:p w14:paraId="10DA3BE5" w14:textId="77777777" w:rsidR="00B04FCE" w:rsidRDefault="00C03124" w:rsidP="00C53C90">
            <w:pPr>
              <w:pStyle w:val="BoxText"/>
              <w:jc w:val="left"/>
            </w:pPr>
            <w:r w:rsidRPr="00D52F35">
              <w:t>The Approach uses actuarial analysis to support a better understanding of the social security system, both at the population level and for various groups within the population.</w:t>
            </w:r>
          </w:p>
          <w:p w14:paraId="37174D90" w14:textId="6A065AE7" w:rsidR="00C03124" w:rsidRPr="00D52F35" w:rsidRDefault="00C03124" w:rsidP="00C53C90">
            <w:pPr>
              <w:pStyle w:val="BoxText"/>
              <w:jc w:val="left"/>
            </w:pPr>
            <w:r w:rsidRPr="00D52F35">
              <w:t>The actuarial model projects how the Australian population will interact with the social security system across their lifetime. A customised longitudinal administrative dataset is used to project future transitions into, out of, and within the social security system.</w:t>
            </w:r>
          </w:p>
          <w:p w14:paraId="54BD2579" w14:textId="7D5BA348" w:rsidR="00C03124" w:rsidRPr="00C03124" w:rsidRDefault="00C03124" w:rsidP="00C53C90">
            <w:pPr>
              <w:pStyle w:val="BoxText"/>
              <w:jc w:val="left"/>
              <w:rPr>
                <w:rFonts w:eastAsiaTheme="minorEastAsia"/>
              </w:rPr>
            </w:pPr>
            <w:r w:rsidRPr="00D52F35">
              <w:t>Analysis of demographic characteristics and projected patterns of payment usage can provide insight into vulnerable groups and critical transition points. This informs policies and initiatives designed to intervene early to support people at risk of long</w:t>
            </w:r>
            <w:r w:rsidR="00B04FCE">
              <w:noBreakHyphen/>
            </w:r>
            <w:r w:rsidRPr="00D52F35">
              <w:t>term disadvantage.</w:t>
            </w:r>
          </w:p>
        </w:tc>
      </w:tr>
    </w:tbl>
    <w:p w14:paraId="5241A9BC" w14:textId="467F16D4" w:rsidR="00B04FCE" w:rsidRDefault="000F3131" w:rsidP="00E37F73">
      <w:pPr>
        <w:pStyle w:val="Heading2notnumbered"/>
        <w:rPr>
          <w:rFonts w:eastAsiaTheme="minorEastAsia"/>
        </w:rPr>
      </w:pPr>
      <w:r w:rsidRPr="003C37AA">
        <w:rPr>
          <w:rFonts w:eastAsiaTheme="minorEastAsia"/>
        </w:rPr>
        <w:t xml:space="preserve">For many Australians, the </w:t>
      </w:r>
      <w:r>
        <w:rPr>
          <w:rFonts w:eastAsiaTheme="minorEastAsia"/>
        </w:rPr>
        <w:t>social security</w:t>
      </w:r>
      <w:r w:rsidRPr="003C37AA">
        <w:rPr>
          <w:rFonts w:eastAsiaTheme="minorEastAsia"/>
        </w:rPr>
        <w:t xml:space="preserve"> system provides the support </w:t>
      </w:r>
      <w:r w:rsidR="00E93DCE">
        <w:rPr>
          <w:rFonts w:eastAsiaTheme="minorEastAsia"/>
        </w:rPr>
        <w:t>they need as they transition through each life stage from study to employment, partnering, having children and retirement.</w:t>
      </w:r>
    </w:p>
    <w:p w14:paraId="68F81F49" w14:textId="54B3B7AF" w:rsidR="000F3131" w:rsidRDefault="000F3131" w:rsidP="006E301F">
      <w:pPr>
        <w:spacing w:before="100" w:beforeAutospacing="1" w:after="100" w:afterAutospacing="1"/>
        <w:rPr>
          <w:rFonts w:asciiTheme="minorHAnsi" w:eastAsiaTheme="minorEastAsia" w:hAnsiTheme="minorHAnsi" w:cstheme="minorHAnsi"/>
          <w:color w:val="000000" w:themeColor="text1"/>
          <w:kern w:val="24"/>
          <w:szCs w:val="21"/>
        </w:rPr>
      </w:pPr>
      <w:r w:rsidRPr="003C37AA">
        <w:rPr>
          <w:rFonts w:asciiTheme="minorHAnsi" w:eastAsiaTheme="minorEastAsia" w:hAnsiTheme="minorHAnsi" w:cstheme="minorHAnsi"/>
          <w:bCs/>
          <w:color w:val="000000" w:themeColor="text1"/>
          <w:kern w:val="24"/>
          <w:szCs w:val="21"/>
        </w:rPr>
        <w:t>Children under</w:t>
      </w:r>
      <w:r w:rsidR="00D01768">
        <w:rPr>
          <w:rFonts w:asciiTheme="minorHAnsi" w:eastAsiaTheme="minorEastAsia" w:hAnsiTheme="minorHAnsi" w:cstheme="minorHAnsi"/>
          <w:bCs/>
          <w:color w:val="000000" w:themeColor="text1"/>
          <w:kern w:val="24"/>
          <w:szCs w:val="21"/>
        </w:rPr>
        <w:t xml:space="preserve"> age </w:t>
      </w:r>
      <w:r w:rsidRPr="003C37AA">
        <w:rPr>
          <w:rFonts w:asciiTheme="minorHAnsi" w:eastAsiaTheme="minorEastAsia" w:hAnsiTheme="minorHAnsi" w:cstheme="minorHAnsi"/>
          <w:bCs/>
          <w:color w:val="000000" w:themeColor="text1"/>
          <w:kern w:val="24"/>
          <w:szCs w:val="21"/>
        </w:rPr>
        <w:t xml:space="preserve">18 generally interact with the </w:t>
      </w:r>
      <w:r>
        <w:rPr>
          <w:rFonts w:asciiTheme="minorHAnsi" w:eastAsiaTheme="minorEastAsia" w:hAnsiTheme="minorHAnsi" w:cstheme="minorHAnsi"/>
          <w:bCs/>
          <w:color w:val="000000" w:themeColor="text1"/>
          <w:kern w:val="24"/>
          <w:szCs w:val="21"/>
        </w:rPr>
        <w:t>social security</w:t>
      </w:r>
      <w:r w:rsidRPr="003C37AA">
        <w:rPr>
          <w:rFonts w:asciiTheme="minorHAnsi" w:eastAsiaTheme="minorEastAsia" w:hAnsiTheme="minorHAnsi" w:cstheme="minorHAnsi"/>
          <w:bCs/>
          <w:color w:val="000000" w:themeColor="text1"/>
          <w:kern w:val="24"/>
          <w:szCs w:val="21"/>
        </w:rPr>
        <w:t xml:space="preserve"> system through </w:t>
      </w:r>
      <w:r w:rsidR="00E93DCE">
        <w:rPr>
          <w:rFonts w:asciiTheme="minorHAnsi" w:eastAsiaTheme="minorEastAsia" w:hAnsiTheme="minorHAnsi" w:cstheme="minorHAnsi"/>
          <w:bCs/>
          <w:color w:val="000000" w:themeColor="text1"/>
          <w:kern w:val="24"/>
          <w:szCs w:val="21"/>
        </w:rPr>
        <w:t xml:space="preserve">the experience of </w:t>
      </w:r>
      <w:r w:rsidRPr="003C37AA">
        <w:rPr>
          <w:rFonts w:asciiTheme="minorHAnsi" w:eastAsiaTheme="minorEastAsia" w:hAnsiTheme="minorHAnsi" w:cstheme="minorHAnsi"/>
          <w:bCs/>
          <w:color w:val="000000" w:themeColor="text1"/>
          <w:kern w:val="24"/>
          <w:szCs w:val="21"/>
        </w:rPr>
        <w:t xml:space="preserve">their parents. </w:t>
      </w:r>
      <w:r w:rsidR="00E93DCE">
        <w:rPr>
          <w:rFonts w:asciiTheme="minorHAnsi" w:eastAsiaTheme="minorEastAsia" w:hAnsiTheme="minorHAnsi" w:cstheme="minorHAnsi"/>
          <w:bCs/>
          <w:color w:val="000000" w:themeColor="text1"/>
          <w:kern w:val="24"/>
          <w:szCs w:val="21"/>
        </w:rPr>
        <w:t>For some, growing up in a household where a parent or guardian has received income support is associated with the child</w:t>
      </w:r>
      <w:r w:rsidR="00B04FCE">
        <w:rPr>
          <w:rFonts w:asciiTheme="minorHAnsi" w:eastAsiaTheme="minorEastAsia" w:hAnsiTheme="minorHAnsi" w:cstheme="minorHAnsi"/>
          <w:bCs/>
          <w:color w:val="000000" w:themeColor="text1"/>
          <w:kern w:val="24"/>
          <w:szCs w:val="21"/>
        </w:rPr>
        <w:t>’</w:t>
      </w:r>
      <w:r w:rsidR="00E93DCE">
        <w:rPr>
          <w:rFonts w:asciiTheme="minorHAnsi" w:eastAsiaTheme="minorEastAsia" w:hAnsiTheme="minorHAnsi" w:cstheme="minorHAnsi"/>
          <w:bCs/>
          <w:color w:val="000000" w:themeColor="text1"/>
          <w:kern w:val="24"/>
          <w:szCs w:val="21"/>
        </w:rPr>
        <w:t xml:space="preserve">s future use of income support. Children aged </w:t>
      </w:r>
      <w:r w:rsidRPr="009C0D36">
        <w:rPr>
          <w:rFonts w:asciiTheme="minorHAnsi" w:eastAsiaTheme="minorEastAsia" w:hAnsiTheme="minorHAnsi" w:cstheme="minorHAnsi"/>
          <w:bCs/>
          <w:color w:val="000000" w:themeColor="text1"/>
          <w:kern w:val="24"/>
          <w:szCs w:val="21"/>
        </w:rPr>
        <w:t>15</w:t>
      </w:r>
      <w:r w:rsidR="00E46C6A">
        <w:rPr>
          <w:rFonts w:asciiTheme="minorHAnsi" w:eastAsiaTheme="minorEastAsia" w:hAnsiTheme="minorHAnsi" w:cstheme="minorHAnsi"/>
          <w:bCs/>
          <w:color w:val="000000" w:themeColor="text1"/>
          <w:kern w:val="24"/>
          <w:szCs w:val="21"/>
        </w:rPr>
        <w:t> year</w:t>
      </w:r>
      <w:r w:rsidR="00E93DCE">
        <w:rPr>
          <w:rFonts w:asciiTheme="minorHAnsi" w:eastAsiaTheme="minorEastAsia" w:hAnsiTheme="minorHAnsi" w:cstheme="minorHAnsi"/>
          <w:bCs/>
          <w:color w:val="000000" w:themeColor="text1"/>
          <w:kern w:val="24"/>
          <w:szCs w:val="21"/>
        </w:rPr>
        <w:t>s</w:t>
      </w:r>
      <w:r w:rsidRPr="009C0D36">
        <w:rPr>
          <w:rFonts w:asciiTheme="minorHAnsi" w:eastAsiaTheme="minorEastAsia" w:hAnsiTheme="minorHAnsi" w:cstheme="minorHAnsi"/>
          <w:bCs/>
          <w:color w:val="000000" w:themeColor="text1"/>
          <w:kern w:val="24"/>
          <w:szCs w:val="21"/>
        </w:rPr>
        <w:t xml:space="preserve"> who</w:t>
      </w:r>
      <w:r w:rsidR="00054491">
        <w:rPr>
          <w:rFonts w:asciiTheme="minorHAnsi" w:eastAsiaTheme="minorEastAsia" w:hAnsiTheme="minorHAnsi" w:cstheme="minorHAnsi"/>
          <w:bCs/>
          <w:color w:val="000000" w:themeColor="text1"/>
          <w:kern w:val="24"/>
          <w:szCs w:val="21"/>
        </w:rPr>
        <w:t xml:space="preserve"> spent more than 50% of their childhood with a </w:t>
      </w:r>
      <w:r w:rsidR="00E93DCE">
        <w:rPr>
          <w:rFonts w:asciiTheme="minorHAnsi" w:eastAsiaTheme="minorEastAsia" w:hAnsiTheme="minorHAnsi" w:cstheme="minorHAnsi"/>
          <w:bCs/>
          <w:color w:val="000000" w:themeColor="text1"/>
          <w:kern w:val="24"/>
          <w:szCs w:val="21"/>
        </w:rPr>
        <w:t xml:space="preserve">parent or guardian </w:t>
      </w:r>
      <w:r w:rsidR="00054491">
        <w:rPr>
          <w:rFonts w:asciiTheme="minorHAnsi" w:eastAsiaTheme="minorEastAsia" w:hAnsiTheme="minorHAnsi" w:cstheme="minorHAnsi"/>
          <w:bCs/>
          <w:color w:val="000000" w:themeColor="text1"/>
          <w:kern w:val="24"/>
          <w:szCs w:val="21"/>
        </w:rPr>
        <w:t>receiving</w:t>
      </w:r>
      <w:r w:rsidR="00E93DCE">
        <w:rPr>
          <w:rFonts w:asciiTheme="minorHAnsi" w:eastAsiaTheme="minorEastAsia" w:hAnsiTheme="minorHAnsi" w:cstheme="minorHAnsi"/>
          <w:bCs/>
          <w:color w:val="000000" w:themeColor="text1"/>
          <w:kern w:val="24"/>
          <w:szCs w:val="21"/>
        </w:rPr>
        <w:t xml:space="preserve"> income support </w:t>
      </w:r>
      <w:r w:rsidRPr="009C0D36">
        <w:rPr>
          <w:rFonts w:asciiTheme="minorHAnsi" w:eastAsiaTheme="minorEastAsia" w:hAnsiTheme="minorHAnsi" w:cstheme="minorHAnsi"/>
          <w:bCs/>
          <w:color w:val="000000" w:themeColor="text1"/>
          <w:kern w:val="24"/>
          <w:szCs w:val="21"/>
        </w:rPr>
        <w:t xml:space="preserve">are projected to be </w:t>
      </w:r>
      <w:r w:rsidR="00F305C7">
        <w:rPr>
          <w:rFonts w:asciiTheme="minorHAnsi" w:eastAsiaTheme="minorEastAsia" w:hAnsiTheme="minorHAnsi" w:cstheme="minorHAnsi"/>
          <w:bCs/>
          <w:color w:val="000000" w:themeColor="text1"/>
          <w:kern w:val="24"/>
          <w:szCs w:val="21"/>
        </w:rPr>
        <w:t>1.5</w:t>
      </w:r>
      <w:r w:rsidR="00F40387">
        <w:rPr>
          <w:rFonts w:asciiTheme="minorHAnsi" w:eastAsiaTheme="minorEastAsia" w:hAnsiTheme="minorHAnsi" w:cstheme="minorHAnsi"/>
          <w:bCs/>
          <w:color w:val="000000" w:themeColor="text1"/>
          <w:kern w:val="24"/>
          <w:szCs w:val="21"/>
        </w:rPr>
        <w:t> times</w:t>
      </w:r>
      <w:r w:rsidRPr="009C0D36">
        <w:rPr>
          <w:rFonts w:asciiTheme="minorHAnsi" w:eastAsiaTheme="minorEastAsia" w:hAnsiTheme="minorHAnsi" w:cstheme="minorHAnsi"/>
          <w:bCs/>
          <w:color w:val="000000" w:themeColor="text1"/>
          <w:kern w:val="24"/>
          <w:szCs w:val="21"/>
        </w:rPr>
        <w:t xml:space="preserve"> </w:t>
      </w:r>
      <w:r w:rsidR="00E93DCE">
        <w:rPr>
          <w:rFonts w:asciiTheme="minorHAnsi" w:eastAsiaTheme="minorEastAsia" w:hAnsiTheme="minorHAnsi" w:cstheme="minorHAnsi"/>
          <w:bCs/>
          <w:color w:val="000000" w:themeColor="text1"/>
          <w:kern w:val="24"/>
          <w:szCs w:val="21"/>
        </w:rPr>
        <w:t>more</w:t>
      </w:r>
      <w:r w:rsidRPr="009C0D36">
        <w:rPr>
          <w:rFonts w:asciiTheme="minorHAnsi" w:eastAsiaTheme="minorEastAsia" w:hAnsiTheme="minorHAnsi" w:cstheme="minorHAnsi"/>
          <w:bCs/>
          <w:color w:val="000000" w:themeColor="text1"/>
          <w:kern w:val="24"/>
          <w:szCs w:val="21"/>
        </w:rPr>
        <w:t xml:space="preserve"> likely to receive </w:t>
      </w:r>
      <w:r>
        <w:rPr>
          <w:rFonts w:asciiTheme="minorHAnsi" w:eastAsiaTheme="minorEastAsia" w:hAnsiTheme="minorHAnsi" w:cstheme="minorHAnsi"/>
          <w:bCs/>
          <w:color w:val="000000" w:themeColor="text1"/>
          <w:kern w:val="24"/>
          <w:szCs w:val="21"/>
        </w:rPr>
        <w:t>i</w:t>
      </w:r>
      <w:r w:rsidRPr="009C0D36">
        <w:rPr>
          <w:rFonts w:asciiTheme="minorHAnsi" w:eastAsiaTheme="minorEastAsia" w:hAnsiTheme="minorHAnsi" w:cstheme="minorHAnsi"/>
          <w:bCs/>
          <w:color w:val="000000" w:themeColor="text1"/>
          <w:kern w:val="24"/>
          <w:szCs w:val="21"/>
        </w:rPr>
        <w:t xml:space="preserve">ncome </w:t>
      </w:r>
      <w:r>
        <w:rPr>
          <w:rFonts w:asciiTheme="minorHAnsi" w:eastAsiaTheme="minorEastAsia" w:hAnsiTheme="minorHAnsi" w:cstheme="minorHAnsi"/>
          <w:bCs/>
          <w:color w:val="000000" w:themeColor="text1"/>
          <w:kern w:val="24"/>
          <w:szCs w:val="21"/>
        </w:rPr>
        <w:t>s</w:t>
      </w:r>
      <w:r w:rsidRPr="009C0D36">
        <w:rPr>
          <w:rFonts w:asciiTheme="minorHAnsi" w:eastAsiaTheme="minorEastAsia" w:hAnsiTheme="minorHAnsi" w:cstheme="minorHAnsi"/>
          <w:bCs/>
          <w:color w:val="000000" w:themeColor="text1"/>
          <w:kern w:val="24"/>
          <w:szCs w:val="21"/>
        </w:rPr>
        <w:t>upport payments themselves before retirement</w:t>
      </w:r>
      <w:r>
        <w:rPr>
          <w:rFonts w:asciiTheme="minorHAnsi" w:eastAsiaTheme="minorEastAsia" w:hAnsiTheme="minorHAnsi" w:cstheme="minorHAnsi"/>
          <w:bCs/>
          <w:color w:val="000000" w:themeColor="text1"/>
          <w:kern w:val="24"/>
          <w:szCs w:val="21"/>
        </w:rPr>
        <w:t>, compared to</w:t>
      </w:r>
      <w:r w:rsidRPr="009C0D36">
        <w:rPr>
          <w:rFonts w:asciiTheme="minorHAnsi" w:eastAsiaTheme="minorEastAsia" w:hAnsiTheme="minorHAnsi" w:cstheme="minorHAnsi"/>
          <w:bCs/>
          <w:color w:val="000000" w:themeColor="text1"/>
          <w:kern w:val="24"/>
          <w:szCs w:val="21"/>
        </w:rPr>
        <w:t xml:space="preserve"> 15</w:t>
      </w:r>
      <w:r w:rsidR="00E46C6A">
        <w:rPr>
          <w:rFonts w:asciiTheme="minorHAnsi" w:eastAsiaTheme="minorEastAsia" w:hAnsiTheme="minorHAnsi" w:cstheme="minorHAnsi"/>
          <w:bCs/>
          <w:color w:val="000000" w:themeColor="text1"/>
          <w:kern w:val="24"/>
          <w:szCs w:val="21"/>
        </w:rPr>
        <w:t> year</w:t>
      </w:r>
      <w:r w:rsidRPr="009C0D36">
        <w:rPr>
          <w:rFonts w:asciiTheme="minorHAnsi" w:eastAsiaTheme="minorEastAsia" w:hAnsiTheme="minorHAnsi" w:cstheme="minorHAnsi"/>
          <w:bCs/>
          <w:color w:val="000000" w:themeColor="text1"/>
          <w:kern w:val="24"/>
          <w:szCs w:val="21"/>
        </w:rPr>
        <w:t xml:space="preserve"> olds whose parent</w:t>
      </w:r>
      <w:r w:rsidR="00054491">
        <w:rPr>
          <w:rFonts w:asciiTheme="minorHAnsi" w:eastAsiaTheme="minorEastAsia" w:hAnsiTheme="minorHAnsi" w:cstheme="minorHAnsi"/>
          <w:bCs/>
          <w:color w:val="000000" w:themeColor="text1"/>
          <w:kern w:val="24"/>
          <w:szCs w:val="21"/>
        </w:rPr>
        <w:t xml:space="preserve"> or guardian</w:t>
      </w:r>
      <w:r w:rsidRPr="009C0D36">
        <w:rPr>
          <w:rFonts w:asciiTheme="minorHAnsi" w:eastAsiaTheme="minorEastAsia" w:hAnsiTheme="minorHAnsi" w:cstheme="minorHAnsi"/>
          <w:bCs/>
          <w:color w:val="000000" w:themeColor="text1"/>
          <w:kern w:val="24"/>
          <w:szCs w:val="21"/>
        </w:rPr>
        <w:t xml:space="preserve"> </w:t>
      </w:r>
      <w:r w:rsidR="00E93DCE">
        <w:rPr>
          <w:rFonts w:asciiTheme="minorHAnsi" w:eastAsiaTheme="minorEastAsia" w:hAnsiTheme="minorHAnsi" w:cstheme="minorHAnsi"/>
          <w:bCs/>
          <w:color w:val="000000" w:themeColor="text1"/>
          <w:kern w:val="24"/>
          <w:szCs w:val="21"/>
        </w:rPr>
        <w:t>did not</w:t>
      </w:r>
      <w:r w:rsidR="00E93DCE" w:rsidRPr="009C0D36">
        <w:rPr>
          <w:rFonts w:asciiTheme="minorHAnsi" w:eastAsiaTheme="minorEastAsia" w:hAnsiTheme="minorHAnsi" w:cstheme="minorHAnsi"/>
          <w:bCs/>
          <w:color w:val="000000" w:themeColor="text1"/>
          <w:kern w:val="24"/>
          <w:szCs w:val="21"/>
        </w:rPr>
        <w:t xml:space="preserve"> </w:t>
      </w:r>
      <w:r w:rsidRPr="009C0D36">
        <w:rPr>
          <w:rFonts w:asciiTheme="minorHAnsi" w:eastAsiaTheme="minorEastAsia" w:hAnsiTheme="minorHAnsi" w:cstheme="minorHAnsi"/>
          <w:bCs/>
          <w:color w:val="000000" w:themeColor="text1"/>
          <w:kern w:val="24"/>
          <w:szCs w:val="21"/>
        </w:rPr>
        <w:t xml:space="preserve">receive </w:t>
      </w:r>
      <w:r>
        <w:rPr>
          <w:rFonts w:asciiTheme="minorHAnsi" w:eastAsiaTheme="minorEastAsia" w:hAnsiTheme="minorHAnsi" w:cstheme="minorHAnsi"/>
          <w:bCs/>
          <w:color w:val="000000" w:themeColor="text1"/>
          <w:kern w:val="24"/>
          <w:szCs w:val="21"/>
        </w:rPr>
        <w:t>i</w:t>
      </w:r>
      <w:r w:rsidRPr="009C0D36">
        <w:rPr>
          <w:rFonts w:asciiTheme="minorHAnsi" w:eastAsiaTheme="minorEastAsia" w:hAnsiTheme="minorHAnsi" w:cstheme="minorHAnsi"/>
          <w:bCs/>
          <w:color w:val="000000" w:themeColor="text1"/>
          <w:kern w:val="24"/>
          <w:szCs w:val="21"/>
        </w:rPr>
        <w:t xml:space="preserve">ncome </w:t>
      </w:r>
      <w:r>
        <w:rPr>
          <w:rFonts w:asciiTheme="minorHAnsi" w:eastAsiaTheme="minorEastAsia" w:hAnsiTheme="minorHAnsi" w:cstheme="minorHAnsi"/>
          <w:bCs/>
          <w:color w:val="000000" w:themeColor="text1"/>
          <w:kern w:val="24"/>
          <w:szCs w:val="21"/>
        </w:rPr>
        <w:t>s</w:t>
      </w:r>
      <w:r w:rsidRPr="009C0D36">
        <w:rPr>
          <w:rFonts w:asciiTheme="minorHAnsi" w:eastAsiaTheme="minorEastAsia" w:hAnsiTheme="minorHAnsi" w:cstheme="minorHAnsi"/>
          <w:bCs/>
          <w:color w:val="000000" w:themeColor="text1"/>
          <w:kern w:val="24"/>
          <w:szCs w:val="21"/>
        </w:rPr>
        <w:t>upport.</w:t>
      </w:r>
    </w:p>
    <w:p w14:paraId="11D51095" w14:textId="3F56749A" w:rsidR="000F3131" w:rsidRPr="003C37AA" w:rsidRDefault="000F3131" w:rsidP="006E301F">
      <w:pPr>
        <w:spacing w:before="100" w:beforeAutospacing="1" w:after="100" w:afterAutospacing="1"/>
        <w:rPr>
          <w:rFonts w:asciiTheme="minorHAnsi" w:eastAsiaTheme="minorEastAsia" w:hAnsiTheme="minorHAnsi" w:cstheme="minorHAnsi"/>
          <w:color w:val="000000" w:themeColor="text1"/>
          <w:kern w:val="24"/>
          <w:szCs w:val="21"/>
        </w:rPr>
      </w:pPr>
      <w:r w:rsidRPr="003C37AA">
        <w:rPr>
          <w:rFonts w:asciiTheme="minorHAnsi" w:eastAsiaTheme="minorEastAsia" w:hAnsiTheme="minorHAnsi" w:cstheme="minorHAnsi"/>
          <w:color w:val="000000" w:themeColor="text1"/>
          <w:kern w:val="24"/>
          <w:szCs w:val="21"/>
        </w:rPr>
        <w:t xml:space="preserve">Age 18 to 21 is a transitional period between study and work for many </w:t>
      </w:r>
      <w:r w:rsidR="004D5186">
        <w:rPr>
          <w:rFonts w:asciiTheme="minorHAnsi" w:eastAsiaTheme="minorEastAsia" w:hAnsiTheme="minorHAnsi" w:cstheme="minorHAnsi"/>
          <w:color w:val="000000" w:themeColor="text1"/>
          <w:kern w:val="24"/>
          <w:szCs w:val="21"/>
        </w:rPr>
        <w:t>young adults</w:t>
      </w:r>
      <w:r w:rsidRPr="003C37AA">
        <w:rPr>
          <w:rFonts w:asciiTheme="minorHAnsi" w:eastAsiaTheme="minorEastAsia" w:hAnsiTheme="minorHAnsi" w:cstheme="minorHAnsi"/>
          <w:color w:val="000000" w:themeColor="text1"/>
          <w:kern w:val="24"/>
          <w:szCs w:val="21"/>
        </w:rPr>
        <w:t xml:space="preserve">. A relatively small proportion </w:t>
      </w:r>
      <w:r>
        <w:rPr>
          <w:rFonts w:asciiTheme="minorHAnsi" w:eastAsiaTheme="minorEastAsia" w:hAnsiTheme="minorHAnsi" w:cstheme="minorHAnsi"/>
          <w:color w:val="000000" w:themeColor="text1"/>
          <w:kern w:val="24"/>
          <w:szCs w:val="21"/>
        </w:rPr>
        <w:t>access</w:t>
      </w:r>
      <w:r w:rsidRPr="003C37AA">
        <w:rPr>
          <w:rFonts w:asciiTheme="minorHAnsi" w:eastAsiaTheme="minorEastAsia" w:hAnsiTheme="minorHAnsi" w:cstheme="minorHAnsi"/>
          <w:color w:val="000000" w:themeColor="text1"/>
          <w:kern w:val="24"/>
          <w:szCs w:val="21"/>
        </w:rPr>
        <w:t xml:space="preserve"> </w:t>
      </w:r>
      <w:r>
        <w:rPr>
          <w:rFonts w:asciiTheme="minorHAnsi" w:eastAsiaTheme="minorEastAsia" w:hAnsiTheme="minorHAnsi" w:cstheme="minorHAnsi"/>
          <w:color w:val="000000" w:themeColor="text1"/>
          <w:kern w:val="24"/>
          <w:szCs w:val="21"/>
        </w:rPr>
        <w:t>social security</w:t>
      </w:r>
      <w:r w:rsidRPr="003C37AA">
        <w:rPr>
          <w:rFonts w:asciiTheme="minorHAnsi" w:eastAsiaTheme="minorEastAsia" w:hAnsiTheme="minorHAnsi" w:cstheme="minorHAnsi"/>
          <w:color w:val="000000" w:themeColor="text1"/>
          <w:kern w:val="24"/>
          <w:szCs w:val="21"/>
        </w:rPr>
        <w:t xml:space="preserve"> in this age group, </w:t>
      </w:r>
      <w:r w:rsidRPr="003C37AA">
        <w:rPr>
          <w:rFonts w:asciiTheme="minorHAnsi" w:eastAsiaTheme="minorEastAsia" w:hAnsiTheme="minorHAnsi" w:cstheme="minorHAnsi"/>
          <w:color w:val="000000" w:themeColor="text1"/>
          <w:kern w:val="24"/>
          <w:szCs w:val="21"/>
        </w:rPr>
        <w:lastRenderedPageBreak/>
        <w:t>mainly through study</w:t>
      </w:r>
      <w:r w:rsidR="004D5186">
        <w:rPr>
          <w:rFonts w:asciiTheme="minorHAnsi" w:eastAsiaTheme="minorEastAsia" w:hAnsiTheme="minorHAnsi" w:cstheme="minorHAnsi"/>
          <w:color w:val="000000" w:themeColor="text1"/>
          <w:kern w:val="24"/>
          <w:szCs w:val="21"/>
        </w:rPr>
        <w:t>ing</w:t>
      </w:r>
      <w:r w:rsidRPr="003C37AA">
        <w:rPr>
          <w:rFonts w:asciiTheme="minorHAnsi" w:eastAsiaTheme="minorEastAsia" w:hAnsiTheme="minorHAnsi" w:cstheme="minorHAnsi"/>
          <w:color w:val="000000" w:themeColor="text1"/>
          <w:kern w:val="24"/>
          <w:szCs w:val="21"/>
        </w:rPr>
        <w:t xml:space="preserve"> or </w:t>
      </w:r>
      <w:r w:rsidR="004D5186">
        <w:rPr>
          <w:rFonts w:asciiTheme="minorHAnsi" w:eastAsiaTheme="minorEastAsia" w:hAnsiTheme="minorHAnsi" w:cstheme="minorHAnsi"/>
          <w:color w:val="000000" w:themeColor="text1"/>
          <w:kern w:val="24"/>
          <w:szCs w:val="21"/>
        </w:rPr>
        <w:t>working age payments</w:t>
      </w:r>
      <w:r w:rsidRPr="003C37AA">
        <w:rPr>
          <w:rFonts w:asciiTheme="minorHAnsi" w:eastAsiaTheme="minorEastAsia" w:hAnsiTheme="minorHAnsi" w:cstheme="minorHAnsi"/>
          <w:color w:val="000000" w:themeColor="text1"/>
          <w:kern w:val="24"/>
          <w:szCs w:val="21"/>
        </w:rPr>
        <w:t xml:space="preserve">. </w:t>
      </w:r>
      <w:r w:rsidR="004D5186">
        <w:rPr>
          <w:rFonts w:asciiTheme="minorHAnsi" w:eastAsiaTheme="minorEastAsia" w:hAnsiTheme="minorHAnsi" w:cstheme="minorHAnsi"/>
          <w:color w:val="000000" w:themeColor="text1"/>
          <w:kern w:val="24"/>
          <w:szCs w:val="21"/>
        </w:rPr>
        <w:t>Young adults</w:t>
      </w:r>
      <w:r w:rsidR="000114C6">
        <w:rPr>
          <w:rFonts w:asciiTheme="minorHAnsi" w:eastAsiaTheme="minorEastAsia" w:hAnsiTheme="minorHAnsi" w:cstheme="minorHAnsi"/>
          <w:color w:val="000000" w:themeColor="text1"/>
          <w:kern w:val="24"/>
          <w:szCs w:val="21"/>
        </w:rPr>
        <w:t xml:space="preserve"> receiving </w:t>
      </w:r>
      <w:r w:rsidR="00400A9C">
        <w:rPr>
          <w:rFonts w:asciiTheme="minorHAnsi" w:eastAsiaTheme="minorEastAsia" w:hAnsiTheme="minorHAnsi" w:cstheme="minorHAnsi"/>
          <w:color w:val="000000" w:themeColor="text1"/>
          <w:kern w:val="24"/>
          <w:szCs w:val="21"/>
        </w:rPr>
        <w:t>w</w:t>
      </w:r>
      <w:r w:rsidR="000114C6">
        <w:rPr>
          <w:rFonts w:asciiTheme="minorHAnsi" w:eastAsiaTheme="minorEastAsia" w:hAnsiTheme="minorHAnsi" w:cstheme="minorHAnsi"/>
          <w:color w:val="000000" w:themeColor="text1"/>
          <w:kern w:val="24"/>
          <w:szCs w:val="21"/>
        </w:rPr>
        <w:t xml:space="preserve">orking </w:t>
      </w:r>
      <w:r w:rsidR="00400A9C">
        <w:rPr>
          <w:rFonts w:asciiTheme="minorHAnsi" w:eastAsiaTheme="minorEastAsia" w:hAnsiTheme="minorHAnsi" w:cstheme="minorHAnsi"/>
          <w:color w:val="000000" w:themeColor="text1"/>
          <w:kern w:val="24"/>
          <w:szCs w:val="21"/>
        </w:rPr>
        <w:t>a</w:t>
      </w:r>
      <w:r w:rsidR="000114C6">
        <w:rPr>
          <w:rFonts w:asciiTheme="minorHAnsi" w:eastAsiaTheme="minorEastAsia" w:hAnsiTheme="minorHAnsi" w:cstheme="minorHAnsi"/>
          <w:color w:val="000000" w:themeColor="text1"/>
          <w:kern w:val="24"/>
          <w:szCs w:val="21"/>
        </w:rPr>
        <w:t xml:space="preserve">ge </w:t>
      </w:r>
      <w:r w:rsidR="00400A9C">
        <w:rPr>
          <w:rFonts w:asciiTheme="minorHAnsi" w:eastAsiaTheme="minorEastAsia" w:hAnsiTheme="minorHAnsi" w:cstheme="minorHAnsi"/>
          <w:color w:val="000000" w:themeColor="text1"/>
          <w:kern w:val="24"/>
          <w:szCs w:val="21"/>
        </w:rPr>
        <w:t>p</w:t>
      </w:r>
      <w:r w:rsidR="000114C6">
        <w:rPr>
          <w:rFonts w:asciiTheme="minorHAnsi" w:eastAsiaTheme="minorEastAsia" w:hAnsiTheme="minorHAnsi" w:cstheme="minorHAnsi"/>
          <w:color w:val="000000" w:themeColor="text1"/>
          <w:kern w:val="24"/>
          <w:szCs w:val="21"/>
        </w:rPr>
        <w:t>ayments are projected to spend 2.</w:t>
      </w:r>
      <w:r w:rsidR="00413BB6">
        <w:rPr>
          <w:rFonts w:asciiTheme="minorHAnsi" w:eastAsiaTheme="minorEastAsia" w:hAnsiTheme="minorHAnsi" w:cstheme="minorHAnsi"/>
          <w:color w:val="000000" w:themeColor="text1"/>
          <w:kern w:val="24"/>
          <w:szCs w:val="21"/>
        </w:rPr>
        <w:t>4</w:t>
      </w:r>
      <w:r w:rsidR="00F40387">
        <w:rPr>
          <w:rFonts w:asciiTheme="minorHAnsi" w:eastAsiaTheme="minorEastAsia" w:hAnsiTheme="minorHAnsi" w:cstheme="minorHAnsi"/>
          <w:color w:val="000000" w:themeColor="text1"/>
          <w:kern w:val="24"/>
          <w:szCs w:val="21"/>
        </w:rPr>
        <w:t> times</w:t>
      </w:r>
      <w:r w:rsidR="003114A0">
        <w:rPr>
          <w:rFonts w:asciiTheme="minorHAnsi" w:eastAsiaTheme="minorEastAsia" w:hAnsiTheme="minorHAnsi" w:cstheme="minorHAnsi"/>
          <w:color w:val="000000" w:themeColor="text1"/>
          <w:kern w:val="24"/>
          <w:szCs w:val="21"/>
        </w:rPr>
        <w:t xml:space="preserve"> </w:t>
      </w:r>
      <w:r w:rsidR="004D5186">
        <w:rPr>
          <w:rFonts w:asciiTheme="minorHAnsi" w:eastAsiaTheme="minorEastAsia" w:hAnsiTheme="minorHAnsi" w:cstheme="minorHAnsi"/>
          <w:color w:val="000000" w:themeColor="text1"/>
          <w:kern w:val="24"/>
          <w:szCs w:val="21"/>
        </w:rPr>
        <w:t>longer</w:t>
      </w:r>
      <w:r w:rsidR="004654AF">
        <w:rPr>
          <w:rFonts w:asciiTheme="minorHAnsi" w:eastAsiaTheme="minorEastAsia" w:hAnsiTheme="minorHAnsi" w:cstheme="minorHAnsi"/>
          <w:color w:val="000000" w:themeColor="text1"/>
          <w:kern w:val="24"/>
          <w:szCs w:val="21"/>
        </w:rPr>
        <w:t>*</w:t>
      </w:r>
      <w:r w:rsidR="000114C6">
        <w:rPr>
          <w:rFonts w:asciiTheme="minorHAnsi" w:eastAsiaTheme="minorEastAsia" w:hAnsiTheme="minorHAnsi" w:cstheme="minorHAnsi"/>
          <w:color w:val="000000" w:themeColor="text1"/>
          <w:kern w:val="24"/>
          <w:szCs w:val="21"/>
        </w:rPr>
        <w:t xml:space="preserve"> </w:t>
      </w:r>
      <w:r w:rsidR="005C4203">
        <w:rPr>
          <w:rFonts w:asciiTheme="minorHAnsi" w:hAnsiTheme="minorHAnsi" w:cstheme="minorHAnsi"/>
          <w:color w:val="000000" w:themeColor="text1"/>
        </w:rPr>
        <w:t>(7.3</w:t>
      </w:r>
      <w:r w:rsidR="00CB4AEA">
        <w:rPr>
          <w:rFonts w:asciiTheme="minorHAnsi" w:hAnsiTheme="minorHAnsi" w:cstheme="minorHAnsi"/>
          <w:color w:val="000000" w:themeColor="text1"/>
        </w:rPr>
        <w:t> more</w:t>
      </w:r>
      <w:r w:rsidR="00DD11DD">
        <w:rPr>
          <w:rFonts w:asciiTheme="minorHAnsi" w:hAnsiTheme="minorHAnsi" w:cstheme="minorHAnsi"/>
          <w:color w:val="000000" w:themeColor="text1"/>
        </w:rPr>
        <w:t xml:space="preserve"> years</w:t>
      </w:r>
      <w:r w:rsidR="005C4203">
        <w:rPr>
          <w:rFonts w:asciiTheme="minorHAnsi" w:hAnsiTheme="minorHAnsi" w:cstheme="minorHAnsi"/>
          <w:color w:val="000000" w:themeColor="text1"/>
        </w:rPr>
        <w:t xml:space="preserve">) </w:t>
      </w:r>
      <w:r w:rsidR="000114C6">
        <w:rPr>
          <w:rFonts w:asciiTheme="minorHAnsi" w:eastAsiaTheme="minorEastAsia" w:hAnsiTheme="minorHAnsi" w:cstheme="minorHAnsi"/>
          <w:color w:val="000000" w:themeColor="text1"/>
          <w:kern w:val="24"/>
          <w:szCs w:val="21"/>
        </w:rPr>
        <w:t>receiving income support</w:t>
      </w:r>
      <w:r w:rsidR="002565F7">
        <w:rPr>
          <w:rFonts w:asciiTheme="minorHAnsi" w:eastAsiaTheme="minorEastAsia" w:hAnsiTheme="minorHAnsi" w:cstheme="minorHAnsi"/>
          <w:color w:val="000000" w:themeColor="text1"/>
          <w:kern w:val="24"/>
          <w:szCs w:val="21"/>
        </w:rPr>
        <w:t xml:space="preserve"> prior to retirement</w:t>
      </w:r>
      <w:r w:rsidR="000114C6">
        <w:rPr>
          <w:rFonts w:asciiTheme="minorHAnsi" w:eastAsiaTheme="minorEastAsia" w:hAnsiTheme="minorHAnsi" w:cstheme="minorHAnsi"/>
          <w:color w:val="000000" w:themeColor="text1"/>
          <w:kern w:val="24"/>
          <w:szCs w:val="21"/>
        </w:rPr>
        <w:t xml:space="preserve">, </w:t>
      </w:r>
      <w:r w:rsidR="004D5186">
        <w:rPr>
          <w:rFonts w:asciiTheme="minorHAnsi" w:eastAsiaTheme="minorEastAsia" w:hAnsiTheme="minorHAnsi" w:cstheme="minorHAnsi"/>
          <w:color w:val="000000" w:themeColor="text1"/>
          <w:kern w:val="24"/>
          <w:szCs w:val="21"/>
        </w:rPr>
        <w:t xml:space="preserve">on average, </w:t>
      </w:r>
      <w:r w:rsidR="000114C6">
        <w:rPr>
          <w:rFonts w:asciiTheme="minorHAnsi" w:eastAsiaTheme="minorEastAsia" w:hAnsiTheme="minorHAnsi" w:cstheme="minorHAnsi"/>
          <w:color w:val="000000" w:themeColor="text1"/>
          <w:kern w:val="24"/>
          <w:szCs w:val="21"/>
        </w:rPr>
        <w:t xml:space="preserve">compared to those receiving </w:t>
      </w:r>
      <w:r w:rsidR="00413BB6">
        <w:rPr>
          <w:rFonts w:asciiTheme="minorHAnsi" w:eastAsiaTheme="minorEastAsia" w:hAnsiTheme="minorHAnsi" w:cstheme="minorHAnsi"/>
          <w:color w:val="000000" w:themeColor="text1"/>
          <w:kern w:val="24"/>
          <w:szCs w:val="21"/>
        </w:rPr>
        <w:t xml:space="preserve">higher education </w:t>
      </w:r>
      <w:r w:rsidR="00400A9C">
        <w:rPr>
          <w:rFonts w:asciiTheme="minorHAnsi" w:eastAsiaTheme="minorEastAsia" w:hAnsiTheme="minorHAnsi" w:cstheme="minorHAnsi"/>
          <w:color w:val="000000" w:themeColor="text1"/>
          <w:kern w:val="24"/>
          <w:szCs w:val="21"/>
        </w:rPr>
        <w:t>p</w:t>
      </w:r>
      <w:r w:rsidR="000114C6">
        <w:rPr>
          <w:rFonts w:asciiTheme="minorHAnsi" w:eastAsiaTheme="minorEastAsia" w:hAnsiTheme="minorHAnsi" w:cstheme="minorHAnsi"/>
          <w:color w:val="000000" w:themeColor="text1"/>
          <w:kern w:val="24"/>
          <w:szCs w:val="21"/>
        </w:rPr>
        <w:t>ayments.</w:t>
      </w:r>
    </w:p>
    <w:p w14:paraId="36890B61" w14:textId="24AAE9A1" w:rsidR="00B04FCE" w:rsidRDefault="00081828" w:rsidP="006E301F">
      <w:pPr>
        <w:rPr>
          <w:rFonts w:asciiTheme="minorHAnsi" w:eastAsiaTheme="minorEastAsia" w:hAnsiTheme="minorHAnsi" w:cstheme="minorHAnsi"/>
          <w:color w:val="000000" w:themeColor="text1"/>
          <w:kern w:val="24"/>
          <w:szCs w:val="21"/>
        </w:rPr>
      </w:pPr>
      <w:r>
        <w:rPr>
          <w:rFonts w:asciiTheme="minorHAnsi" w:eastAsiaTheme="minorEastAsia" w:hAnsiTheme="minorHAnsi" w:cstheme="minorHAnsi"/>
          <w:color w:val="000000" w:themeColor="text1"/>
          <w:kern w:val="24"/>
          <w:szCs w:val="21"/>
        </w:rPr>
        <w:t xml:space="preserve">Age 22 to 25 is a time of growing independence for many young people. </w:t>
      </w:r>
      <w:r w:rsidR="000F3131" w:rsidRPr="003C37AA">
        <w:rPr>
          <w:rFonts w:asciiTheme="minorHAnsi" w:eastAsiaTheme="minorEastAsia" w:hAnsiTheme="minorHAnsi" w:cstheme="minorHAnsi"/>
          <w:color w:val="000000" w:themeColor="text1"/>
          <w:kern w:val="24"/>
          <w:szCs w:val="21"/>
        </w:rPr>
        <w:t>From</w:t>
      </w:r>
      <w:r w:rsidR="00D01768">
        <w:rPr>
          <w:rFonts w:asciiTheme="minorHAnsi" w:eastAsiaTheme="minorEastAsia" w:hAnsiTheme="minorHAnsi" w:cstheme="minorHAnsi"/>
          <w:color w:val="000000" w:themeColor="text1"/>
          <w:kern w:val="24"/>
          <w:szCs w:val="21"/>
        </w:rPr>
        <w:t xml:space="preserve"> age </w:t>
      </w:r>
      <w:r w:rsidR="000F3131" w:rsidRPr="003C37AA">
        <w:rPr>
          <w:rFonts w:asciiTheme="minorHAnsi" w:eastAsiaTheme="minorEastAsia" w:hAnsiTheme="minorHAnsi" w:cstheme="minorHAnsi"/>
          <w:color w:val="000000" w:themeColor="text1"/>
          <w:kern w:val="24"/>
          <w:szCs w:val="21"/>
        </w:rPr>
        <w:t xml:space="preserve">22, the parental income test no longer applies, </w:t>
      </w:r>
      <w:r>
        <w:rPr>
          <w:rFonts w:asciiTheme="minorHAnsi" w:eastAsiaTheme="minorEastAsia" w:hAnsiTheme="minorHAnsi" w:cstheme="minorHAnsi"/>
          <w:color w:val="000000" w:themeColor="text1"/>
          <w:kern w:val="24"/>
          <w:szCs w:val="21"/>
        </w:rPr>
        <w:t xml:space="preserve">and young people become eligible for </w:t>
      </w:r>
      <w:r w:rsidR="005E332C">
        <w:rPr>
          <w:rFonts w:asciiTheme="minorHAnsi" w:eastAsiaTheme="minorEastAsia" w:hAnsiTheme="minorHAnsi" w:cstheme="minorHAnsi"/>
          <w:color w:val="000000" w:themeColor="text1"/>
          <w:kern w:val="24"/>
          <w:szCs w:val="21"/>
        </w:rPr>
        <w:t>JobSeeker Payment</w:t>
      </w:r>
      <w:r>
        <w:rPr>
          <w:rFonts w:asciiTheme="minorHAnsi" w:eastAsiaTheme="minorEastAsia" w:hAnsiTheme="minorHAnsi" w:cstheme="minorHAnsi"/>
          <w:color w:val="000000" w:themeColor="text1"/>
          <w:kern w:val="24"/>
          <w:szCs w:val="21"/>
        </w:rPr>
        <w:t>.</w:t>
      </w:r>
      <w:r w:rsidR="000F3131" w:rsidRPr="003C37AA">
        <w:rPr>
          <w:rFonts w:asciiTheme="minorHAnsi" w:eastAsiaTheme="minorEastAsia" w:hAnsiTheme="minorHAnsi" w:cstheme="minorHAnsi"/>
          <w:color w:val="000000" w:themeColor="text1"/>
          <w:kern w:val="24"/>
          <w:szCs w:val="21"/>
        </w:rPr>
        <w:t xml:space="preserve"> </w:t>
      </w:r>
      <w:r>
        <w:rPr>
          <w:rFonts w:asciiTheme="minorHAnsi" w:eastAsiaTheme="minorEastAsia" w:hAnsiTheme="minorHAnsi" w:cstheme="minorHAnsi"/>
          <w:color w:val="000000" w:themeColor="text1"/>
          <w:kern w:val="24"/>
          <w:szCs w:val="21"/>
        </w:rPr>
        <w:t xml:space="preserve">Young people previously on </w:t>
      </w:r>
      <w:r w:rsidR="000F3131" w:rsidRPr="003C37AA">
        <w:rPr>
          <w:rFonts w:asciiTheme="minorHAnsi" w:eastAsiaTheme="minorEastAsia" w:hAnsiTheme="minorHAnsi" w:cstheme="minorHAnsi"/>
          <w:color w:val="000000" w:themeColor="text1"/>
          <w:kern w:val="24"/>
          <w:szCs w:val="21"/>
        </w:rPr>
        <w:t xml:space="preserve">Youth Allowance who continue </w:t>
      </w:r>
      <w:r>
        <w:rPr>
          <w:rFonts w:asciiTheme="minorHAnsi" w:eastAsiaTheme="minorEastAsia" w:hAnsiTheme="minorHAnsi" w:cstheme="minorHAnsi"/>
          <w:color w:val="000000" w:themeColor="text1"/>
          <w:kern w:val="24"/>
          <w:szCs w:val="21"/>
        </w:rPr>
        <w:t xml:space="preserve">on </w:t>
      </w:r>
      <w:r w:rsidR="000F3131" w:rsidRPr="003C37AA">
        <w:rPr>
          <w:rFonts w:asciiTheme="minorHAnsi" w:eastAsiaTheme="minorEastAsia" w:hAnsiTheme="minorHAnsi" w:cstheme="minorHAnsi"/>
          <w:color w:val="000000" w:themeColor="text1"/>
          <w:kern w:val="24"/>
          <w:szCs w:val="21"/>
        </w:rPr>
        <w:t xml:space="preserve">to </w:t>
      </w:r>
      <w:r>
        <w:rPr>
          <w:rFonts w:asciiTheme="minorHAnsi" w:eastAsiaTheme="minorEastAsia" w:hAnsiTheme="minorHAnsi" w:cstheme="minorHAnsi"/>
          <w:color w:val="000000" w:themeColor="text1"/>
          <w:kern w:val="24"/>
          <w:szCs w:val="21"/>
        </w:rPr>
        <w:t>receive</w:t>
      </w:r>
      <w:r w:rsidRPr="003C37AA">
        <w:rPr>
          <w:rFonts w:asciiTheme="minorHAnsi" w:eastAsiaTheme="minorEastAsia" w:hAnsiTheme="minorHAnsi" w:cstheme="minorHAnsi"/>
          <w:color w:val="000000" w:themeColor="text1"/>
          <w:kern w:val="24"/>
          <w:szCs w:val="21"/>
        </w:rPr>
        <w:t xml:space="preserve"> </w:t>
      </w:r>
      <w:r w:rsidR="005E332C">
        <w:rPr>
          <w:rFonts w:asciiTheme="minorHAnsi" w:eastAsiaTheme="minorEastAsia" w:hAnsiTheme="minorHAnsi" w:cstheme="minorHAnsi"/>
          <w:color w:val="000000" w:themeColor="text1"/>
          <w:kern w:val="24"/>
          <w:szCs w:val="21"/>
        </w:rPr>
        <w:t>JobSeeker Payment</w:t>
      </w:r>
      <w:r w:rsidR="000F3131" w:rsidRPr="003C37AA">
        <w:rPr>
          <w:rFonts w:asciiTheme="minorHAnsi" w:eastAsiaTheme="minorEastAsia" w:hAnsiTheme="minorHAnsi" w:cstheme="minorHAnsi"/>
          <w:color w:val="000000" w:themeColor="text1"/>
          <w:kern w:val="24"/>
          <w:szCs w:val="21"/>
        </w:rPr>
        <w:t xml:space="preserve"> from</w:t>
      </w:r>
      <w:r w:rsidR="00D01768">
        <w:rPr>
          <w:rFonts w:asciiTheme="minorHAnsi" w:eastAsiaTheme="minorEastAsia" w:hAnsiTheme="minorHAnsi" w:cstheme="minorHAnsi"/>
          <w:color w:val="000000" w:themeColor="text1"/>
          <w:kern w:val="24"/>
          <w:szCs w:val="21"/>
        </w:rPr>
        <w:t xml:space="preserve"> age </w:t>
      </w:r>
      <w:r w:rsidR="000F3131" w:rsidRPr="003C37AA">
        <w:rPr>
          <w:rFonts w:asciiTheme="minorHAnsi" w:eastAsiaTheme="minorEastAsia" w:hAnsiTheme="minorHAnsi" w:cstheme="minorHAnsi"/>
          <w:color w:val="000000" w:themeColor="text1"/>
          <w:kern w:val="24"/>
          <w:szCs w:val="21"/>
        </w:rPr>
        <w:t>22, are projected to spend on average 4.</w:t>
      </w:r>
      <w:r w:rsidR="00034CD6">
        <w:rPr>
          <w:rFonts w:asciiTheme="minorHAnsi" w:eastAsiaTheme="minorEastAsia" w:hAnsiTheme="minorHAnsi" w:cstheme="minorHAnsi"/>
          <w:color w:val="000000" w:themeColor="text1"/>
          <w:kern w:val="24"/>
          <w:szCs w:val="21"/>
        </w:rPr>
        <w:t>7</w:t>
      </w:r>
      <w:r w:rsidR="00CB4AEA">
        <w:rPr>
          <w:rFonts w:asciiTheme="minorHAnsi" w:eastAsiaTheme="minorEastAsia" w:hAnsiTheme="minorHAnsi" w:cstheme="minorHAnsi"/>
          <w:color w:val="000000" w:themeColor="text1"/>
          <w:kern w:val="24"/>
          <w:szCs w:val="21"/>
        </w:rPr>
        <w:t> more</w:t>
      </w:r>
      <w:r>
        <w:rPr>
          <w:rFonts w:asciiTheme="minorHAnsi" w:eastAsiaTheme="minorEastAsia" w:hAnsiTheme="minorHAnsi" w:cstheme="minorHAnsi"/>
          <w:color w:val="000000" w:themeColor="text1"/>
          <w:kern w:val="24"/>
          <w:szCs w:val="21"/>
        </w:rPr>
        <w:t xml:space="preserve"> </w:t>
      </w:r>
      <w:r w:rsidR="000F3131" w:rsidRPr="003C37AA">
        <w:rPr>
          <w:rFonts w:asciiTheme="minorHAnsi" w:eastAsiaTheme="minorEastAsia" w:hAnsiTheme="minorHAnsi" w:cstheme="minorHAnsi"/>
          <w:color w:val="000000" w:themeColor="text1"/>
          <w:kern w:val="24"/>
          <w:szCs w:val="21"/>
        </w:rPr>
        <w:t xml:space="preserve">years on </w:t>
      </w:r>
      <w:r w:rsidR="000B2F9F">
        <w:rPr>
          <w:rFonts w:asciiTheme="minorHAnsi" w:eastAsiaTheme="minorEastAsia" w:hAnsiTheme="minorHAnsi" w:cstheme="minorHAnsi"/>
          <w:color w:val="000000" w:themeColor="text1"/>
          <w:kern w:val="24"/>
          <w:szCs w:val="21"/>
        </w:rPr>
        <w:t>i</w:t>
      </w:r>
      <w:r w:rsidR="000F3131" w:rsidRPr="003C37AA">
        <w:rPr>
          <w:rFonts w:asciiTheme="minorHAnsi" w:eastAsiaTheme="minorEastAsia" w:hAnsiTheme="minorHAnsi" w:cstheme="minorHAnsi"/>
          <w:color w:val="000000" w:themeColor="text1"/>
          <w:kern w:val="24"/>
          <w:szCs w:val="21"/>
        </w:rPr>
        <w:t xml:space="preserve">ncome </w:t>
      </w:r>
      <w:r w:rsidR="000B2F9F">
        <w:rPr>
          <w:rFonts w:asciiTheme="minorHAnsi" w:eastAsiaTheme="minorEastAsia" w:hAnsiTheme="minorHAnsi" w:cstheme="minorHAnsi"/>
          <w:color w:val="000000" w:themeColor="text1"/>
          <w:kern w:val="24"/>
          <w:szCs w:val="21"/>
        </w:rPr>
        <w:t>s</w:t>
      </w:r>
      <w:r w:rsidR="000F3131" w:rsidRPr="003C37AA">
        <w:rPr>
          <w:rFonts w:asciiTheme="minorHAnsi" w:eastAsiaTheme="minorEastAsia" w:hAnsiTheme="minorHAnsi" w:cstheme="minorHAnsi"/>
          <w:color w:val="000000" w:themeColor="text1"/>
          <w:kern w:val="24"/>
          <w:szCs w:val="21"/>
        </w:rPr>
        <w:t>upport during their working life</w:t>
      </w:r>
      <w:r>
        <w:rPr>
          <w:rFonts w:asciiTheme="minorHAnsi" w:eastAsiaTheme="minorEastAsia" w:hAnsiTheme="minorHAnsi" w:cstheme="minorHAnsi"/>
          <w:color w:val="000000" w:themeColor="text1"/>
          <w:kern w:val="24"/>
          <w:szCs w:val="21"/>
        </w:rPr>
        <w:t>,</w:t>
      </w:r>
      <w:r w:rsidR="000F3131" w:rsidRPr="003C37AA">
        <w:rPr>
          <w:rFonts w:asciiTheme="minorHAnsi" w:eastAsiaTheme="minorEastAsia" w:hAnsiTheme="minorHAnsi" w:cstheme="minorHAnsi"/>
          <w:color w:val="000000" w:themeColor="text1"/>
          <w:kern w:val="24"/>
          <w:szCs w:val="21"/>
        </w:rPr>
        <w:t xml:space="preserve"> than </w:t>
      </w:r>
      <w:r>
        <w:rPr>
          <w:rFonts w:asciiTheme="minorHAnsi" w:eastAsiaTheme="minorEastAsia" w:hAnsiTheme="minorHAnsi" w:cstheme="minorHAnsi"/>
          <w:color w:val="000000" w:themeColor="text1"/>
          <w:kern w:val="24"/>
          <w:szCs w:val="21"/>
        </w:rPr>
        <w:t>people who are new to the payment</w:t>
      </w:r>
      <w:r w:rsidR="000F3131" w:rsidRPr="003C37AA">
        <w:rPr>
          <w:rFonts w:asciiTheme="minorHAnsi" w:eastAsiaTheme="minorEastAsia" w:hAnsiTheme="minorHAnsi" w:cstheme="minorHAnsi"/>
          <w:color w:val="000000" w:themeColor="text1"/>
          <w:kern w:val="24"/>
          <w:szCs w:val="21"/>
        </w:rPr>
        <w:t>.</w:t>
      </w:r>
    </w:p>
    <w:p w14:paraId="6A70BF68" w14:textId="2E7B84F7" w:rsidR="000F3131" w:rsidRPr="003C37AA" w:rsidRDefault="00C5102C" w:rsidP="006E301F">
      <w:pPr>
        <w:rPr>
          <w:rFonts w:asciiTheme="minorHAnsi" w:eastAsiaTheme="minorEastAsia" w:hAnsiTheme="minorHAnsi" w:cstheme="minorHAnsi"/>
          <w:color w:val="000000" w:themeColor="text1"/>
          <w:kern w:val="24"/>
          <w:szCs w:val="21"/>
        </w:rPr>
      </w:pPr>
      <w:r>
        <w:rPr>
          <w:rFonts w:asciiTheme="minorHAnsi" w:hAnsi="Calibri"/>
          <w:color w:val="000000" w:themeColor="text1"/>
          <w:kern w:val="24"/>
          <w:szCs w:val="21"/>
        </w:rPr>
        <w:t>A</w:t>
      </w:r>
      <w:r w:rsidRPr="009D7B6D">
        <w:rPr>
          <w:rFonts w:asciiTheme="minorHAnsi" w:hAnsi="Calibri"/>
          <w:color w:val="000000" w:themeColor="text1"/>
          <w:kern w:val="24"/>
          <w:szCs w:val="21"/>
        </w:rPr>
        <w:t>ge 26 to 44 is typically a period of greater self</w:t>
      </w:r>
      <w:r w:rsidR="00B04FCE">
        <w:rPr>
          <w:rFonts w:asciiTheme="minorHAnsi" w:hAnsi="Calibri"/>
          <w:color w:val="000000" w:themeColor="text1"/>
          <w:kern w:val="24"/>
          <w:szCs w:val="21"/>
        </w:rPr>
        <w:noBreakHyphen/>
      </w:r>
      <w:r w:rsidRPr="009D7B6D">
        <w:rPr>
          <w:rFonts w:asciiTheme="minorHAnsi" w:hAnsi="Calibri"/>
          <w:color w:val="000000" w:themeColor="text1"/>
          <w:kern w:val="24"/>
          <w:szCs w:val="21"/>
        </w:rPr>
        <w:t>reliance</w:t>
      </w:r>
      <w:r>
        <w:rPr>
          <w:rFonts w:asciiTheme="minorHAnsi" w:hAnsi="Calibri"/>
          <w:color w:val="000000" w:themeColor="text1"/>
          <w:kern w:val="24"/>
          <w:szCs w:val="21"/>
        </w:rPr>
        <w:t xml:space="preserve"> when people of working age have established themselves in the workforce</w:t>
      </w:r>
      <w:r w:rsidR="00C14DE8">
        <w:rPr>
          <w:rFonts w:asciiTheme="minorHAnsi" w:hAnsi="Calibri"/>
          <w:color w:val="000000" w:themeColor="text1"/>
          <w:kern w:val="24"/>
          <w:szCs w:val="21"/>
        </w:rPr>
        <w:t xml:space="preserve"> and can access support if their circumstances change</w:t>
      </w:r>
      <w:r w:rsidRPr="009D7B6D">
        <w:rPr>
          <w:rFonts w:asciiTheme="minorHAnsi" w:hAnsi="Calibri"/>
          <w:color w:val="000000" w:themeColor="text1"/>
          <w:kern w:val="24"/>
          <w:szCs w:val="21"/>
        </w:rPr>
        <w:t>.</w:t>
      </w:r>
      <w:r w:rsidR="000F3131" w:rsidRPr="003C37AA">
        <w:rPr>
          <w:rFonts w:asciiTheme="minorHAnsi" w:eastAsiaTheme="minorEastAsia" w:hAnsiTheme="minorHAnsi" w:cstheme="minorHAnsi"/>
          <w:color w:val="000000" w:themeColor="text1"/>
          <w:kern w:val="24"/>
          <w:szCs w:val="21"/>
        </w:rPr>
        <w:t xml:space="preserve"> However, </w:t>
      </w:r>
      <w:r w:rsidR="001C4D1A">
        <w:rPr>
          <w:rFonts w:asciiTheme="minorHAnsi" w:eastAsiaTheme="minorEastAsia" w:hAnsiTheme="minorHAnsi" w:cstheme="minorHAnsi"/>
          <w:color w:val="000000" w:themeColor="text1"/>
          <w:kern w:val="24"/>
          <w:szCs w:val="21"/>
        </w:rPr>
        <w:t xml:space="preserve">people </w:t>
      </w:r>
      <w:r w:rsidR="00146235">
        <w:rPr>
          <w:rFonts w:asciiTheme="minorHAnsi" w:eastAsiaTheme="minorEastAsia" w:hAnsiTheme="minorHAnsi" w:cstheme="minorHAnsi"/>
          <w:color w:val="000000" w:themeColor="text1"/>
          <w:kern w:val="24"/>
          <w:szCs w:val="21"/>
        </w:rPr>
        <w:t xml:space="preserve">with a </w:t>
      </w:r>
      <w:r w:rsidR="00C14DE8">
        <w:rPr>
          <w:rFonts w:asciiTheme="minorHAnsi" w:eastAsiaTheme="minorEastAsia" w:hAnsiTheme="minorHAnsi" w:cstheme="minorHAnsi"/>
          <w:color w:val="000000" w:themeColor="text1"/>
          <w:kern w:val="24"/>
          <w:szCs w:val="21"/>
        </w:rPr>
        <w:t xml:space="preserve">physical, intellectual or psychiatric impairment, such as those </w:t>
      </w:r>
      <w:r w:rsidR="001C4D1A">
        <w:rPr>
          <w:rFonts w:asciiTheme="minorHAnsi" w:eastAsiaTheme="minorEastAsia" w:hAnsiTheme="minorHAnsi" w:cstheme="minorHAnsi"/>
          <w:color w:val="000000" w:themeColor="text1"/>
          <w:kern w:val="24"/>
          <w:szCs w:val="21"/>
        </w:rPr>
        <w:t xml:space="preserve">receiving </w:t>
      </w:r>
      <w:r w:rsidR="005E332C">
        <w:rPr>
          <w:rFonts w:asciiTheme="minorHAnsi" w:eastAsiaTheme="minorEastAsia" w:hAnsiTheme="minorHAnsi" w:cstheme="minorHAnsi"/>
          <w:color w:val="000000" w:themeColor="text1"/>
          <w:kern w:val="24"/>
          <w:szCs w:val="21"/>
        </w:rPr>
        <w:t>JobSeeker Payment</w:t>
      </w:r>
      <w:r w:rsidR="000F3131" w:rsidRPr="003C37AA">
        <w:rPr>
          <w:rFonts w:asciiTheme="minorHAnsi" w:eastAsiaTheme="minorEastAsia" w:hAnsiTheme="minorHAnsi" w:cstheme="minorHAnsi"/>
          <w:color w:val="000000" w:themeColor="text1"/>
          <w:kern w:val="24"/>
          <w:szCs w:val="21"/>
        </w:rPr>
        <w:t xml:space="preserve"> with a partial capacity to work</w:t>
      </w:r>
      <w:r w:rsidR="00C14DE8">
        <w:rPr>
          <w:rFonts w:asciiTheme="minorHAnsi" w:eastAsiaTheme="minorEastAsia" w:hAnsiTheme="minorHAnsi" w:cstheme="minorHAnsi"/>
          <w:color w:val="000000" w:themeColor="text1"/>
          <w:kern w:val="24"/>
          <w:szCs w:val="21"/>
        </w:rPr>
        <w:t>,</w:t>
      </w:r>
      <w:r w:rsidR="000F3131" w:rsidRPr="003C37AA">
        <w:rPr>
          <w:rFonts w:asciiTheme="minorHAnsi" w:eastAsiaTheme="minorEastAsia" w:hAnsiTheme="minorHAnsi" w:cstheme="minorHAnsi"/>
          <w:color w:val="000000" w:themeColor="text1"/>
          <w:kern w:val="24"/>
          <w:szCs w:val="21"/>
        </w:rPr>
        <w:t xml:space="preserve"> are a particularly vulnerable </w:t>
      </w:r>
      <w:r w:rsidR="00081828">
        <w:rPr>
          <w:rFonts w:asciiTheme="minorHAnsi" w:eastAsiaTheme="minorEastAsia" w:hAnsiTheme="minorHAnsi" w:cstheme="minorHAnsi"/>
          <w:color w:val="000000" w:themeColor="text1"/>
          <w:kern w:val="24"/>
          <w:szCs w:val="21"/>
        </w:rPr>
        <w:t>group</w:t>
      </w:r>
      <w:r w:rsidR="000F3131" w:rsidRPr="003C37AA">
        <w:rPr>
          <w:rFonts w:asciiTheme="minorHAnsi" w:eastAsiaTheme="minorEastAsia" w:hAnsiTheme="minorHAnsi" w:cstheme="minorHAnsi"/>
          <w:color w:val="000000" w:themeColor="text1"/>
          <w:kern w:val="24"/>
          <w:szCs w:val="21"/>
        </w:rPr>
        <w:t xml:space="preserve">. </w:t>
      </w:r>
      <w:r w:rsidR="0034631C">
        <w:rPr>
          <w:rFonts w:asciiTheme="minorHAnsi" w:eastAsiaTheme="minorEastAsia" w:hAnsiTheme="minorHAnsi" w:cstheme="minorHAnsi"/>
          <w:color w:val="000000" w:themeColor="text1"/>
          <w:kern w:val="24"/>
          <w:szCs w:val="21"/>
        </w:rPr>
        <w:t>Among those without children, p</w:t>
      </w:r>
      <w:r>
        <w:rPr>
          <w:rFonts w:asciiTheme="minorHAnsi" w:eastAsiaTheme="minorEastAsia" w:hAnsiTheme="minorHAnsi" w:cstheme="minorHAnsi"/>
          <w:color w:val="000000" w:themeColor="text1"/>
          <w:kern w:val="24"/>
          <w:szCs w:val="21"/>
        </w:rPr>
        <w:t xml:space="preserve">eople on </w:t>
      </w:r>
      <w:r w:rsidR="005E332C">
        <w:rPr>
          <w:rFonts w:asciiTheme="minorHAnsi" w:eastAsiaTheme="minorEastAsia" w:hAnsiTheme="minorHAnsi" w:cstheme="minorHAnsi"/>
          <w:color w:val="000000" w:themeColor="text1"/>
          <w:kern w:val="24"/>
          <w:szCs w:val="21"/>
        </w:rPr>
        <w:t>JobSeeker Payment</w:t>
      </w:r>
      <w:r>
        <w:rPr>
          <w:rFonts w:asciiTheme="minorHAnsi" w:eastAsiaTheme="minorEastAsia" w:hAnsiTheme="minorHAnsi" w:cstheme="minorHAnsi"/>
          <w:color w:val="000000" w:themeColor="text1"/>
          <w:kern w:val="24"/>
          <w:szCs w:val="21"/>
        </w:rPr>
        <w:t xml:space="preserve"> with a partial capacity to work </w:t>
      </w:r>
      <w:r w:rsidR="000F3131" w:rsidRPr="003C37AA">
        <w:rPr>
          <w:rFonts w:asciiTheme="minorHAnsi" w:eastAsiaTheme="minorEastAsia" w:hAnsiTheme="minorHAnsi" w:cstheme="minorHAnsi"/>
          <w:color w:val="000000" w:themeColor="text1"/>
          <w:kern w:val="24"/>
          <w:szCs w:val="21"/>
        </w:rPr>
        <w:t xml:space="preserve">are projected to </w:t>
      </w:r>
      <w:r>
        <w:rPr>
          <w:rFonts w:asciiTheme="minorHAnsi" w:eastAsiaTheme="minorEastAsia" w:hAnsiTheme="minorHAnsi" w:cstheme="minorHAnsi"/>
          <w:color w:val="000000" w:themeColor="text1"/>
          <w:kern w:val="24"/>
          <w:szCs w:val="21"/>
        </w:rPr>
        <w:t>receive income support for 3.1</w:t>
      </w:r>
      <w:r w:rsidR="00E46C6A">
        <w:rPr>
          <w:rFonts w:asciiTheme="minorHAnsi" w:eastAsiaTheme="minorEastAsia" w:hAnsiTheme="minorHAnsi" w:cstheme="minorHAnsi"/>
          <w:color w:val="000000" w:themeColor="text1"/>
          <w:kern w:val="24"/>
          <w:szCs w:val="21"/>
        </w:rPr>
        <w:t> year</w:t>
      </w:r>
      <w:r>
        <w:rPr>
          <w:rFonts w:asciiTheme="minorHAnsi" w:eastAsiaTheme="minorEastAsia" w:hAnsiTheme="minorHAnsi" w:cstheme="minorHAnsi"/>
          <w:color w:val="000000" w:themeColor="text1"/>
          <w:kern w:val="24"/>
          <w:szCs w:val="21"/>
        </w:rPr>
        <w:t>s longer</w:t>
      </w:r>
      <w:r w:rsidR="003546BA">
        <w:rPr>
          <w:rFonts w:asciiTheme="minorHAnsi" w:eastAsiaTheme="minorEastAsia" w:hAnsiTheme="minorHAnsi" w:cstheme="minorHAnsi"/>
          <w:color w:val="000000" w:themeColor="text1"/>
          <w:kern w:val="24"/>
          <w:szCs w:val="21"/>
        </w:rPr>
        <w:t xml:space="preserve"> prior to retirement age,</w:t>
      </w:r>
      <w:r>
        <w:rPr>
          <w:rFonts w:asciiTheme="minorHAnsi" w:eastAsiaTheme="minorEastAsia" w:hAnsiTheme="minorHAnsi" w:cstheme="minorHAnsi"/>
          <w:color w:val="000000" w:themeColor="text1"/>
          <w:kern w:val="24"/>
          <w:szCs w:val="21"/>
        </w:rPr>
        <w:t xml:space="preserve"> than </w:t>
      </w:r>
      <w:r w:rsidR="001C4D1A">
        <w:rPr>
          <w:rFonts w:asciiTheme="minorHAnsi" w:eastAsiaTheme="minorEastAsia" w:hAnsiTheme="minorHAnsi" w:cstheme="minorHAnsi"/>
          <w:color w:val="000000" w:themeColor="text1"/>
          <w:kern w:val="24"/>
          <w:szCs w:val="21"/>
        </w:rPr>
        <w:t xml:space="preserve">people receiving </w:t>
      </w:r>
      <w:r w:rsidR="005E332C">
        <w:rPr>
          <w:rFonts w:asciiTheme="minorHAnsi" w:eastAsiaTheme="minorEastAsia" w:hAnsiTheme="minorHAnsi" w:cstheme="minorHAnsi"/>
          <w:color w:val="000000" w:themeColor="text1"/>
          <w:kern w:val="24"/>
          <w:szCs w:val="21"/>
        </w:rPr>
        <w:t>JobSeeker Payment</w:t>
      </w:r>
      <w:r>
        <w:rPr>
          <w:rFonts w:asciiTheme="minorHAnsi" w:eastAsiaTheme="minorEastAsia" w:hAnsiTheme="minorHAnsi" w:cstheme="minorHAnsi"/>
          <w:color w:val="000000" w:themeColor="text1"/>
          <w:kern w:val="24"/>
          <w:szCs w:val="21"/>
        </w:rPr>
        <w:t xml:space="preserve"> with full </w:t>
      </w:r>
      <w:r w:rsidDel="00BE2765">
        <w:rPr>
          <w:rFonts w:asciiTheme="minorHAnsi" w:eastAsiaTheme="minorEastAsia" w:hAnsiTheme="minorHAnsi" w:cstheme="minorHAnsi"/>
          <w:color w:val="000000" w:themeColor="text1"/>
          <w:kern w:val="24"/>
          <w:szCs w:val="21"/>
        </w:rPr>
        <w:t>capacity to work</w:t>
      </w:r>
      <w:r w:rsidR="000F3131" w:rsidRPr="003C37AA">
        <w:rPr>
          <w:rFonts w:asciiTheme="minorHAnsi" w:eastAsiaTheme="minorEastAsia" w:hAnsiTheme="minorHAnsi" w:cstheme="minorHAnsi"/>
          <w:color w:val="000000" w:themeColor="text1"/>
          <w:kern w:val="24"/>
          <w:szCs w:val="21"/>
        </w:rPr>
        <w:t>.</w:t>
      </w:r>
    </w:p>
    <w:p w14:paraId="76D4600E" w14:textId="237D051B" w:rsidR="00B04FCE" w:rsidRDefault="00BA6C2E" w:rsidP="006E301F">
      <w:pPr>
        <w:rPr>
          <w:rFonts w:asciiTheme="minorHAnsi" w:hAnsiTheme="minorHAnsi"/>
        </w:rPr>
      </w:pPr>
      <w:r>
        <w:rPr>
          <w:rFonts w:asciiTheme="minorHAnsi" w:eastAsiaTheme="minorEastAsia" w:hAnsiTheme="minorHAnsi" w:cstheme="minorHAnsi"/>
          <w:color w:val="000000" w:themeColor="text1"/>
          <w:kern w:val="24"/>
          <w:szCs w:val="21"/>
        </w:rPr>
        <w:t xml:space="preserve">Between the ages of 45 and 66, </w:t>
      </w:r>
      <w:r w:rsidR="00C46970">
        <w:rPr>
          <w:rFonts w:asciiTheme="minorHAnsi" w:hAnsiTheme="minorHAnsi"/>
        </w:rPr>
        <w:t>current use</w:t>
      </w:r>
      <w:r w:rsidR="005700BE">
        <w:rPr>
          <w:rFonts w:asciiTheme="minorHAnsi" w:hAnsiTheme="minorHAnsi"/>
        </w:rPr>
        <w:t xml:space="preserve"> </w:t>
      </w:r>
      <w:r w:rsidR="00AD0F19">
        <w:rPr>
          <w:rFonts w:asciiTheme="minorHAnsi" w:hAnsiTheme="minorHAnsi"/>
        </w:rPr>
        <w:t>of</w:t>
      </w:r>
      <w:r w:rsidR="00C46970">
        <w:rPr>
          <w:rFonts w:asciiTheme="minorHAnsi" w:hAnsiTheme="minorHAnsi"/>
        </w:rPr>
        <w:t xml:space="preserve"> </w:t>
      </w:r>
      <w:r w:rsidR="005E332C">
        <w:rPr>
          <w:rFonts w:asciiTheme="minorHAnsi" w:hAnsiTheme="minorHAnsi"/>
        </w:rPr>
        <w:t>JobSeeker Payment</w:t>
      </w:r>
      <w:r w:rsidR="000F3131" w:rsidRPr="55DAC1C9">
        <w:rPr>
          <w:rFonts w:asciiTheme="minorHAnsi" w:hAnsiTheme="minorHAnsi"/>
        </w:rPr>
        <w:t xml:space="preserve"> </w:t>
      </w:r>
      <w:r>
        <w:rPr>
          <w:rFonts w:asciiTheme="minorHAnsi" w:hAnsiTheme="minorHAnsi"/>
        </w:rPr>
        <w:t xml:space="preserve">is </w:t>
      </w:r>
      <w:r w:rsidR="009C5608">
        <w:rPr>
          <w:rFonts w:asciiTheme="minorHAnsi" w:hAnsiTheme="minorHAnsi"/>
        </w:rPr>
        <w:t>associated with</w:t>
      </w:r>
      <w:r>
        <w:rPr>
          <w:rFonts w:asciiTheme="minorHAnsi" w:hAnsiTheme="minorHAnsi"/>
        </w:rPr>
        <w:t xml:space="preserve"> </w:t>
      </w:r>
      <w:r w:rsidR="009C5608">
        <w:rPr>
          <w:rFonts w:asciiTheme="minorHAnsi" w:hAnsiTheme="minorHAnsi"/>
        </w:rPr>
        <w:t>a greater likelihood of using</w:t>
      </w:r>
      <w:r>
        <w:rPr>
          <w:rFonts w:asciiTheme="minorHAnsi" w:hAnsiTheme="minorHAnsi"/>
        </w:rPr>
        <w:t xml:space="preserve"> income support in the future</w:t>
      </w:r>
      <w:r w:rsidR="000F3131" w:rsidRPr="55DAC1C9">
        <w:rPr>
          <w:rFonts w:asciiTheme="minorHAnsi" w:hAnsiTheme="minorHAnsi"/>
        </w:rPr>
        <w:t xml:space="preserve">, </w:t>
      </w:r>
      <w:r w:rsidR="009C5608">
        <w:rPr>
          <w:rFonts w:asciiTheme="minorHAnsi" w:hAnsiTheme="minorHAnsi" w:cstheme="minorHAnsi"/>
          <w:szCs w:val="21"/>
        </w:rPr>
        <w:t>particularly for those with a</w:t>
      </w:r>
      <w:r w:rsidR="000F3131" w:rsidRPr="00B141AD">
        <w:rPr>
          <w:rFonts w:asciiTheme="minorHAnsi" w:hAnsiTheme="minorHAnsi" w:cstheme="minorHAnsi"/>
          <w:szCs w:val="21"/>
        </w:rPr>
        <w:t xml:space="preserve"> </w:t>
      </w:r>
      <w:r w:rsidR="003D5F16">
        <w:rPr>
          <w:rFonts w:asciiTheme="minorHAnsi" w:hAnsiTheme="minorHAnsi"/>
        </w:rPr>
        <w:t>p</w:t>
      </w:r>
      <w:r w:rsidR="000F3131" w:rsidRPr="55DAC1C9">
        <w:rPr>
          <w:rFonts w:asciiTheme="minorHAnsi" w:hAnsiTheme="minorHAnsi"/>
        </w:rPr>
        <w:t xml:space="preserve">artial </w:t>
      </w:r>
      <w:r w:rsidR="003D5F16">
        <w:rPr>
          <w:rFonts w:asciiTheme="minorHAnsi" w:hAnsiTheme="minorHAnsi"/>
        </w:rPr>
        <w:t>c</w:t>
      </w:r>
      <w:r w:rsidR="000F3131" w:rsidRPr="55DAC1C9">
        <w:rPr>
          <w:rFonts w:asciiTheme="minorHAnsi" w:hAnsiTheme="minorHAnsi"/>
        </w:rPr>
        <w:t xml:space="preserve">apacity to </w:t>
      </w:r>
      <w:r w:rsidR="003D5F16">
        <w:rPr>
          <w:rFonts w:asciiTheme="minorHAnsi" w:hAnsiTheme="minorHAnsi"/>
        </w:rPr>
        <w:t>w</w:t>
      </w:r>
      <w:r w:rsidR="000F3131" w:rsidRPr="55DAC1C9">
        <w:rPr>
          <w:rFonts w:asciiTheme="minorHAnsi" w:hAnsiTheme="minorHAnsi"/>
        </w:rPr>
        <w:t>ork.</w:t>
      </w:r>
      <w:r w:rsidR="00B04332">
        <w:rPr>
          <w:rFonts w:asciiTheme="minorHAnsi" w:hAnsiTheme="minorHAnsi"/>
        </w:rPr>
        <w:t xml:space="preserve"> </w:t>
      </w:r>
      <w:r w:rsidR="009C16E1">
        <w:rPr>
          <w:rFonts w:asciiTheme="minorHAnsi" w:hAnsiTheme="minorHAnsi"/>
        </w:rPr>
        <w:t>W</w:t>
      </w:r>
      <w:r w:rsidR="00003909">
        <w:rPr>
          <w:rFonts w:asciiTheme="minorHAnsi" w:hAnsiTheme="minorHAnsi"/>
        </w:rPr>
        <w:t xml:space="preserve">omen aged 45 </w:t>
      </w:r>
      <w:r w:rsidR="009C16E1">
        <w:rPr>
          <w:rFonts w:asciiTheme="minorHAnsi" w:hAnsiTheme="minorHAnsi"/>
        </w:rPr>
        <w:t>to</w:t>
      </w:r>
      <w:r w:rsidR="00003909">
        <w:rPr>
          <w:rFonts w:asciiTheme="minorHAnsi" w:hAnsiTheme="minorHAnsi"/>
        </w:rPr>
        <w:t xml:space="preserve"> 66 who are currently on </w:t>
      </w:r>
      <w:r w:rsidR="005E332C">
        <w:rPr>
          <w:rFonts w:asciiTheme="minorHAnsi" w:hAnsiTheme="minorHAnsi"/>
        </w:rPr>
        <w:t>JobSeeker Payment</w:t>
      </w:r>
      <w:r w:rsidR="00003909">
        <w:rPr>
          <w:rFonts w:asciiTheme="minorHAnsi" w:hAnsiTheme="minorHAnsi"/>
        </w:rPr>
        <w:t xml:space="preserve"> </w:t>
      </w:r>
      <w:r w:rsidR="009C16E1">
        <w:rPr>
          <w:rFonts w:asciiTheme="minorHAnsi" w:hAnsiTheme="minorHAnsi"/>
        </w:rPr>
        <w:t>with</w:t>
      </w:r>
      <w:r w:rsidR="00003909">
        <w:rPr>
          <w:rFonts w:asciiTheme="minorHAnsi" w:hAnsiTheme="minorHAnsi"/>
        </w:rPr>
        <w:t xml:space="preserve"> a partial capacity to work </w:t>
      </w:r>
      <w:r w:rsidR="009C16E1">
        <w:rPr>
          <w:rFonts w:asciiTheme="minorHAnsi" w:hAnsiTheme="minorHAnsi"/>
        </w:rPr>
        <w:t xml:space="preserve">have the highest probability of </w:t>
      </w:r>
      <w:r w:rsidR="00003909">
        <w:rPr>
          <w:rFonts w:asciiTheme="minorHAnsi" w:hAnsiTheme="minorHAnsi"/>
        </w:rPr>
        <w:t>moving onto Age Pension at retirement age.</w:t>
      </w:r>
    </w:p>
    <w:p w14:paraId="08EE24ED" w14:textId="46029057" w:rsidR="00416BC2" w:rsidRPr="00B12C51" w:rsidRDefault="00F97D8A" w:rsidP="008E5CD9">
      <w:pPr>
        <w:rPr>
          <w:rFonts w:eastAsiaTheme="minorEastAsia"/>
        </w:rPr>
      </w:pPr>
      <w:r>
        <w:rPr>
          <w:rFonts w:eastAsiaTheme="minorEastAsia"/>
        </w:rPr>
        <w:t>The extent of interaction with the social security system at retirement age</w:t>
      </w:r>
      <w:r w:rsidR="000F3131" w:rsidRPr="003C37AA">
        <w:rPr>
          <w:rFonts w:eastAsiaTheme="minorEastAsia"/>
        </w:rPr>
        <w:t xml:space="preserve"> </w:t>
      </w:r>
      <w:r>
        <w:rPr>
          <w:rFonts w:eastAsiaTheme="minorEastAsia"/>
        </w:rPr>
        <w:t xml:space="preserve">is </w:t>
      </w:r>
      <w:r w:rsidR="000F3131" w:rsidRPr="003C37AA">
        <w:rPr>
          <w:rFonts w:eastAsiaTheme="minorEastAsia"/>
        </w:rPr>
        <w:t xml:space="preserve">closely related to the </w:t>
      </w:r>
      <w:r>
        <w:rPr>
          <w:rFonts w:eastAsiaTheme="minorEastAsia"/>
        </w:rPr>
        <w:t>length of income support use</w:t>
      </w:r>
      <w:r w:rsidRPr="003C37AA">
        <w:rPr>
          <w:rFonts w:eastAsiaTheme="minorEastAsia"/>
        </w:rPr>
        <w:t xml:space="preserve"> </w:t>
      </w:r>
      <w:r w:rsidR="000F3131" w:rsidRPr="003C37AA">
        <w:rPr>
          <w:rFonts w:eastAsiaTheme="minorEastAsia"/>
        </w:rPr>
        <w:t>during a</w:t>
      </w:r>
      <w:r>
        <w:rPr>
          <w:rFonts w:eastAsiaTheme="minorEastAsia"/>
        </w:rPr>
        <w:t xml:space="preserve"> person</w:t>
      </w:r>
      <w:r w:rsidR="00B04FCE">
        <w:rPr>
          <w:rFonts w:eastAsiaTheme="minorEastAsia"/>
        </w:rPr>
        <w:t>’</w:t>
      </w:r>
      <w:r>
        <w:rPr>
          <w:rFonts w:eastAsiaTheme="minorEastAsia"/>
        </w:rPr>
        <w:t>s</w:t>
      </w:r>
      <w:r w:rsidRPr="003C37AA">
        <w:rPr>
          <w:rFonts w:eastAsiaTheme="minorEastAsia"/>
        </w:rPr>
        <w:t xml:space="preserve"> </w:t>
      </w:r>
      <w:r w:rsidR="000F3131" w:rsidRPr="003C37AA">
        <w:rPr>
          <w:rFonts w:eastAsiaTheme="minorEastAsia"/>
        </w:rPr>
        <w:t>working life. In 2021</w:t>
      </w:r>
      <w:r w:rsidR="009F12CC">
        <w:rPr>
          <w:rFonts w:eastAsiaTheme="minorEastAsia"/>
        </w:rPr>
        <w:t>–</w:t>
      </w:r>
      <w:r w:rsidR="000F3131" w:rsidRPr="003C37AA">
        <w:rPr>
          <w:rFonts w:eastAsiaTheme="minorEastAsia"/>
        </w:rPr>
        <w:t xml:space="preserve">22, the Age Pension eligibility age increased to 66.5, and for many Australians </w:t>
      </w:r>
      <w:r w:rsidR="00847F70">
        <w:rPr>
          <w:rFonts w:eastAsiaTheme="minorEastAsia"/>
        </w:rPr>
        <w:t>this</w:t>
      </w:r>
      <w:r w:rsidR="000F3131" w:rsidRPr="003C37AA">
        <w:rPr>
          <w:rFonts w:eastAsiaTheme="minorEastAsia"/>
        </w:rPr>
        <w:t xml:space="preserve"> is the age they retire from full time work. The Age Pension is the primary </w:t>
      </w:r>
      <w:r>
        <w:rPr>
          <w:rFonts w:eastAsiaTheme="minorEastAsia"/>
        </w:rPr>
        <w:t xml:space="preserve">income </w:t>
      </w:r>
      <w:r w:rsidR="000F3131" w:rsidRPr="003C37AA">
        <w:rPr>
          <w:rFonts w:eastAsiaTheme="minorEastAsia"/>
        </w:rPr>
        <w:t>support</w:t>
      </w:r>
      <w:r>
        <w:rPr>
          <w:rFonts w:eastAsiaTheme="minorEastAsia"/>
        </w:rPr>
        <w:t xml:space="preserve"> payment</w:t>
      </w:r>
      <w:r w:rsidR="000F3131" w:rsidRPr="003C37AA">
        <w:rPr>
          <w:rFonts w:eastAsiaTheme="minorEastAsia"/>
        </w:rPr>
        <w:t xml:space="preserve"> for those unable to fully, or partially finance their retirement through superannuation</w:t>
      </w:r>
      <w:r w:rsidR="00727A8B">
        <w:rPr>
          <w:rFonts w:eastAsiaTheme="minorEastAsia"/>
        </w:rPr>
        <w:t xml:space="preserve"> and other savings</w:t>
      </w:r>
      <w:r w:rsidR="000F3131" w:rsidRPr="003C37AA">
        <w:rPr>
          <w:rFonts w:eastAsiaTheme="minorEastAsia"/>
        </w:rPr>
        <w:t>. Around 2.</w:t>
      </w:r>
      <w:r w:rsidR="00A60362">
        <w:rPr>
          <w:rFonts w:eastAsiaTheme="minorEastAsia"/>
        </w:rPr>
        <w:t>5</w:t>
      </w:r>
      <w:r w:rsidR="00F40387">
        <w:rPr>
          <w:rFonts w:eastAsiaTheme="minorEastAsia"/>
        </w:rPr>
        <w:t> million</w:t>
      </w:r>
      <w:r w:rsidR="000F3131" w:rsidRPr="003C37AA">
        <w:rPr>
          <w:rFonts w:eastAsiaTheme="minorEastAsia"/>
        </w:rPr>
        <w:t xml:space="preserve"> Australians </w:t>
      </w:r>
      <w:r w:rsidR="000F3131">
        <w:rPr>
          <w:rFonts w:eastAsiaTheme="minorEastAsia"/>
        </w:rPr>
        <w:t>accessed</w:t>
      </w:r>
      <w:r w:rsidR="000F3131" w:rsidRPr="003C37AA">
        <w:rPr>
          <w:rFonts w:eastAsiaTheme="minorEastAsia"/>
        </w:rPr>
        <w:t xml:space="preserve"> the Age Pension </w:t>
      </w:r>
      <w:r w:rsidR="002D45A3">
        <w:rPr>
          <w:rFonts w:eastAsiaTheme="minorEastAsia"/>
        </w:rPr>
        <w:t>at 30</w:t>
      </w:r>
      <w:r w:rsidR="00E46C6A">
        <w:rPr>
          <w:rFonts w:eastAsiaTheme="minorEastAsia"/>
        </w:rPr>
        <w:t> June </w:t>
      </w:r>
      <w:r w:rsidR="002D45A3">
        <w:rPr>
          <w:rFonts w:eastAsiaTheme="minorEastAsia"/>
        </w:rPr>
        <w:t>2022</w:t>
      </w:r>
      <w:r>
        <w:rPr>
          <w:rFonts w:eastAsiaTheme="minorEastAsia"/>
        </w:rPr>
        <w:t>.</w:t>
      </w:r>
      <w:r w:rsidR="00B04FCE">
        <w:rPr>
          <w:rFonts w:eastAsiaTheme="minorEastAsia"/>
        </w:rPr>
        <w:t xml:space="preserve"> </w:t>
      </w:r>
      <w:r>
        <w:rPr>
          <w:rFonts w:eastAsiaTheme="minorEastAsia"/>
        </w:rPr>
        <w:t>Age Pension</w:t>
      </w:r>
      <w:r w:rsidR="000F3131" w:rsidRPr="003C37AA">
        <w:rPr>
          <w:rFonts w:eastAsiaTheme="minorEastAsia"/>
        </w:rPr>
        <w:t xml:space="preserve"> is projected to </w:t>
      </w:r>
      <w:r>
        <w:rPr>
          <w:rFonts w:eastAsiaTheme="minorEastAsia"/>
        </w:rPr>
        <w:t>form approximately</w:t>
      </w:r>
      <w:r w:rsidR="000F3131" w:rsidRPr="003C37AA">
        <w:rPr>
          <w:rFonts w:eastAsiaTheme="minorEastAsia"/>
        </w:rPr>
        <w:t xml:space="preserve"> </w:t>
      </w:r>
      <w:r w:rsidR="0088460B">
        <w:rPr>
          <w:rFonts w:eastAsiaTheme="minorEastAsia"/>
        </w:rPr>
        <w:t>59</w:t>
      </w:r>
      <w:r w:rsidR="000F3131" w:rsidRPr="003C37AA">
        <w:rPr>
          <w:rFonts w:eastAsiaTheme="minorEastAsia"/>
        </w:rPr>
        <w:t xml:space="preserve">% of </w:t>
      </w:r>
      <w:r>
        <w:rPr>
          <w:rFonts w:eastAsiaTheme="minorEastAsia"/>
        </w:rPr>
        <w:t xml:space="preserve">the total future </w:t>
      </w:r>
      <w:r w:rsidR="000F3131">
        <w:rPr>
          <w:rFonts w:eastAsiaTheme="minorEastAsia"/>
        </w:rPr>
        <w:t>Lifetime Cost</w:t>
      </w:r>
      <w:r w:rsidR="000F3131" w:rsidRPr="003C37AA">
        <w:rPr>
          <w:rFonts w:eastAsiaTheme="minorEastAsia"/>
        </w:rPr>
        <w:t xml:space="preserve"> for the current Australian population.</w:t>
      </w:r>
    </w:p>
    <w:tbl>
      <w:tblPr>
        <w:tblStyle w:val="TableGrid"/>
        <w:tblW w:w="0" w:type="auto"/>
        <w:tblCellMar>
          <w:top w:w="227" w:type="dxa"/>
          <w:left w:w="340" w:type="dxa"/>
          <w:bottom w:w="227" w:type="dxa"/>
          <w:right w:w="340" w:type="dxa"/>
        </w:tblCellMar>
        <w:tblLook w:val="04A0" w:firstRow="1" w:lastRow="0" w:firstColumn="1" w:lastColumn="0" w:noHBand="0" w:noVBand="1"/>
        <w:tblDescription w:val="This is not a diagram"/>
      </w:tblPr>
      <w:tblGrid>
        <w:gridCol w:w="6930"/>
      </w:tblGrid>
      <w:tr w:rsidR="00C03124" w14:paraId="02505523" w14:textId="77777777" w:rsidTr="00B87900">
        <w:trPr>
          <w:tblHeader/>
        </w:trPr>
        <w:tc>
          <w:tcPr>
            <w:tcW w:w="6930" w:type="dxa"/>
            <w:shd w:val="clear" w:color="auto" w:fill="CEDBE3" w:themeFill="text2"/>
          </w:tcPr>
          <w:p w14:paraId="0F14FCD2" w14:textId="77777777" w:rsidR="00C03124" w:rsidRPr="00D52F35" w:rsidRDefault="00C03124" w:rsidP="00416BC2">
            <w:pPr>
              <w:pStyle w:val="BoxHeading"/>
              <w:rPr>
                <w:rFonts w:eastAsiaTheme="majorEastAsia"/>
              </w:rPr>
            </w:pPr>
            <w:r w:rsidRPr="00416BC2">
              <w:rPr>
                <w:rFonts w:eastAsiaTheme="majorEastAsia"/>
              </w:rPr>
              <w:t>Drivers of Social Security</w:t>
            </w:r>
            <w:r w:rsidRPr="00D52F35">
              <w:rPr>
                <w:rFonts w:eastAsiaTheme="majorEastAsia"/>
              </w:rPr>
              <w:t xml:space="preserve"> </w:t>
            </w:r>
            <w:r w:rsidRPr="00416BC2">
              <w:rPr>
                <w:rFonts w:eastAsiaTheme="majorEastAsia"/>
              </w:rPr>
              <w:t>Use</w:t>
            </w:r>
          </w:p>
          <w:p w14:paraId="3333BD16" w14:textId="692AD135" w:rsidR="00C03124" w:rsidRPr="00D52F35" w:rsidRDefault="00C03124" w:rsidP="00A860AA">
            <w:pPr>
              <w:pStyle w:val="BoxText"/>
              <w:jc w:val="left"/>
            </w:pPr>
            <w:r w:rsidRPr="00D52F35">
              <w:t>The rules for payment eligibility directly influence the level of use. For</w:t>
            </w:r>
            <w:r w:rsidR="00F40387">
              <w:t> </w:t>
            </w:r>
            <w:r w:rsidRPr="00D52F35">
              <w:t>example, increasing the Age Pension age reduces Age Pension usage, as people younger than the eligibility age cannot access an Age Pension.</w:t>
            </w:r>
          </w:p>
          <w:p w14:paraId="62E9C2B1" w14:textId="77777777" w:rsidR="00C03124" w:rsidRPr="00D52F35" w:rsidRDefault="00C03124" w:rsidP="00A860AA">
            <w:pPr>
              <w:pStyle w:val="BoxText"/>
              <w:jc w:val="left"/>
            </w:pPr>
            <w:r w:rsidRPr="00D52F35">
              <w:t>Demographic characteristics, such as age and gender, are correlated with usage. For example, historically, women have had lower superannuation and financial assets at retirement age. This, combined with greater longevity, means on average they access Age Pension more than men.</w:t>
            </w:r>
          </w:p>
          <w:p w14:paraId="3CDEE801" w14:textId="08176718" w:rsidR="00C03124" w:rsidRPr="00D52F35" w:rsidRDefault="00C03124" w:rsidP="00A860AA">
            <w:pPr>
              <w:pStyle w:val="BoxText"/>
              <w:jc w:val="left"/>
            </w:pPr>
            <w:r w:rsidRPr="00D52F35">
              <w:t>Changes in the unemployment rate affect the number of people both transitioning into and out of social security. Working age payments and family payments are the main payment categories directly affected, with flow</w:t>
            </w:r>
            <w:r w:rsidR="00B04FCE">
              <w:noBreakHyphen/>
            </w:r>
            <w:r w:rsidRPr="00D52F35">
              <w:t>on effects to other payments.</w:t>
            </w:r>
          </w:p>
          <w:p w14:paraId="4E7730D3" w14:textId="77777777" w:rsidR="00C03124" w:rsidRPr="00D52F35" w:rsidRDefault="00C03124" w:rsidP="00A860AA">
            <w:pPr>
              <w:pStyle w:val="BoxText"/>
              <w:jc w:val="left"/>
            </w:pPr>
            <w:r w:rsidRPr="00D52F35">
              <w:t>Future improvements in mortality can have a significant impact on usage, most notably for Age Pension as life expectancy increases.</w:t>
            </w:r>
          </w:p>
          <w:p w14:paraId="648FF900" w14:textId="57FF1FAF" w:rsidR="00C03124" w:rsidRPr="00C03124" w:rsidRDefault="00C03124" w:rsidP="00A860AA">
            <w:pPr>
              <w:pStyle w:val="BoxText"/>
              <w:jc w:val="left"/>
            </w:pPr>
            <w:r w:rsidRPr="00D52F35">
              <w:t>While changes to payment indexation rates have a large impact on Lifetime Cost, they have no bearing on future usage.</w:t>
            </w:r>
          </w:p>
        </w:tc>
      </w:tr>
    </w:tbl>
    <w:p w14:paraId="0096A516" w14:textId="77777777" w:rsidR="00F3364B" w:rsidRDefault="00F3364B" w:rsidP="00F3364B">
      <w:pPr>
        <w:pStyle w:val="NoSpacing"/>
        <w:rPr>
          <w:rFonts w:eastAsiaTheme="minorEastAsia"/>
        </w:rPr>
      </w:pPr>
    </w:p>
    <w:p w14:paraId="24BDF282" w14:textId="5E4462FE" w:rsidR="00B04FCE" w:rsidRDefault="00F97D8A" w:rsidP="00E37F73">
      <w:pPr>
        <w:pStyle w:val="Heading2notnumbered"/>
        <w:rPr>
          <w:rFonts w:eastAsiaTheme="minorEastAsia"/>
        </w:rPr>
      </w:pPr>
      <w:r>
        <w:rPr>
          <w:rFonts w:eastAsiaTheme="minorEastAsia"/>
        </w:rPr>
        <w:t xml:space="preserve">For people with disability and those </w:t>
      </w:r>
      <w:r w:rsidR="00D25E16">
        <w:rPr>
          <w:rFonts w:eastAsiaTheme="minorEastAsia"/>
        </w:rPr>
        <w:t>receiving payments to support</w:t>
      </w:r>
      <w:r>
        <w:rPr>
          <w:rFonts w:eastAsiaTheme="minorEastAsia"/>
        </w:rPr>
        <w:t xml:space="preserve"> </w:t>
      </w:r>
      <w:r w:rsidR="009C16E1">
        <w:rPr>
          <w:rFonts w:eastAsiaTheme="minorEastAsia"/>
        </w:rPr>
        <w:t xml:space="preserve">parenting or </w:t>
      </w:r>
      <w:r>
        <w:rPr>
          <w:rFonts w:eastAsiaTheme="minorEastAsia"/>
        </w:rPr>
        <w:t xml:space="preserve">caring responsibilities, the social security system provides the </w:t>
      </w:r>
      <w:r w:rsidR="009C16E1">
        <w:rPr>
          <w:rFonts w:eastAsiaTheme="minorEastAsia"/>
        </w:rPr>
        <w:t>financial assistance</w:t>
      </w:r>
      <w:r>
        <w:rPr>
          <w:rFonts w:eastAsiaTheme="minorEastAsia"/>
        </w:rPr>
        <w:t xml:space="preserve"> they </w:t>
      </w:r>
      <w:r w:rsidR="00B826D8">
        <w:rPr>
          <w:rFonts w:eastAsiaTheme="minorEastAsia"/>
        </w:rPr>
        <w:t xml:space="preserve">may </w:t>
      </w:r>
      <w:r>
        <w:rPr>
          <w:rFonts w:eastAsiaTheme="minorEastAsia"/>
        </w:rPr>
        <w:t>need</w:t>
      </w:r>
      <w:r w:rsidRPr="003C37AA">
        <w:rPr>
          <w:rFonts w:eastAsiaTheme="minorEastAsia"/>
        </w:rPr>
        <w:t>.</w:t>
      </w:r>
    </w:p>
    <w:p w14:paraId="41F50D65" w14:textId="53272FBF" w:rsidR="00CE38A5" w:rsidRPr="003C37AA" w:rsidRDefault="001F6BC4" w:rsidP="006E301F">
      <w:pPr>
        <w:rPr>
          <w:rFonts w:asciiTheme="minorHAnsi" w:eastAsiaTheme="minorEastAsia" w:hAnsiTheme="minorHAnsi" w:cstheme="minorHAnsi"/>
          <w:szCs w:val="21"/>
        </w:rPr>
      </w:pPr>
      <w:r>
        <w:rPr>
          <w:rFonts w:asciiTheme="minorHAnsi" w:eastAsiaTheme="minorEastAsia" w:hAnsiTheme="minorHAnsi" w:cstheme="minorHAnsi"/>
          <w:color w:val="000000" w:themeColor="text1"/>
          <w:kern w:val="24"/>
          <w:szCs w:val="21"/>
        </w:rPr>
        <w:t>P</w:t>
      </w:r>
      <w:r w:rsidR="00256E64">
        <w:rPr>
          <w:rFonts w:asciiTheme="minorHAnsi" w:eastAsiaTheme="minorEastAsia" w:hAnsiTheme="minorHAnsi" w:cstheme="minorHAnsi"/>
          <w:color w:val="000000" w:themeColor="text1"/>
          <w:kern w:val="24"/>
          <w:szCs w:val="21"/>
        </w:rPr>
        <w:t>eople</w:t>
      </w:r>
      <w:r>
        <w:rPr>
          <w:rFonts w:asciiTheme="minorHAnsi" w:eastAsiaTheme="minorEastAsia" w:hAnsiTheme="minorHAnsi" w:cstheme="minorHAnsi"/>
          <w:color w:val="000000" w:themeColor="text1"/>
          <w:kern w:val="24"/>
          <w:szCs w:val="21"/>
        </w:rPr>
        <w:t xml:space="preserve"> with children</w:t>
      </w:r>
      <w:r w:rsidR="00CE38A5" w:rsidRPr="003C37AA">
        <w:rPr>
          <w:rFonts w:asciiTheme="minorHAnsi" w:eastAsiaTheme="minorEastAsia" w:hAnsiTheme="minorHAnsi" w:cstheme="minorHAnsi"/>
          <w:color w:val="000000" w:themeColor="text1"/>
          <w:kern w:val="24"/>
          <w:szCs w:val="21"/>
        </w:rPr>
        <w:t xml:space="preserve"> can access multiple </w:t>
      </w:r>
      <w:r w:rsidR="00CE38A5">
        <w:rPr>
          <w:rFonts w:asciiTheme="minorHAnsi" w:eastAsiaTheme="minorEastAsia" w:hAnsiTheme="minorHAnsi" w:cstheme="minorHAnsi"/>
          <w:color w:val="000000" w:themeColor="text1"/>
          <w:kern w:val="24"/>
          <w:szCs w:val="21"/>
        </w:rPr>
        <w:t>social security</w:t>
      </w:r>
      <w:r w:rsidR="00CE38A5" w:rsidRPr="003C37AA">
        <w:rPr>
          <w:rFonts w:asciiTheme="minorHAnsi" w:eastAsiaTheme="minorEastAsia" w:hAnsiTheme="minorHAnsi" w:cstheme="minorHAnsi"/>
          <w:color w:val="000000" w:themeColor="text1"/>
          <w:kern w:val="24"/>
          <w:szCs w:val="21"/>
        </w:rPr>
        <w:t xml:space="preserve"> payments depending on their needs. </w:t>
      </w:r>
      <w:r>
        <w:rPr>
          <w:rFonts w:asciiTheme="minorHAnsi" w:eastAsiaTheme="minorEastAsia" w:hAnsiTheme="minorHAnsi" w:cstheme="minorHAnsi"/>
          <w:color w:val="000000" w:themeColor="text1"/>
          <w:kern w:val="24"/>
          <w:szCs w:val="21"/>
        </w:rPr>
        <w:t>At 30</w:t>
      </w:r>
      <w:r w:rsidR="00E46C6A">
        <w:rPr>
          <w:rFonts w:asciiTheme="minorHAnsi" w:eastAsiaTheme="minorEastAsia" w:hAnsiTheme="minorHAnsi" w:cstheme="minorHAnsi"/>
          <w:color w:val="000000" w:themeColor="text1"/>
          <w:kern w:val="24"/>
          <w:szCs w:val="21"/>
        </w:rPr>
        <w:t> June </w:t>
      </w:r>
      <w:r>
        <w:rPr>
          <w:rFonts w:asciiTheme="minorHAnsi" w:eastAsiaTheme="minorEastAsia" w:hAnsiTheme="minorHAnsi" w:cstheme="minorHAnsi"/>
          <w:color w:val="000000" w:themeColor="text1"/>
          <w:kern w:val="24"/>
          <w:szCs w:val="21"/>
        </w:rPr>
        <w:t>2022</w:t>
      </w:r>
      <w:r w:rsidR="009C16E1">
        <w:rPr>
          <w:rFonts w:asciiTheme="minorHAnsi" w:eastAsiaTheme="minorEastAsia" w:hAnsiTheme="minorHAnsi" w:cstheme="minorHAnsi"/>
          <w:color w:val="000000" w:themeColor="text1"/>
          <w:kern w:val="24"/>
          <w:szCs w:val="21"/>
        </w:rPr>
        <w:t>,</w:t>
      </w:r>
      <w:r w:rsidR="00CE38A5" w:rsidRPr="003C37AA">
        <w:rPr>
          <w:rFonts w:asciiTheme="minorHAnsi" w:eastAsiaTheme="minorEastAsia" w:hAnsiTheme="minorHAnsi" w:cstheme="minorHAnsi"/>
          <w:color w:val="000000" w:themeColor="text1"/>
          <w:kern w:val="24"/>
          <w:szCs w:val="21"/>
        </w:rPr>
        <w:t xml:space="preserve"> </w:t>
      </w:r>
      <w:r>
        <w:rPr>
          <w:rFonts w:asciiTheme="minorHAnsi" w:eastAsiaTheme="minorEastAsia" w:hAnsiTheme="minorHAnsi" w:cstheme="minorHAnsi"/>
          <w:color w:val="000000" w:themeColor="text1"/>
          <w:kern w:val="24"/>
          <w:szCs w:val="21"/>
        </w:rPr>
        <w:t>13% of parents</w:t>
      </w:r>
      <w:r w:rsidR="009C16E1">
        <w:rPr>
          <w:rFonts w:asciiTheme="minorHAnsi" w:eastAsiaTheme="minorEastAsia" w:hAnsiTheme="minorHAnsi" w:cstheme="minorHAnsi"/>
          <w:color w:val="000000" w:themeColor="text1"/>
          <w:kern w:val="24"/>
          <w:szCs w:val="21"/>
        </w:rPr>
        <w:t xml:space="preserve"> or </w:t>
      </w:r>
      <w:r>
        <w:rPr>
          <w:rFonts w:asciiTheme="minorHAnsi" w:eastAsiaTheme="minorEastAsia" w:hAnsiTheme="minorHAnsi" w:cstheme="minorHAnsi"/>
          <w:color w:val="000000" w:themeColor="text1"/>
          <w:kern w:val="24"/>
          <w:szCs w:val="21"/>
        </w:rPr>
        <w:t xml:space="preserve">guardians </w:t>
      </w:r>
      <w:r w:rsidR="00256E64">
        <w:rPr>
          <w:rFonts w:asciiTheme="minorHAnsi" w:eastAsiaTheme="minorEastAsia" w:hAnsiTheme="minorHAnsi" w:cstheme="minorHAnsi"/>
          <w:color w:val="000000" w:themeColor="text1"/>
          <w:kern w:val="24"/>
          <w:szCs w:val="21"/>
        </w:rPr>
        <w:t>were receiving</w:t>
      </w:r>
      <w:r>
        <w:rPr>
          <w:rFonts w:asciiTheme="minorHAnsi" w:eastAsiaTheme="minorEastAsia" w:hAnsiTheme="minorHAnsi" w:cstheme="minorHAnsi"/>
          <w:color w:val="000000" w:themeColor="text1"/>
          <w:kern w:val="24"/>
          <w:szCs w:val="21"/>
        </w:rPr>
        <w:t xml:space="preserve"> an income support payment</w:t>
      </w:r>
      <w:r w:rsidR="00CE38A5" w:rsidRPr="003C37AA">
        <w:rPr>
          <w:rFonts w:asciiTheme="minorHAnsi" w:eastAsiaTheme="minorEastAsia" w:hAnsiTheme="minorHAnsi" w:cstheme="minorHAnsi"/>
          <w:color w:val="000000" w:themeColor="text1"/>
          <w:kern w:val="24"/>
          <w:szCs w:val="21"/>
        </w:rPr>
        <w:t>.</w:t>
      </w:r>
      <w:r w:rsidR="00DF79E2">
        <w:rPr>
          <w:rFonts w:asciiTheme="minorHAnsi" w:eastAsiaTheme="minorEastAsia" w:hAnsiTheme="minorHAnsi" w:cstheme="minorHAnsi"/>
          <w:color w:val="000000" w:themeColor="text1"/>
          <w:kern w:val="24"/>
          <w:szCs w:val="21"/>
        </w:rPr>
        <w:t xml:space="preserve"> A further 28% </w:t>
      </w:r>
      <w:r w:rsidR="00256E64">
        <w:rPr>
          <w:rFonts w:asciiTheme="minorHAnsi" w:eastAsiaTheme="minorEastAsia" w:hAnsiTheme="minorHAnsi" w:cstheme="minorHAnsi"/>
          <w:color w:val="000000" w:themeColor="text1"/>
          <w:kern w:val="24"/>
          <w:szCs w:val="21"/>
        </w:rPr>
        <w:t>received</w:t>
      </w:r>
      <w:r w:rsidR="00DF79E2">
        <w:rPr>
          <w:rFonts w:asciiTheme="minorHAnsi" w:eastAsiaTheme="minorEastAsia" w:hAnsiTheme="minorHAnsi" w:cstheme="minorHAnsi"/>
          <w:color w:val="000000" w:themeColor="text1"/>
          <w:kern w:val="24"/>
          <w:szCs w:val="21"/>
        </w:rPr>
        <w:t xml:space="preserve"> a supplementary family payment (</w:t>
      </w:r>
      <w:r w:rsidR="009C16E1">
        <w:rPr>
          <w:rFonts w:asciiTheme="minorHAnsi" w:eastAsiaTheme="minorEastAsia" w:hAnsiTheme="minorHAnsi" w:cstheme="minorHAnsi"/>
          <w:color w:val="000000" w:themeColor="text1"/>
          <w:kern w:val="24"/>
          <w:szCs w:val="21"/>
        </w:rPr>
        <w:t>such as</w:t>
      </w:r>
      <w:r w:rsidR="002F2026">
        <w:rPr>
          <w:rFonts w:asciiTheme="minorHAnsi" w:eastAsiaTheme="minorEastAsia" w:hAnsiTheme="minorHAnsi" w:cstheme="minorHAnsi"/>
          <w:color w:val="000000" w:themeColor="text1"/>
          <w:kern w:val="24"/>
          <w:szCs w:val="21"/>
        </w:rPr>
        <w:t xml:space="preserve"> FTB</w:t>
      </w:r>
      <w:r w:rsidR="00DF79E2">
        <w:rPr>
          <w:rFonts w:asciiTheme="minorHAnsi" w:eastAsiaTheme="minorEastAsia" w:hAnsiTheme="minorHAnsi" w:cstheme="minorHAnsi"/>
          <w:color w:val="000000" w:themeColor="text1"/>
          <w:kern w:val="24"/>
          <w:szCs w:val="21"/>
        </w:rPr>
        <w:t>, Child Care Subsid</w:t>
      </w:r>
      <w:r w:rsidR="00256E64">
        <w:rPr>
          <w:rFonts w:asciiTheme="minorHAnsi" w:eastAsiaTheme="minorEastAsia" w:hAnsiTheme="minorHAnsi" w:cstheme="minorHAnsi"/>
          <w:color w:val="000000" w:themeColor="text1"/>
          <w:kern w:val="24"/>
          <w:szCs w:val="21"/>
        </w:rPr>
        <w:t>y</w:t>
      </w:r>
      <w:r w:rsidR="009C16E1">
        <w:rPr>
          <w:rFonts w:asciiTheme="minorHAnsi" w:eastAsiaTheme="minorEastAsia" w:hAnsiTheme="minorHAnsi" w:cstheme="minorHAnsi"/>
          <w:color w:val="000000" w:themeColor="text1"/>
          <w:kern w:val="24"/>
          <w:szCs w:val="21"/>
        </w:rPr>
        <w:t xml:space="preserve"> and</w:t>
      </w:r>
      <w:r w:rsidR="00256E64">
        <w:rPr>
          <w:rFonts w:asciiTheme="minorHAnsi" w:eastAsiaTheme="minorEastAsia" w:hAnsiTheme="minorHAnsi" w:cstheme="minorHAnsi"/>
          <w:color w:val="000000" w:themeColor="text1"/>
          <w:kern w:val="24"/>
          <w:szCs w:val="21"/>
        </w:rPr>
        <w:t xml:space="preserve"> </w:t>
      </w:r>
      <w:r w:rsidR="00423116">
        <w:rPr>
          <w:rFonts w:asciiTheme="minorHAnsi" w:eastAsiaTheme="minorEastAsia" w:hAnsiTheme="minorHAnsi" w:cstheme="minorHAnsi"/>
          <w:color w:val="000000" w:themeColor="text1"/>
          <w:kern w:val="24"/>
          <w:szCs w:val="21"/>
        </w:rPr>
        <w:t xml:space="preserve">Paid </w:t>
      </w:r>
      <w:r w:rsidR="00256E64">
        <w:rPr>
          <w:rFonts w:asciiTheme="minorHAnsi" w:eastAsiaTheme="minorEastAsia" w:hAnsiTheme="minorHAnsi" w:cstheme="minorHAnsi"/>
          <w:color w:val="000000" w:themeColor="text1"/>
          <w:kern w:val="24"/>
          <w:szCs w:val="21"/>
        </w:rPr>
        <w:t>Parental Leave) in 2021</w:t>
      </w:r>
      <w:r w:rsidR="009F12CC">
        <w:rPr>
          <w:rFonts w:asciiTheme="minorHAnsi" w:eastAsiaTheme="minorEastAsia" w:hAnsiTheme="minorHAnsi" w:cstheme="minorHAnsi"/>
          <w:color w:val="000000" w:themeColor="text1"/>
          <w:kern w:val="24"/>
          <w:szCs w:val="21"/>
        </w:rPr>
        <w:t>–</w:t>
      </w:r>
      <w:r w:rsidR="00256E64">
        <w:rPr>
          <w:rFonts w:asciiTheme="minorHAnsi" w:eastAsiaTheme="minorEastAsia" w:hAnsiTheme="minorHAnsi" w:cstheme="minorHAnsi"/>
          <w:color w:val="000000" w:themeColor="text1"/>
          <w:kern w:val="24"/>
          <w:szCs w:val="21"/>
        </w:rPr>
        <w:t>22</w:t>
      </w:r>
      <w:r w:rsidR="00DF79E2">
        <w:rPr>
          <w:rFonts w:asciiTheme="minorHAnsi" w:eastAsiaTheme="minorEastAsia" w:hAnsiTheme="minorHAnsi" w:cstheme="minorHAnsi"/>
          <w:color w:val="000000" w:themeColor="text1"/>
          <w:kern w:val="24"/>
          <w:szCs w:val="21"/>
        </w:rPr>
        <w:t xml:space="preserve">. </w:t>
      </w:r>
      <w:r w:rsidR="00974E99">
        <w:rPr>
          <w:rFonts w:asciiTheme="minorHAnsi" w:eastAsiaTheme="minorEastAsia" w:hAnsiTheme="minorHAnsi" w:cstheme="minorHAnsi"/>
          <w:color w:val="000000" w:themeColor="text1"/>
          <w:kern w:val="24"/>
          <w:szCs w:val="21"/>
        </w:rPr>
        <w:t xml:space="preserve">People receiving </w:t>
      </w:r>
      <w:r w:rsidR="00035FBC">
        <w:rPr>
          <w:rFonts w:asciiTheme="minorHAnsi" w:eastAsiaTheme="minorEastAsia" w:hAnsiTheme="minorHAnsi" w:cstheme="minorHAnsi"/>
          <w:color w:val="000000" w:themeColor="text1"/>
          <w:kern w:val="24"/>
          <w:szCs w:val="21"/>
        </w:rPr>
        <w:t xml:space="preserve">Parenting Payment are expected </w:t>
      </w:r>
      <w:r w:rsidR="004C4595">
        <w:rPr>
          <w:rFonts w:asciiTheme="minorHAnsi" w:eastAsiaTheme="minorEastAsia" w:hAnsiTheme="minorHAnsi" w:cstheme="minorHAnsi"/>
          <w:color w:val="000000" w:themeColor="text1"/>
          <w:kern w:val="24"/>
          <w:szCs w:val="21"/>
        </w:rPr>
        <w:t xml:space="preserve">to </w:t>
      </w:r>
      <w:r w:rsidR="00AD40A6">
        <w:rPr>
          <w:rFonts w:asciiTheme="minorHAnsi" w:eastAsiaTheme="minorEastAsia" w:hAnsiTheme="minorHAnsi" w:cstheme="minorHAnsi"/>
          <w:color w:val="000000" w:themeColor="text1"/>
          <w:kern w:val="24"/>
          <w:szCs w:val="21"/>
        </w:rPr>
        <w:t>use</w:t>
      </w:r>
      <w:r w:rsidR="00035FBC">
        <w:rPr>
          <w:rFonts w:asciiTheme="minorHAnsi" w:eastAsiaTheme="minorEastAsia" w:hAnsiTheme="minorHAnsi" w:cstheme="minorHAnsi"/>
          <w:color w:val="000000" w:themeColor="text1"/>
          <w:kern w:val="24"/>
          <w:szCs w:val="21"/>
        </w:rPr>
        <w:t xml:space="preserve"> income </w:t>
      </w:r>
      <w:r w:rsidR="00035FBC">
        <w:rPr>
          <w:rFonts w:asciiTheme="minorHAnsi" w:eastAsiaTheme="minorEastAsia" w:hAnsiTheme="minorHAnsi" w:cstheme="minorHAnsi"/>
          <w:color w:val="000000" w:themeColor="text1"/>
          <w:kern w:val="24"/>
          <w:szCs w:val="21"/>
        </w:rPr>
        <w:lastRenderedPageBreak/>
        <w:t>support for 3.5 of the next 5</w:t>
      </w:r>
      <w:r w:rsidR="00E46C6A">
        <w:rPr>
          <w:rFonts w:asciiTheme="minorHAnsi" w:eastAsiaTheme="minorEastAsia" w:hAnsiTheme="minorHAnsi" w:cstheme="minorHAnsi"/>
          <w:color w:val="000000" w:themeColor="text1"/>
          <w:kern w:val="24"/>
          <w:szCs w:val="21"/>
        </w:rPr>
        <w:t> year</w:t>
      </w:r>
      <w:r w:rsidR="00035FBC">
        <w:rPr>
          <w:rFonts w:asciiTheme="minorHAnsi" w:eastAsiaTheme="minorEastAsia" w:hAnsiTheme="minorHAnsi" w:cstheme="minorHAnsi"/>
          <w:color w:val="000000" w:themeColor="text1"/>
          <w:kern w:val="24"/>
          <w:szCs w:val="21"/>
        </w:rPr>
        <w:t xml:space="preserve">s, </w:t>
      </w:r>
      <w:r w:rsidR="004C4595">
        <w:rPr>
          <w:rFonts w:asciiTheme="minorHAnsi" w:eastAsiaTheme="minorEastAsia" w:hAnsiTheme="minorHAnsi" w:cstheme="minorHAnsi"/>
          <w:color w:val="000000" w:themeColor="text1"/>
          <w:kern w:val="24"/>
          <w:szCs w:val="21"/>
        </w:rPr>
        <w:t xml:space="preserve">while </w:t>
      </w:r>
      <w:r w:rsidR="00035FBC">
        <w:rPr>
          <w:rFonts w:asciiTheme="minorHAnsi" w:eastAsiaTheme="minorEastAsia" w:hAnsiTheme="minorHAnsi" w:cstheme="minorHAnsi"/>
          <w:color w:val="000000" w:themeColor="text1"/>
          <w:kern w:val="24"/>
          <w:szCs w:val="21"/>
        </w:rPr>
        <w:t xml:space="preserve">parents or guardians who are not on income support are expected to </w:t>
      </w:r>
      <w:r w:rsidR="00AD40A6">
        <w:rPr>
          <w:rFonts w:asciiTheme="minorHAnsi" w:eastAsiaTheme="minorEastAsia" w:hAnsiTheme="minorHAnsi" w:cstheme="minorHAnsi"/>
          <w:color w:val="000000" w:themeColor="text1"/>
          <w:kern w:val="24"/>
          <w:szCs w:val="21"/>
        </w:rPr>
        <w:t>use</w:t>
      </w:r>
      <w:r w:rsidR="00035FBC">
        <w:rPr>
          <w:rFonts w:asciiTheme="minorHAnsi" w:eastAsiaTheme="minorEastAsia" w:hAnsiTheme="minorHAnsi" w:cstheme="minorHAnsi"/>
          <w:color w:val="000000" w:themeColor="text1"/>
          <w:kern w:val="24"/>
          <w:szCs w:val="21"/>
        </w:rPr>
        <w:t xml:space="preserve"> income support for </w:t>
      </w:r>
      <w:r w:rsidR="004C4595">
        <w:rPr>
          <w:rFonts w:asciiTheme="minorHAnsi" w:eastAsiaTheme="minorEastAsia" w:hAnsiTheme="minorHAnsi" w:cstheme="minorHAnsi"/>
          <w:color w:val="000000" w:themeColor="text1"/>
          <w:kern w:val="24"/>
          <w:szCs w:val="21"/>
        </w:rPr>
        <w:t>only</w:t>
      </w:r>
      <w:r w:rsidR="00035FBC">
        <w:rPr>
          <w:rFonts w:asciiTheme="minorHAnsi" w:eastAsiaTheme="minorEastAsia" w:hAnsiTheme="minorHAnsi" w:cstheme="minorHAnsi"/>
          <w:color w:val="000000" w:themeColor="text1"/>
          <w:kern w:val="24"/>
          <w:szCs w:val="21"/>
        </w:rPr>
        <w:t xml:space="preserve"> 0.2</w:t>
      </w:r>
      <w:r w:rsidR="00E46C6A">
        <w:rPr>
          <w:rFonts w:asciiTheme="minorHAnsi" w:eastAsiaTheme="minorEastAsia" w:hAnsiTheme="minorHAnsi" w:cstheme="minorHAnsi"/>
          <w:color w:val="000000" w:themeColor="text1"/>
          <w:kern w:val="24"/>
          <w:szCs w:val="21"/>
        </w:rPr>
        <w:t> year</w:t>
      </w:r>
      <w:r w:rsidR="00035FBC">
        <w:rPr>
          <w:rFonts w:asciiTheme="minorHAnsi" w:eastAsiaTheme="minorEastAsia" w:hAnsiTheme="minorHAnsi" w:cstheme="minorHAnsi"/>
          <w:color w:val="000000" w:themeColor="text1"/>
          <w:kern w:val="24"/>
          <w:szCs w:val="21"/>
        </w:rPr>
        <w:t>s or less.</w:t>
      </w:r>
    </w:p>
    <w:p w14:paraId="38A0E995" w14:textId="0B26A6D8" w:rsidR="00B64E89" w:rsidRDefault="00EC2191" w:rsidP="006E301F">
      <w:pPr>
        <w:rPr>
          <w:rFonts w:asciiTheme="minorHAnsi" w:eastAsiaTheme="minorEastAsia" w:hAnsiTheme="minorHAnsi" w:cstheme="minorHAnsi"/>
          <w:color w:val="000000" w:themeColor="text1"/>
          <w:kern w:val="24"/>
          <w:szCs w:val="21"/>
        </w:rPr>
      </w:pPr>
      <w:r>
        <w:rPr>
          <w:rFonts w:asciiTheme="minorHAnsi" w:eastAsiaTheme="minorEastAsia" w:hAnsiTheme="minorHAnsi" w:cstheme="minorHAnsi"/>
          <w:color w:val="000000" w:themeColor="text1"/>
          <w:kern w:val="24"/>
          <w:szCs w:val="21"/>
        </w:rPr>
        <w:t>There were</w:t>
      </w:r>
      <w:r w:rsidR="00CE38A5" w:rsidRPr="003C37AA">
        <w:rPr>
          <w:rFonts w:asciiTheme="minorHAnsi" w:eastAsiaTheme="minorEastAsia" w:hAnsiTheme="minorHAnsi" w:cstheme="minorHAnsi"/>
          <w:color w:val="000000" w:themeColor="text1"/>
          <w:kern w:val="24"/>
          <w:szCs w:val="21"/>
        </w:rPr>
        <w:t xml:space="preserve"> </w:t>
      </w:r>
      <w:r>
        <w:rPr>
          <w:rFonts w:asciiTheme="minorHAnsi" w:eastAsiaTheme="minorEastAsia" w:hAnsiTheme="minorHAnsi" w:cstheme="minorHAnsi"/>
          <w:color w:val="000000" w:themeColor="text1"/>
          <w:kern w:val="24"/>
          <w:szCs w:val="21"/>
        </w:rPr>
        <w:t>648</w:t>
      </w:r>
      <w:r w:rsidR="00CE38A5" w:rsidRPr="003C37AA">
        <w:rPr>
          <w:rFonts w:asciiTheme="minorHAnsi" w:eastAsiaTheme="minorEastAsia" w:hAnsiTheme="minorHAnsi" w:cstheme="minorHAnsi"/>
          <w:color w:val="000000" w:themeColor="text1"/>
          <w:kern w:val="24"/>
          <w:szCs w:val="21"/>
        </w:rPr>
        <w:t xml:space="preserve">,000 Australians </w:t>
      </w:r>
      <w:r>
        <w:rPr>
          <w:rFonts w:asciiTheme="minorHAnsi" w:eastAsiaTheme="minorEastAsia" w:hAnsiTheme="minorHAnsi" w:cstheme="minorHAnsi"/>
          <w:color w:val="000000" w:themeColor="text1"/>
          <w:kern w:val="24"/>
          <w:szCs w:val="21"/>
        </w:rPr>
        <w:t>receiving a payment to support caring at 30</w:t>
      </w:r>
      <w:r w:rsidR="00E46C6A">
        <w:rPr>
          <w:rFonts w:asciiTheme="minorHAnsi" w:eastAsiaTheme="minorEastAsia" w:hAnsiTheme="minorHAnsi" w:cstheme="minorHAnsi"/>
          <w:color w:val="000000" w:themeColor="text1"/>
          <w:kern w:val="24"/>
          <w:szCs w:val="21"/>
        </w:rPr>
        <w:t> June </w:t>
      </w:r>
      <w:r>
        <w:rPr>
          <w:rFonts w:asciiTheme="minorHAnsi" w:eastAsiaTheme="minorEastAsia" w:hAnsiTheme="minorHAnsi" w:cstheme="minorHAnsi"/>
          <w:color w:val="000000" w:themeColor="text1"/>
          <w:kern w:val="24"/>
          <w:szCs w:val="21"/>
        </w:rPr>
        <w:t>2022</w:t>
      </w:r>
      <w:r w:rsidR="00CE38A5" w:rsidRPr="003C37AA">
        <w:rPr>
          <w:rFonts w:asciiTheme="minorHAnsi" w:eastAsiaTheme="minorEastAsia" w:hAnsiTheme="minorHAnsi" w:cstheme="minorHAnsi"/>
          <w:color w:val="000000" w:themeColor="text1"/>
          <w:kern w:val="24"/>
          <w:szCs w:val="21"/>
        </w:rPr>
        <w:t xml:space="preserve">. </w:t>
      </w:r>
      <w:r w:rsidR="001F6BC4">
        <w:rPr>
          <w:rFonts w:asciiTheme="minorHAnsi" w:eastAsiaTheme="minorEastAsia" w:hAnsiTheme="minorHAnsi" w:cstheme="minorHAnsi"/>
          <w:color w:val="000000" w:themeColor="text1"/>
          <w:kern w:val="24"/>
          <w:szCs w:val="21"/>
        </w:rPr>
        <w:t xml:space="preserve">Older carers are </w:t>
      </w:r>
      <w:r w:rsidR="009727A0">
        <w:rPr>
          <w:rFonts w:asciiTheme="minorHAnsi" w:eastAsiaTheme="minorEastAsia" w:hAnsiTheme="minorHAnsi" w:cstheme="minorHAnsi"/>
          <w:color w:val="000000" w:themeColor="text1"/>
          <w:kern w:val="24"/>
          <w:szCs w:val="21"/>
        </w:rPr>
        <w:t>p</w:t>
      </w:r>
      <w:r w:rsidR="00F67E8B">
        <w:rPr>
          <w:rFonts w:asciiTheme="minorHAnsi" w:eastAsiaTheme="minorEastAsia" w:hAnsiTheme="minorHAnsi" w:cstheme="minorHAnsi"/>
          <w:color w:val="000000" w:themeColor="text1"/>
          <w:kern w:val="24"/>
          <w:szCs w:val="21"/>
        </w:rPr>
        <w:t>rojected</w:t>
      </w:r>
      <w:r>
        <w:rPr>
          <w:rFonts w:asciiTheme="minorHAnsi" w:eastAsiaTheme="minorEastAsia" w:hAnsiTheme="minorHAnsi" w:cstheme="minorHAnsi"/>
          <w:color w:val="000000" w:themeColor="text1"/>
          <w:kern w:val="24"/>
          <w:szCs w:val="21"/>
        </w:rPr>
        <w:t xml:space="preserve"> </w:t>
      </w:r>
      <w:r w:rsidR="001F6BC4">
        <w:rPr>
          <w:rFonts w:asciiTheme="minorHAnsi" w:eastAsiaTheme="minorEastAsia" w:hAnsiTheme="minorHAnsi" w:cstheme="minorHAnsi"/>
          <w:color w:val="000000" w:themeColor="text1"/>
          <w:kern w:val="24"/>
          <w:szCs w:val="21"/>
        </w:rPr>
        <w:t>to spend more time on income support than younger carers</w:t>
      </w:r>
      <w:r w:rsidR="004C4595">
        <w:rPr>
          <w:rFonts w:asciiTheme="minorHAnsi" w:eastAsiaTheme="minorEastAsia" w:hAnsiTheme="minorHAnsi" w:cstheme="minorHAnsi"/>
          <w:color w:val="000000" w:themeColor="text1"/>
          <w:kern w:val="24"/>
          <w:szCs w:val="21"/>
        </w:rPr>
        <w:t>.</w:t>
      </w:r>
      <w:r w:rsidR="001F6BC4">
        <w:rPr>
          <w:rFonts w:asciiTheme="minorHAnsi" w:eastAsiaTheme="minorEastAsia" w:hAnsiTheme="minorHAnsi" w:cstheme="minorHAnsi"/>
          <w:color w:val="000000" w:themeColor="text1"/>
          <w:kern w:val="24"/>
          <w:szCs w:val="21"/>
        </w:rPr>
        <w:t xml:space="preserve"> </w:t>
      </w:r>
      <w:r w:rsidR="00974E99">
        <w:rPr>
          <w:rFonts w:asciiTheme="minorHAnsi" w:eastAsiaTheme="minorEastAsia" w:hAnsiTheme="minorHAnsi" w:cstheme="minorHAnsi"/>
          <w:color w:val="000000" w:themeColor="text1"/>
          <w:kern w:val="24"/>
          <w:szCs w:val="21"/>
        </w:rPr>
        <w:t xml:space="preserve">People receiving </w:t>
      </w:r>
      <w:r w:rsidR="001F6BC4">
        <w:rPr>
          <w:rFonts w:asciiTheme="minorHAnsi" w:eastAsiaTheme="minorEastAsia" w:hAnsiTheme="minorHAnsi" w:cstheme="minorHAnsi"/>
          <w:color w:val="000000" w:themeColor="text1"/>
          <w:kern w:val="24"/>
          <w:szCs w:val="21"/>
        </w:rPr>
        <w:t xml:space="preserve">Carer </w:t>
      </w:r>
      <w:r w:rsidR="004C4595">
        <w:rPr>
          <w:rFonts w:asciiTheme="minorHAnsi" w:eastAsiaTheme="minorEastAsia" w:hAnsiTheme="minorHAnsi" w:cstheme="minorHAnsi"/>
          <w:color w:val="000000" w:themeColor="text1"/>
          <w:kern w:val="24"/>
          <w:szCs w:val="21"/>
        </w:rPr>
        <w:t>P</w:t>
      </w:r>
      <w:r w:rsidR="001F6BC4">
        <w:rPr>
          <w:rFonts w:asciiTheme="minorHAnsi" w:eastAsiaTheme="minorEastAsia" w:hAnsiTheme="minorHAnsi" w:cstheme="minorHAnsi"/>
          <w:color w:val="000000" w:themeColor="text1"/>
          <w:kern w:val="24"/>
          <w:szCs w:val="21"/>
        </w:rPr>
        <w:t>ayment in their 50s are expected to spend 4.5 of the next 5</w:t>
      </w:r>
      <w:r w:rsidR="00E46C6A">
        <w:rPr>
          <w:rFonts w:asciiTheme="minorHAnsi" w:eastAsiaTheme="minorEastAsia" w:hAnsiTheme="minorHAnsi" w:cstheme="minorHAnsi"/>
          <w:color w:val="000000" w:themeColor="text1"/>
          <w:kern w:val="24"/>
          <w:szCs w:val="21"/>
        </w:rPr>
        <w:t> year</w:t>
      </w:r>
      <w:r w:rsidR="001F6BC4">
        <w:rPr>
          <w:rFonts w:asciiTheme="minorHAnsi" w:eastAsiaTheme="minorEastAsia" w:hAnsiTheme="minorHAnsi" w:cstheme="minorHAnsi"/>
          <w:color w:val="000000" w:themeColor="text1"/>
          <w:kern w:val="24"/>
          <w:szCs w:val="21"/>
        </w:rPr>
        <w:t>s on income support</w:t>
      </w:r>
      <w:r w:rsidR="004C4595">
        <w:rPr>
          <w:rFonts w:asciiTheme="minorHAnsi" w:eastAsiaTheme="minorEastAsia" w:hAnsiTheme="minorHAnsi" w:cstheme="minorHAnsi"/>
          <w:color w:val="000000" w:themeColor="text1"/>
          <w:kern w:val="24"/>
          <w:szCs w:val="21"/>
        </w:rPr>
        <w:t>,</w:t>
      </w:r>
      <w:r w:rsidR="001F6BC4">
        <w:rPr>
          <w:rFonts w:asciiTheme="minorHAnsi" w:eastAsiaTheme="minorEastAsia" w:hAnsiTheme="minorHAnsi" w:cstheme="minorHAnsi"/>
          <w:color w:val="000000" w:themeColor="text1"/>
          <w:kern w:val="24"/>
          <w:szCs w:val="21"/>
        </w:rPr>
        <w:t xml:space="preserve"> compared to only 3.6</w:t>
      </w:r>
      <w:r w:rsidR="00E46C6A">
        <w:rPr>
          <w:rFonts w:asciiTheme="minorHAnsi" w:eastAsiaTheme="minorEastAsia" w:hAnsiTheme="minorHAnsi" w:cstheme="minorHAnsi"/>
          <w:color w:val="000000" w:themeColor="text1"/>
          <w:kern w:val="24"/>
          <w:szCs w:val="21"/>
        </w:rPr>
        <w:t> year</w:t>
      </w:r>
      <w:r w:rsidR="001F6BC4">
        <w:rPr>
          <w:rFonts w:asciiTheme="minorHAnsi" w:eastAsiaTheme="minorEastAsia" w:hAnsiTheme="minorHAnsi" w:cstheme="minorHAnsi"/>
          <w:color w:val="000000" w:themeColor="text1"/>
          <w:kern w:val="24"/>
          <w:szCs w:val="21"/>
        </w:rPr>
        <w:t xml:space="preserve">s for </w:t>
      </w:r>
      <w:r w:rsidR="00974E99">
        <w:rPr>
          <w:rFonts w:asciiTheme="minorHAnsi" w:eastAsiaTheme="minorEastAsia" w:hAnsiTheme="minorHAnsi" w:cstheme="minorHAnsi"/>
          <w:color w:val="000000" w:themeColor="text1"/>
          <w:kern w:val="24"/>
          <w:szCs w:val="21"/>
        </w:rPr>
        <w:t>people receiving Carer Payment</w:t>
      </w:r>
      <w:r w:rsidR="001F6BC4">
        <w:rPr>
          <w:rFonts w:asciiTheme="minorHAnsi" w:eastAsiaTheme="minorEastAsia" w:hAnsiTheme="minorHAnsi" w:cstheme="minorHAnsi"/>
          <w:color w:val="000000" w:themeColor="text1"/>
          <w:kern w:val="24"/>
          <w:szCs w:val="21"/>
        </w:rPr>
        <w:t xml:space="preserve"> aged under 20.</w:t>
      </w:r>
    </w:p>
    <w:p w14:paraId="09DBA9B8" w14:textId="6B7928E2" w:rsidR="0025212E" w:rsidRPr="003C37AA" w:rsidRDefault="0025212E" w:rsidP="006E301F">
      <w:pPr>
        <w:rPr>
          <w:rFonts w:asciiTheme="minorHAnsi" w:eastAsiaTheme="minorEastAsia" w:hAnsiTheme="minorHAnsi" w:cstheme="minorHAnsi"/>
          <w:color w:val="000000" w:themeColor="text1"/>
          <w:kern w:val="24"/>
          <w:szCs w:val="21"/>
        </w:rPr>
      </w:pPr>
      <w:r>
        <w:rPr>
          <w:rFonts w:asciiTheme="minorHAnsi" w:eastAsiaTheme="minorEastAsia" w:hAnsiTheme="minorHAnsi" w:cstheme="minorHAnsi"/>
          <w:color w:val="000000" w:themeColor="text1"/>
          <w:kern w:val="24"/>
          <w:szCs w:val="21"/>
        </w:rPr>
        <w:t>At 30</w:t>
      </w:r>
      <w:r w:rsidR="00E46C6A">
        <w:rPr>
          <w:rFonts w:asciiTheme="minorHAnsi" w:eastAsiaTheme="minorEastAsia" w:hAnsiTheme="minorHAnsi" w:cstheme="minorHAnsi"/>
          <w:color w:val="000000" w:themeColor="text1"/>
          <w:kern w:val="24"/>
          <w:szCs w:val="21"/>
        </w:rPr>
        <w:t> June </w:t>
      </w:r>
      <w:r>
        <w:rPr>
          <w:rFonts w:asciiTheme="minorHAnsi" w:eastAsiaTheme="minorEastAsia" w:hAnsiTheme="minorHAnsi" w:cstheme="minorHAnsi"/>
          <w:color w:val="000000" w:themeColor="text1"/>
          <w:kern w:val="24"/>
          <w:szCs w:val="21"/>
        </w:rPr>
        <w:t>2022</w:t>
      </w:r>
      <w:r w:rsidRPr="00021B00">
        <w:rPr>
          <w:rFonts w:asciiTheme="minorHAnsi" w:eastAsiaTheme="minorEastAsia" w:hAnsiTheme="minorHAnsi" w:cstheme="minorHAnsi"/>
          <w:color w:val="000000" w:themeColor="text1"/>
          <w:kern w:val="24"/>
          <w:szCs w:val="21"/>
        </w:rPr>
        <w:t xml:space="preserve">, </w:t>
      </w:r>
      <w:r>
        <w:rPr>
          <w:rFonts w:asciiTheme="minorHAnsi" w:eastAsiaTheme="minorEastAsia" w:hAnsiTheme="minorHAnsi" w:cstheme="minorHAnsi"/>
          <w:color w:val="000000" w:themeColor="text1"/>
          <w:kern w:val="24"/>
          <w:szCs w:val="21"/>
        </w:rPr>
        <w:t>758,000</w:t>
      </w:r>
      <w:r w:rsidRPr="00021B00">
        <w:rPr>
          <w:rFonts w:asciiTheme="minorHAnsi" w:eastAsiaTheme="minorEastAsia" w:hAnsiTheme="minorHAnsi" w:cstheme="minorHAnsi"/>
          <w:color w:val="000000" w:themeColor="text1"/>
          <w:kern w:val="24"/>
          <w:szCs w:val="21"/>
        </w:rPr>
        <w:t xml:space="preserve"> Australians </w:t>
      </w:r>
      <w:r>
        <w:rPr>
          <w:rFonts w:asciiTheme="minorHAnsi" w:eastAsiaTheme="minorEastAsia" w:hAnsiTheme="minorHAnsi" w:cstheme="minorHAnsi"/>
          <w:color w:val="000000" w:themeColor="text1"/>
          <w:kern w:val="24"/>
          <w:szCs w:val="21"/>
        </w:rPr>
        <w:t xml:space="preserve">were receiving </w:t>
      </w:r>
      <w:r w:rsidRPr="00021B00">
        <w:rPr>
          <w:rFonts w:asciiTheme="minorHAnsi" w:eastAsiaTheme="minorEastAsia" w:hAnsiTheme="minorHAnsi" w:cstheme="minorHAnsi"/>
          <w:color w:val="000000" w:themeColor="text1"/>
          <w:kern w:val="24"/>
          <w:szCs w:val="21"/>
        </w:rPr>
        <w:t xml:space="preserve">DSP. </w:t>
      </w:r>
      <w:r>
        <w:rPr>
          <w:rFonts w:asciiTheme="minorHAnsi" w:eastAsiaTheme="minorEastAsia" w:hAnsiTheme="minorHAnsi" w:cstheme="minorHAnsi"/>
          <w:color w:val="000000" w:themeColor="text1"/>
          <w:kern w:val="24"/>
          <w:szCs w:val="21"/>
        </w:rPr>
        <w:t>Often,</w:t>
      </w:r>
      <w:r w:rsidRPr="00021B00">
        <w:rPr>
          <w:rFonts w:asciiTheme="minorHAnsi" w:eastAsiaTheme="minorEastAsia" w:hAnsiTheme="minorHAnsi" w:cstheme="minorHAnsi"/>
          <w:color w:val="000000" w:themeColor="text1"/>
          <w:kern w:val="24"/>
          <w:szCs w:val="21"/>
        </w:rPr>
        <w:t xml:space="preserve"> DSP </w:t>
      </w:r>
      <w:r>
        <w:rPr>
          <w:rFonts w:asciiTheme="minorHAnsi" w:eastAsiaTheme="minorEastAsia" w:hAnsiTheme="minorHAnsi" w:cstheme="minorHAnsi"/>
          <w:color w:val="000000" w:themeColor="text1"/>
          <w:kern w:val="24"/>
          <w:szCs w:val="21"/>
        </w:rPr>
        <w:t>provides</w:t>
      </w:r>
      <w:r w:rsidRPr="00021B00">
        <w:rPr>
          <w:rFonts w:asciiTheme="minorHAnsi" w:eastAsiaTheme="minorEastAsia" w:hAnsiTheme="minorHAnsi" w:cstheme="minorHAnsi"/>
          <w:color w:val="000000" w:themeColor="text1"/>
          <w:kern w:val="24"/>
          <w:szCs w:val="21"/>
        </w:rPr>
        <w:t xml:space="preserve"> income support </w:t>
      </w:r>
      <w:r>
        <w:rPr>
          <w:rFonts w:asciiTheme="minorHAnsi" w:eastAsiaTheme="minorEastAsia" w:hAnsiTheme="minorHAnsi" w:cstheme="minorHAnsi"/>
          <w:color w:val="000000" w:themeColor="text1"/>
          <w:kern w:val="24"/>
          <w:szCs w:val="21"/>
        </w:rPr>
        <w:t>over the long term, with</w:t>
      </w:r>
      <w:r w:rsidRPr="00021B00">
        <w:rPr>
          <w:rFonts w:asciiTheme="minorHAnsi" w:eastAsiaTheme="minorEastAsia" w:hAnsiTheme="minorHAnsi" w:cstheme="minorHAnsi"/>
          <w:color w:val="000000" w:themeColor="text1"/>
          <w:kern w:val="24"/>
          <w:szCs w:val="21"/>
        </w:rPr>
        <w:t xml:space="preserve"> </w:t>
      </w:r>
      <w:r>
        <w:rPr>
          <w:rFonts w:asciiTheme="minorHAnsi" w:eastAsiaTheme="minorEastAsia" w:hAnsiTheme="minorHAnsi" w:cstheme="minorHAnsi"/>
          <w:color w:val="000000" w:themeColor="text1"/>
          <w:kern w:val="24"/>
          <w:szCs w:val="21"/>
        </w:rPr>
        <w:t>93</w:t>
      </w:r>
      <w:r w:rsidRPr="00021B00">
        <w:rPr>
          <w:rFonts w:asciiTheme="minorHAnsi" w:eastAsiaTheme="minorEastAsia" w:hAnsiTheme="minorHAnsi" w:cstheme="minorHAnsi"/>
          <w:color w:val="000000" w:themeColor="text1"/>
          <w:kern w:val="24"/>
          <w:szCs w:val="21"/>
        </w:rPr>
        <w:t xml:space="preserve">% of </w:t>
      </w:r>
      <w:r w:rsidR="00974E99">
        <w:rPr>
          <w:rFonts w:asciiTheme="minorHAnsi" w:eastAsiaTheme="minorEastAsia" w:hAnsiTheme="minorHAnsi" w:cstheme="minorHAnsi"/>
          <w:color w:val="000000" w:themeColor="text1"/>
          <w:kern w:val="24"/>
          <w:szCs w:val="21"/>
        </w:rPr>
        <w:t xml:space="preserve">people </w:t>
      </w:r>
      <w:r w:rsidRPr="00021B00">
        <w:rPr>
          <w:rFonts w:asciiTheme="minorHAnsi" w:eastAsiaTheme="minorEastAsia" w:hAnsiTheme="minorHAnsi" w:cstheme="minorHAnsi"/>
          <w:color w:val="000000" w:themeColor="text1"/>
          <w:kern w:val="24"/>
          <w:szCs w:val="21"/>
        </w:rPr>
        <w:t>current</w:t>
      </w:r>
      <w:r w:rsidR="00974E99">
        <w:rPr>
          <w:rFonts w:asciiTheme="minorHAnsi" w:eastAsiaTheme="minorEastAsia" w:hAnsiTheme="minorHAnsi" w:cstheme="minorHAnsi"/>
          <w:color w:val="000000" w:themeColor="text1"/>
          <w:kern w:val="24"/>
          <w:szCs w:val="21"/>
        </w:rPr>
        <w:t>ly receiving</w:t>
      </w:r>
      <w:r w:rsidRPr="00021B00">
        <w:rPr>
          <w:rFonts w:asciiTheme="minorHAnsi" w:eastAsiaTheme="minorEastAsia" w:hAnsiTheme="minorHAnsi" w:cstheme="minorHAnsi"/>
          <w:color w:val="000000" w:themeColor="text1"/>
          <w:kern w:val="24"/>
          <w:szCs w:val="21"/>
        </w:rPr>
        <w:t xml:space="preserve"> DSP projected to stay on DSP until </w:t>
      </w:r>
      <w:r w:rsidR="00FD0B5B">
        <w:rPr>
          <w:rFonts w:asciiTheme="minorHAnsi" w:eastAsiaTheme="minorEastAsia" w:hAnsiTheme="minorHAnsi" w:cstheme="minorHAnsi"/>
          <w:color w:val="000000" w:themeColor="text1"/>
          <w:kern w:val="24"/>
          <w:szCs w:val="21"/>
        </w:rPr>
        <w:t xml:space="preserve">they reach </w:t>
      </w:r>
      <w:r>
        <w:rPr>
          <w:rFonts w:asciiTheme="minorHAnsi" w:eastAsiaTheme="minorEastAsia" w:hAnsiTheme="minorHAnsi" w:cstheme="minorHAnsi"/>
          <w:color w:val="000000" w:themeColor="text1"/>
          <w:kern w:val="24"/>
          <w:szCs w:val="21"/>
        </w:rPr>
        <w:t>retirement</w:t>
      </w:r>
      <w:r w:rsidRPr="00021B00">
        <w:rPr>
          <w:rFonts w:asciiTheme="minorHAnsi" w:eastAsiaTheme="minorEastAsia" w:hAnsiTheme="minorHAnsi" w:cstheme="minorHAnsi"/>
          <w:color w:val="000000" w:themeColor="text1"/>
          <w:kern w:val="24"/>
          <w:szCs w:val="21"/>
        </w:rPr>
        <w:t xml:space="preserve"> age</w:t>
      </w:r>
      <w:r w:rsidR="004C4595">
        <w:rPr>
          <w:rFonts w:asciiTheme="minorHAnsi" w:eastAsiaTheme="minorEastAsia" w:hAnsiTheme="minorHAnsi" w:cstheme="minorHAnsi"/>
          <w:color w:val="000000" w:themeColor="text1"/>
          <w:kern w:val="24"/>
          <w:szCs w:val="21"/>
        </w:rPr>
        <w:t xml:space="preserve"> or for the remainder of their life</w:t>
      </w:r>
      <w:r w:rsidRPr="00021B00">
        <w:rPr>
          <w:rFonts w:asciiTheme="minorHAnsi" w:eastAsiaTheme="minorEastAsia" w:hAnsiTheme="minorHAnsi" w:cstheme="minorHAnsi"/>
          <w:color w:val="000000" w:themeColor="text1"/>
          <w:kern w:val="24"/>
          <w:szCs w:val="21"/>
        </w:rPr>
        <w:t>.</w:t>
      </w:r>
    </w:p>
    <w:p w14:paraId="58D84AA2" w14:textId="77777777" w:rsidR="00D955D4" w:rsidRDefault="00D955D4" w:rsidP="006E301F">
      <w:pPr>
        <w:rPr>
          <w:rFonts w:asciiTheme="minorHAnsi" w:eastAsiaTheme="minorEastAsia" w:hAnsiTheme="minorHAnsi" w:cstheme="minorHAnsi"/>
          <w:color w:val="000000" w:themeColor="text1"/>
          <w:kern w:val="24"/>
          <w:szCs w:val="21"/>
        </w:rPr>
      </w:pPr>
      <w:r>
        <w:rPr>
          <w:rFonts w:asciiTheme="minorHAnsi" w:eastAsiaTheme="minorEastAsia" w:hAnsiTheme="minorHAnsi" w:cstheme="minorHAnsi"/>
          <w:color w:val="000000" w:themeColor="text1"/>
          <w:kern w:val="24"/>
          <w:szCs w:val="21"/>
        </w:rPr>
        <w:t>This report provides an analysis of current trends and future predicted use of the social security system. The analysis examines key life stages, including:</w:t>
      </w:r>
    </w:p>
    <w:p w14:paraId="7CB4139F" w14:textId="4D2DCD68" w:rsidR="00D955D4" w:rsidRDefault="00D955D4" w:rsidP="00E37F73">
      <w:pPr>
        <w:pStyle w:val="Bullet"/>
        <w:rPr>
          <w:rFonts w:eastAsiaTheme="minorEastAsia"/>
        </w:rPr>
      </w:pPr>
      <w:r>
        <w:rPr>
          <w:rFonts w:eastAsiaTheme="minorEastAsia"/>
        </w:rPr>
        <w:t>Childhood (under 18</w:t>
      </w:r>
      <w:r w:rsidR="00E46C6A">
        <w:rPr>
          <w:rFonts w:eastAsiaTheme="minorEastAsia"/>
        </w:rPr>
        <w:t> year</w:t>
      </w:r>
      <w:r>
        <w:rPr>
          <w:rFonts w:eastAsiaTheme="minorEastAsia"/>
        </w:rPr>
        <w:t>s)</w:t>
      </w:r>
    </w:p>
    <w:p w14:paraId="2361B4BF" w14:textId="77777777" w:rsidR="00D955D4" w:rsidRDefault="00D955D4" w:rsidP="00E37F73">
      <w:pPr>
        <w:pStyle w:val="Bullet"/>
        <w:rPr>
          <w:rFonts w:eastAsiaTheme="minorEastAsia"/>
        </w:rPr>
      </w:pPr>
      <w:r>
        <w:rPr>
          <w:rFonts w:eastAsiaTheme="minorEastAsia"/>
        </w:rPr>
        <w:t>Young adults (18 to 21)</w:t>
      </w:r>
    </w:p>
    <w:p w14:paraId="765FD222" w14:textId="77777777" w:rsidR="00D955D4" w:rsidRDefault="00D955D4" w:rsidP="00E37F73">
      <w:pPr>
        <w:pStyle w:val="Bullet"/>
        <w:rPr>
          <w:rFonts w:eastAsiaTheme="minorEastAsia"/>
        </w:rPr>
      </w:pPr>
      <w:r>
        <w:rPr>
          <w:rFonts w:eastAsiaTheme="minorEastAsia"/>
        </w:rPr>
        <w:t>Transition to work (22 to 25)</w:t>
      </w:r>
    </w:p>
    <w:p w14:paraId="550D5EE2" w14:textId="77777777" w:rsidR="00D955D4" w:rsidRDefault="00D955D4" w:rsidP="00E37F73">
      <w:pPr>
        <w:pStyle w:val="Bullet"/>
        <w:rPr>
          <w:rFonts w:eastAsiaTheme="minorEastAsia"/>
        </w:rPr>
      </w:pPr>
      <w:r>
        <w:rPr>
          <w:rFonts w:eastAsiaTheme="minorEastAsia"/>
        </w:rPr>
        <w:t>Working age (26 to 44)</w:t>
      </w:r>
    </w:p>
    <w:p w14:paraId="7CFDD9BE" w14:textId="77777777" w:rsidR="00D955D4" w:rsidRDefault="00D955D4" w:rsidP="00E37F73">
      <w:pPr>
        <w:pStyle w:val="Bullet"/>
        <w:rPr>
          <w:rFonts w:eastAsiaTheme="minorEastAsia"/>
        </w:rPr>
      </w:pPr>
      <w:r>
        <w:rPr>
          <w:rFonts w:eastAsiaTheme="minorEastAsia"/>
        </w:rPr>
        <w:t>Older working age (45 to 66)</w:t>
      </w:r>
    </w:p>
    <w:p w14:paraId="31973F77" w14:textId="28ED22AC" w:rsidR="00D955D4" w:rsidRDefault="00D955D4" w:rsidP="00E37F73">
      <w:pPr>
        <w:pStyle w:val="Bullet"/>
        <w:rPr>
          <w:rFonts w:eastAsiaTheme="minorEastAsia"/>
        </w:rPr>
      </w:pPr>
      <w:r>
        <w:rPr>
          <w:rFonts w:eastAsiaTheme="minorEastAsia"/>
        </w:rPr>
        <w:t>Retirement age (66 and over)</w:t>
      </w:r>
      <w:r w:rsidR="00CB4AEA">
        <w:rPr>
          <w:rFonts w:eastAsiaTheme="minorEastAsia"/>
        </w:rPr>
        <w:t>.</w:t>
      </w:r>
    </w:p>
    <w:p w14:paraId="126A925F" w14:textId="77777777" w:rsidR="00D955D4" w:rsidRDefault="00D955D4" w:rsidP="006E301F">
      <w:pPr>
        <w:rPr>
          <w:rFonts w:asciiTheme="minorHAnsi" w:eastAsiaTheme="minorEastAsia" w:hAnsiTheme="minorHAnsi" w:cstheme="minorHAnsi"/>
          <w:color w:val="000000" w:themeColor="text1"/>
          <w:kern w:val="24"/>
          <w:szCs w:val="21"/>
        </w:rPr>
      </w:pPr>
      <w:r>
        <w:rPr>
          <w:rFonts w:asciiTheme="minorHAnsi" w:eastAsiaTheme="minorEastAsia" w:hAnsiTheme="minorHAnsi" w:cstheme="minorHAnsi"/>
          <w:color w:val="000000" w:themeColor="text1"/>
          <w:kern w:val="24"/>
          <w:szCs w:val="21"/>
        </w:rPr>
        <w:t>In addition, the report provides an in depth focus on the following three groups:</w:t>
      </w:r>
    </w:p>
    <w:p w14:paraId="1D7E0DB2" w14:textId="19F917A4" w:rsidR="00D955D4" w:rsidRDefault="00D955D4" w:rsidP="00E37F73">
      <w:pPr>
        <w:pStyle w:val="Bullet"/>
        <w:rPr>
          <w:rFonts w:eastAsiaTheme="minorEastAsia"/>
        </w:rPr>
      </w:pPr>
      <w:r>
        <w:rPr>
          <w:rFonts w:eastAsiaTheme="minorEastAsia"/>
        </w:rPr>
        <w:t>People with children</w:t>
      </w:r>
    </w:p>
    <w:p w14:paraId="040CA5CE" w14:textId="786A7EB0" w:rsidR="00667410" w:rsidRDefault="00667410" w:rsidP="00E37F73">
      <w:pPr>
        <w:pStyle w:val="Bullet"/>
        <w:rPr>
          <w:rFonts w:eastAsiaTheme="minorEastAsia"/>
        </w:rPr>
      </w:pPr>
      <w:r>
        <w:rPr>
          <w:rFonts w:eastAsiaTheme="minorEastAsia"/>
        </w:rPr>
        <w:t>People</w:t>
      </w:r>
      <w:r w:rsidRPr="00667410">
        <w:rPr>
          <w:rFonts w:eastAsiaTheme="minorEastAsia"/>
        </w:rPr>
        <w:t xml:space="preserve"> </w:t>
      </w:r>
      <w:r>
        <w:rPr>
          <w:rFonts w:eastAsiaTheme="minorEastAsia"/>
        </w:rPr>
        <w:t>receiving payments to support caring</w:t>
      </w:r>
    </w:p>
    <w:p w14:paraId="0A659A05" w14:textId="22225FF0" w:rsidR="00F3364B" w:rsidRPr="00CB4AEA" w:rsidRDefault="00D955D4" w:rsidP="00F3364B">
      <w:pPr>
        <w:pStyle w:val="Bullet"/>
        <w:rPr>
          <w:rFonts w:eastAsiaTheme="minorEastAsia"/>
        </w:rPr>
        <w:sectPr w:rsidR="00F3364B" w:rsidRPr="00CB4AEA" w:rsidSect="00B46214">
          <w:pgSz w:w="16838" w:h="11906" w:orient="landscape" w:code="9"/>
          <w:pgMar w:top="1418" w:right="1134" w:bottom="1418" w:left="1134" w:header="425" w:footer="680" w:gutter="0"/>
          <w:cols w:num="2" w:space="709"/>
          <w:docGrid w:linePitch="360"/>
        </w:sectPr>
      </w:pPr>
      <w:r>
        <w:rPr>
          <w:rFonts w:eastAsiaTheme="minorEastAsia"/>
        </w:rPr>
        <w:t xml:space="preserve">People receiving </w:t>
      </w:r>
      <w:r w:rsidR="00913CB9">
        <w:rPr>
          <w:rFonts w:eastAsiaTheme="minorEastAsia"/>
        </w:rPr>
        <w:t>DSP</w:t>
      </w:r>
      <w:r w:rsidR="00CB4AEA">
        <w:rPr>
          <w:rFonts w:eastAsiaTheme="minorEastAsia"/>
        </w:rPr>
        <w:t>.</w:t>
      </w:r>
    </w:p>
    <w:p w14:paraId="38B6F24A" w14:textId="38C5512D" w:rsidR="00B04FCE" w:rsidRDefault="00992A3C" w:rsidP="00E37F73">
      <w:pPr>
        <w:pStyle w:val="Heading2notnumbered"/>
        <w:rPr>
          <w:rFonts w:eastAsiaTheme="majorEastAsia"/>
        </w:rPr>
      </w:pPr>
      <w:r w:rsidRPr="00D62E29">
        <w:rPr>
          <w:rFonts w:eastAsiaTheme="majorEastAsia"/>
        </w:rPr>
        <w:lastRenderedPageBreak/>
        <w:t xml:space="preserve">How Australians use the social </w:t>
      </w:r>
      <w:r w:rsidRPr="00E37F73">
        <w:rPr>
          <w:rFonts w:eastAsiaTheme="majorEastAsia"/>
        </w:rPr>
        <w:t>security</w:t>
      </w:r>
      <w:r w:rsidRPr="00D62E29">
        <w:rPr>
          <w:rFonts w:eastAsiaTheme="majorEastAsia"/>
        </w:rPr>
        <w:t xml:space="preserve"> system</w:t>
      </w:r>
    </w:p>
    <w:p w14:paraId="58292BCE" w14:textId="71C08E5C" w:rsidR="00847ABE" w:rsidRPr="00847ABE" w:rsidRDefault="00847ABE" w:rsidP="00847ABE">
      <w:pPr>
        <w:rPr>
          <w:rFonts w:eastAsiaTheme="majorEastAsia"/>
        </w:rPr>
      </w:pPr>
      <w:r w:rsidRPr="00CD63BD">
        <w:rPr>
          <w:rFonts w:eastAsiaTheme="minorEastAsia" w:cstheme="minorHAnsi"/>
          <w:noProof/>
          <w:color w:val="000000" w:themeColor="text1"/>
          <w:kern w:val="24"/>
          <w:szCs w:val="21"/>
        </w:rPr>
        <w:drawing>
          <wp:inline distT="0" distB="0" distL="0" distR="0" wp14:anchorId="032261BA" wp14:editId="43897DFE">
            <wp:extent cx="9244800" cy="4619860"/>
            <wp:effectExtent l="0" t="0" r="0" b="9525"/>
            <wp:docPr id="12" name="Picture 12" descr="This infographic shows the structure of the report, which is split into two main sections: &quot;Life stages&quot;, and &quot;In-Depth focus&quot;.&#10; &#10;&quot;Life stages&quot; consists of six subsections:&#10;1. Childhood (under age 18)&#10;2. Young Adults (ages 18 to 21)&#10;3. Transition to Work (ages 22 to 25)&#10;4. Working Age (ages 26 to 44)&#10;5. Older Working Age (ages 45 to 66)&#10;6. Retirement Age (age 66 and over)&#10; &#10;&quot;In-Depth focus&quot; consists of three subsections:&#10;- People with children&#10;- People receiving payments to support caring&#10;- People receiving Disability Support Pen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nfographic shows the structure of the report, which is split into two main sections: &quot;Life stages&quot;, and &quot;In-Depth focus&quot;.&#10; &#10;&quot;Life stages&quot; consists of six subsections:&#10;1. Childhood (under age 18)&#10;2. Young Adults (ages 18 to 21)&#10;3. Transition to Work (ages 22 to 25)&#10;4. Working Age (ages 26 to 44)&#10;5. Older Working Age (ages 45 to 66)&#10;6. Retirement Age (age 66 and over)&#10; &#10;&quot;In-Depth focus&quot; consists of three subsections:&#10;- People with children&#10;- People receiving payments to support caring&#10;- People receiving Disability Support Pension">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44800" cy="4619860"/>
                    </a:xfrm>
                    <a:prstGeom prst="rect">
                      <a:avLst/>
                    </a:prstGeom>
                  </pic:spPr>
                </pic:pic>
              </a:graphicData>
            </a:graphic>
          </wp:inline>
        </w:drawing>
      </w:r>
    </w:p>
    <w:p w14:paraId="7F13E15E" w14:textId="65BEFB3D" w:rsidR="00CE38A5" w:rsidRDefault="00CE38A5" w:rsidP="00CE38A5">
      <w:pPr>
        <w:spacing w:line="240" w:lineRule="auto"/>
        <w:rPr>
          <w:rFonts w:asciiTheme="minorHAnsi" w:eastAsiaTheme="minorEastAsia" w:hAnsiTheme="minorHAnsi" w:cstheme="minorHAnsi"/>
          <w:color w:val="000000" w:themeColor="text1"/>
          <w:kern w:val="24"/>
          <w:szCs w:val="21"/>
        </w:rPr>
      </w:pPr>
    </w:p>
    <w:p w14:paraId="7D484623" w14:textId="77777777" w:rsidR="00523C23" w:rsidRPr="00EC4FC8" w:rsidRDefault="00523C23" w:rsidP="00EC4FC8">
      <w:bookmarkStart w:id="10" w:name="_Toc153355575"/>
      <w:bookmarkStart w:id="11" w:name="_Toc155358641"/>
    </w:p>
    <w:p w14:paraId="0C35AEAD" w14:textId="77777777" w:rsidR="00EC4FC8" w:rsidRPr="00EC4FC8" w:rsidRDefault="00EC4FC8" w:rsidP="00EC4FC8">
      <w:pPr>
        <w:sectPr w:rsidR="00EC4FC8" w:rsidRPr="00EC4FC8" w:rsidSect="00B46214">
          <w:pgSz w:w="16838" w:h="11906" w:orient="landscape" w:code="9"/>
          <w:pgMar w:top="1418" w:right="1134" w:bottom="1418" w:left="1134" w:header="425" w:footer="680" w:gutter="0"/>
          <w:cols w:space="709"/>
          <w:docGrid w:linePitch="360"/>
        </w:sectPr>
      </w:pPr>
    </w:p>
    <w:p w14:paraId="38B9D706" w14:textId="62D5D332" w:rsidR="00303542" w:rsidRPr="007D2F92" w:rsidRDefault="009F1E52" w:rsidP="00EC4FC8">
      <w:pPr>
        <w:pStyle w:val="Heading1"/>
      </w:pPr>
      <w:bookmarkStart w:id="12" w:name="_Toc160109471"/>
      <w:r w:rsidRPr="007D2F92">
        <w:lastRenderedPageBreak/>
        <w:t>Child</w:t>
      </w:r>
      <w:r w:rsidR="00D74701">
        <w:t>hood (under 18)</w:t>
      </w:r>
      <w:bookmarkEnd w:id="10"/>
      <w:bookmarkEnd w:id="11"/>
      <w:bookmarkEnd w:id="12"/>
    </w:p>
    <w:p w14:paraId="4C7ACF08" w14:textId="3F9D0C02" w:rsidR="00303542" w:rsidRPr="004111B0" w:rsidRDefault="00303542" w:rsidP="00621E11">
      <w:pPr>
        <w:rPr>
          <w:rFonts w:asciiTheme="minorHAnsi" w:hAnsiTheme="minorHAnsi" w:cstheme="minorHAnsi"/>
        </w:rPr>
      </w:pPr>
      <w:r w:rsidRPr="004111B0">
        <w:rPr>
          <w:rFonts w:asciiTheme="minorHAnsi" w:hAnsiTheme="minorHAnsi" w:cstheme="minorHAnsi"/>
        </w:rPr>
        <w:t>Children under</w:t>
      </w:r>
      <w:r w:rsidR="00D01768">
        <w:rPr>
          <w:rFonts w:asciiTheme="minorHAnsi" w:hAnsiTheme="minorHAnsi" w:cstheme="minorHAnsi"/>
        </w:rPr>
        <w:t xml:space="preserve"> age </w:t>
      </w:r>
      <w:r w:rsidRPr="004111B0">
        <w:rPr>
          <w:rFonts w:asciiTheme="minorHAnsi" w:hAnsiTheme="minorHAnsi" w:cstheme="minorHAnsi"/>
        </w:rPr>
        <w:t xml:space="preserve">18 generally interact with the </w:t>
      </w:r>
      <w:r w:rsidR="009233DC">
        <w:rPr>
          <w:rFonts w:asciiTheme="minorHAnsi" w:hAnsiTheme="minorHAnsi" w:cstheme="minorHAnsi"/>
        </w:rPr>
        <w:t>s</w:t>
      </w:r>
      <w:r w:rsidRPr="004111B0">
        <w:rPr>
          <w:rFonts w:asciiTheme="minorHAnsi" w:hAnsiTheme="minorHAnsi" w:cstheme="minorHAnsi"/>
        </w:rPr>
        <w:t xml:space="preserve">ocial </w:t>
      </w:r>
      <w:r w:rsidR="009233DC">
        <w:rPr>
          <w:rFonts w:asciiTheme="minorHAnsi" w:hAnsiTheme="minorHAnsi" w:cstheme="minorHAnsi"/>
        </w:rPr>
        <w:t>s</w:t>
      </w:r>
      <w:r w:rsidRPr="004111B0">
        <w:rPr>
          <w:rFonts w:asciiTheme="minorHAnsi" w:hAnsiTheme="minorHAnsi" w:cstheme="minorHAnsi"/>
        </w:rPr>
        <w:t xml:space="preserve">ecurity system through </w:t>
      </w:r>
      <w:r w:rsidR="00D74701">
        <w:rPr>
          <w:rFonts w:asciiTheme="minorHAnsi" w:hAnsiTheme="minorHAnsi" w:cstheme="minorHAnsi"/>
        </w:rPr>
        <w:t xml:space="preserve">the experience of </w:t>
      </w:r>
      <w:r w:rsidRPr="004111B0">
        <w:rPr>
          <w:rFonts w:asciiTheme="minorHAnsi" w:hAnsiTheme="minorHAnsi" w:cstheme="minorHAnsi"/>
        </w:rPr>
        <w:t>their parents</w:t>
      </w:r>
      <w:r w:rsidR="00D74701">
        <w:rPr>
          <w:rFonts w:asciiTheme="minorHAnsi" w:hAnsiTheme="minorHAnsi" w:cstheme="minorHAnsi"/>
        </w:rPr>
        <w:t xml:space="preserve">. A parent </w:t>
      </w:r>
      <w:r w:rsidR="00DA297D">
        <w:rPr>
          <w:rFonts w:asciiTheme="minorHAnsi" w:hAnsiTheme="minorHAnsi" w:cstheme="minorHAnsi"/>
        </w:rPr>
        <w:t>or guardian</w:t>
      </w:r>
      <w:r w:rsidR="00B04FCE">
        <w:rPr>
          <w:rFonts w:asciiTheme="minorHAnsi" w:hAnsiTheme="minorHAnsi" w:cstheme="minorHAnsi"/>
        </w:rPr>
        <w:t>’</w:t>
      </w:r>
      <w:r w:rsidR="00DA297D">
        <w:rPr>
          <w:rFonts w:asciiTheme="minorHAnsi" w:hAnsiTheme="minorHAnsi" w:cstheme="minorHAnsi"/>
        </w:rPr>
        <w:t>s</w:t>
      </w:r>
      <w:r w:rsidRPr="004111B0">
        <w:rPr>
          <w:rFonts w:asciiTheme="minorHAnsi" w:hAnsiTheme="minorHAnsi" w:cstheme="minorHAnsi"/>
        </w:rPr>
        <w:t xml:space="preserve"> income support use </w:t>
      </w:r>
      <w:r w:rsidR="00D74701">
        <w:rPr>
          <w:rFonts w:asciiTheme="minorHAnsi" w:hAnsiTheme="minorHAnsi" w:cstheme="minorHAnsi"/>
        </w:rPr>
        <w:t>is associated with the child</w:t>
      </w:r>
      <w:r w:rsidR="00B04FCE">
        <w:rPr>
          <w:rFonts w:asciiTheme="minorHAnsi" w:hAnsiTheme="minorHAnsi" w:cstheme="minorHAnsi"/>
        </w:rPr>
        <w:t>’</w:t>
      </w:r>
      <w:r w:rsidR="00D74701">
        <w:rPr>
          <w:rFonts w:asciiTheme="minorHAnsi" w:hAnsiTheme="minorHAnsi" w:cstheme="minorHAnsi"/>
        </w:rPr>
        <w:t>s future use of income support</w:t>
      </w:r>
      <w:r w:rsidRPr="004111B0">
        <w:rPr>
          <w:rFonts w:asciiTheme="minorHAnsi" w:hAnsiTheme="minorHAnsi" w:cstheme="minorHAnsi"/>
        </w:rPr>
        <w:t>. There were 5.7</w:t>
      </w:r>
      <w:r w:rsidR="00F40387">
        <w:rPr>
          <w:rFonts w:asciiTheme="minorHAnsi" w:hAnsiTheme="minorHAnsi" w:cstheme="minorHAnsi"/>
        </w:rPr>
        <w:t> million</w:t>
      </w:r>
      <w:r w:rsidRPr="004111B0">
        <w:rPr>
          <w:rFonts w:asciiTheme="minorHAnsi" w:hAnsiTheme="minorHAnsi" w:cstheme="minorHAnsi"/>
        </w:rPr>
        <w:t xml:space="preserve"> children in Australia </w:t>
      </w:r>
      <w:r w:rsidR="00A72D0A">
        <w:rPr>
          <w:rFonts w:asciiTheme="minorHAnsi" w:hAnsiTheme="minorHAnsi" w:cstheme="minorHAnsi"/>
        </w:rPr>
        <w:t>at</w:t>
      </w:r>
      <w:r w:rsidR="00A72D0A" w:rsidRPr="004111B0">
        <w:rPr>
          <w:rFonts w:asciiTheme="minorHAnsi" w:hAnsiTheme="minorHAnsi" w:cstheme="minorHAnsi"/>
        </w:rPr>
        <w:t xml:space="preserve"> </w:t>
      </w:r>
      <w:r w:rsidRPr="004111B0">
        <w:rPr>
          <w:rFonts w:asciiTheme="minorHAnsi" w:hAnsiTheme="minorHAnsi" w:cstheme="minorHAnsi"/>
        </w:rPr>
        <w:t>30</w:t>
      </w:r>
      <w:r w:rsidR="00E46C6A">
        <w:rPr>
          <w:rFonts w:asciiTheme="minorHAnsi" w:hAnsiTheme="minorHAnsi" w:cstheme="minorHAnsi"/>
        </w:rPr>
        <w:t> June </w:t>
      </w:r>
      <w:r w:rsidRPr="004111B0">
        <w:rPr>
          <w:rFonts w:asciiTheme="minorHAnsi" w:hAnsiTheme="minorHAnsi" w:cstheme="minorHAnsi"/>
        </w:rPr>
        <w:t>2022, making up 22% of the total Australian population.</w:t>
      </w:r>
      <w:r w:rsidR="007379CA">
        <w:rPr>
          <w:rFonts w:asciiTheme="minorHAnsi" w:hAnsiTheme="minorHAnsi" w:cstheme="minorHAnsi"/>
        </w:rPr>
        <w:t xml:space="preserve"> </w:t>
      </w:r>
      <w:r w:rsidR="00D74701">
        <w:rPr>
          <w:rFonts w:asciiTheme="minorHAnsi" w:hAnsiTheme="minorHAnsi" w:cstheme="minorHAnsi"/>
        </w:rPr>
        <w:t>Some</w:t>
      </w:r>
      <w:r w:rsidR="007379CA">
        <w:rPr>
          <w:rFonts w:asciiTheme="minorHAnsi" w:hAnsiTheme="minorHAnsi" w:cstheme="minorHAnsi"/>
        </w:rPr>
        <w:t xml:space="preserve"> 5.08</w:t>
      </w:r>
      <w:r w:rsidR="00F40387">
        <w:rPr>
          <w:rFonts w:asciiTheme="minorHAnsi" w:hAnsiTheme="minorHAnsi" w:cstheme="minorHAnsi"/>
        </w:rPr>
        <w:t> million</w:t>
      </w:r>
      <w:r w:rsidR="007379CA">
        <w:rPr>
          <w:rFonts w:asciiTheme="minorHAnsi" w:hAnsiTheme="minorHAnsi" w:cstheme="minorHAnsi"/>
        </w:rPr>
        <w:t xml:space="preserve"> </w:t>
      </w:r>
      <w:r w:rsidR="00D74701">
        <w:rPr>
          <w:rFonts w:asciiTheme="minorHAnsi" w:hAnsiTheme="minorHAnsi" w:cstheme="minorHAnsi"/>
        </w:rPr>
        <w:t>of these</w:t>
      </w:r>
      <w:r w:rsidR="007379CA">
        <w:rPr>
          <w:rFonts w:asciiTheme="minorHAnsi" w:hAnsiTheme="minorHAnsi" w:cstheme="minorHAnsi"/>
        </w:rPr>
        <w:t xml:space="preserve"> children </w:t>
      </w:r>
      <w:r w:rsidR="00D74701">
        <w:rPr>
          <w:rFonts w:asciiTheme="minorHAnsi" w:hAnsiTheme="minorHAnsi" w:cstheme="minorHAnsi"/>
        </w:rPr>
        <w:t xml:space="preserve">were </w:t>
      </w:r>
      <w:r w:rsidR="007379CA">
        <w:rPr>
          <w:rFonts w:asciiTheme="minorHAnsi" w:hAnsiTheme="minorHAnsi" w:cstheme="minorHAnsi"/>
        </w:rPr>
        <w:t>under 16</w:t>
      </w:r>
      <w:r w:rsidR="00E46C6A">
        <w:rPr>
          <w:rFonts w:asciiTheme="minorHAnsi" w:hAnsiTheme="minorHAnsi" w:cstheme="minorHAnsi"/>
        </w:rPr>
        <w:t> year</w:t>
      </w:r>
      <w:r w:rsidR="00D74701">
        <w:rPr>
          <w:rFonts w:asciiTheme="minorHAnsi" w:hAnsiTheme="minorHAnsi" w:cstheme="minorHAnsi"/>
        </w:rPr>
        <w:t>s of age</w:t>
      </w:r>
      <w:r w:rsidR="007379CA">
        <w:rPr>
          <w:rFonts w:asciiTheme="minorHAnsi" w:hAnsiTheme="minorHAnsi" w:cstheme="minorHAnsi"/>
        </w:rPr>
        <w:t>.</w:t>
      </w:r>
    </w:p>
    <w:p w14:paraId="18304354" w14:textId="5BE208DC" w:rsidR="00077A25" w:rsidRPr="00C75E84" w:rsidRDefault="007E4C2E" w:rsidP="00C75E84">
      <w:pPr>
        <w:pStyle w:val="FigureMainHeading"/>
        <w:spacing w:before="0" w:after="0" w:line="360" w:lineRule="auto"/>
        <w:rPr>
          <w:sz w:val="22"/>
        </w:rPr>
      </w:pPr>
      <w:r>
        <w:t>Australian population</w:t>
      </w:r>
    </w:p>
    <w:p w14:paraId="7E9D8642" w14:textId="19F1B689" w:rsidR="00C75E84" w:rsidRPr="00077A25" w:rsidRDefault="00C75E84" w:rsidP="00307825">
      <w:pPr>
        <w:spacing w:before="0" w:after="0" w:line="360" w:lineRule="auto"/>
      </w:pPr>
      <w:r>
        <w:rPr>
          <w:noProof/>
        </w:rPr>
        <w:drawing>
          <wp:inline distT="0" distB="0" distL="0" distR="0" wp14:anchorId="68F46EE6" wp14:editId="57B92344">
            <wp:extent cx="4410329" cy="351790"/>
            <wp:effectExtent l="0" t="0" r="0" b="0"/>
            <wp:docPr id="13" name="Chart 13" descr="This picture shows that the people in this subsection, that is, under age 18, make up 22% of the Australian popu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315D13" w14:textId="77777777" w:rsidR="00B04FCE" w:rsidRDefault="00684E5A" w:rsidP="00307825">
      <w:pPr>
        <w:pStyle w:val="Heading2notnumbered"/>
        <w:spacing w:after="0"/>
      </w:pPr>
      <w:r>
        <w:t>Most</w:t>
      </w:r>
      <w:r w:rsidR="00303542" w:rsidRPr="007D2F92">
        <w:t xml:space="preserve"> </w:t>
      </w:r>
      <w:r w:rsidR="00684B27">
        <w:t>c</w:t>
      </w:r>
      <w:r w:rsidR="00303542" w:rsidRPr="007D2F92">
        <w:t xml:space="preserve">hildren under 16 </w:t>
      </w:r>
      <w:r w:rsidR="00107D7D">
        <w:t xml:space="preserve">do not directly </w:t>
      </w:r>
      <w:r w:rsidR="00303542" w:rsidRPr="007D2F92">
        <w:t xml:space="preserve">receive social security payments, </w:t>
      </w:r>
      <w:r w:rsidR="00D74701">
        <w:t>and</w:t>
      </w:r>
      <w:r w:rsidR="00D74701" w:rsidRPr="007D2F92">
        <w:t xml:space="preserve"> </w:t>
      </w:r>
      <w:r w:rsidR="00303542" w:rsidRPr="007D2F92">
        <w:t xml:space="preserve">only a small number of </w:t>
      </w:r>
      <w:r w:rsidR="00CD6910">
        <w:t>c</w:t>
      </w:r>
      <w:r w:rsidR="00303542" w:rsidRPr="007D2F92">
        <w:t xml:space="preserve">hildren </w:t>
      </w:r>
      <w:r w:rsidR="00582401">
        <w:t xml:space="preserve">aged 16 to 17 </w:t>
      </w:r>
      <w:r w:rsidR="00303542" w:rsidRPr="007D2F92">
        <w:t>receive income support.</w:t>
      </w:r>
    </w:p>
    <w:p w14:paraId="4E676E86" w14:textId="0C2BAC73" w:rsidR="00303542" w:rsidRPr="007D2F92" w:rsidRDefault="00D74701" w:rsidP="00A74361">
      <w:pPr>
        <w:rPr>
          <w:rFonts w:asciiTheme="minorHAnsi" w:hAnsiTheme="minorHAnsi" w:cstheme="minorHAnsi"/>
        </w:rPr>
      </w:pPr>
      <w:r>
        <w:rPr>
          <w:rFonts w:asciiTheme="minorHAnsi" w:hAnsiTheme="minorHAnsi" w:cstheme="minorHAnsi"/>
        </w:rPr>
        <w:t xml:space="preserve">Only </w:t>
      </w:r>
      <w:r w:rsidR="00A74361">
        <w:rPr>
          <w:rFonts w:asciiTheme="minorHAnsi" w:hAnsiTheme="minorHAnsi" w:cstheme="minorHAnsi"/>
        </w:rPr>
        <w:t>0.6</w:t>
      </w:r>
      <w:r w:rsidR="00303542" w:rsidRPr="007D2F92">
        <w:rPr>
          <w:rFonts w:asciiTheme="minorHAnsi" w:hAnsiTheme="minorHAnsi" w:cstheme="minorHAnsi"/>
        </w:rPr>
        <w:t xml:space="preserve">% of children </w:t>
      </w:r>
      <w:r>
        <w:rPr>
          <w:rFonts w:asciiTheme="minorHAnsi" w:hAnsiTheme="minorHAnsi" w:cstheme="minorHAnsi"/>
        </w:rPr>
        <w:t xml:space="preserve">aged </w:t>
      </w:r>
      <w:r w:rsidR="00303542" w:rsidRPr="007D2F92">
        <w:rPr>
          <w:rFonts w:asciiTheme="minorHAnsi" w:hAnsiTheme="minorHAnsi" w:cstheme="minorHAnsi"/>
        </w:rPr>
        <w:t xml:space="preserve">under 16 </w:t>
      </w:r>
      <w:r w:rsidR="00DA51C0" w:rsidRPr="007D2F92">
        <w:rPr>
          <w:rFonts w:asciiTheme="minorHAnsi" w:hAnsiTheme="minorHAnsi" w:cstheme="minorHAnsi"/>
        </w:rPr>
        <w:t>on</w:t>
      </w:r>
      <w:r w:rsidR="00303542" w:rsidRPr="007D2F92">
        <w:rPr>
          <w:rFonts w:asciiTheme="minorHAnsi" w:hAnsiTheme="minorHAnsi" w:cstheme="minorHAnsi"/>
        </w:rPr>
        <w:t xml:space="preserve"> 30</w:t>
      </w:r>
      <w:r w:rsidR="00E46C6A">
        <w:rPr>
          <w:rFonts w:asciiTheme="minorHAnsi" w:hAnsiTheme="minorHAnsi" w:cstheme="minorHAnsi"/>
        </w:rPr>
        <w:t> June </w:t>
      </w:r>
      <w:r w:rsidR="00303542" w:rsidRPr="007D2F92">
        <w:rPr>
          <w:rFonts w:asciiTheme="minorHAnsi" w:hAnsiTheme="minorHAnsi" w:cstheme="minorHAnsi"/>
        </w:rPr>
        <w:t>2022 receive</w:t>
      </w:r>
      <w:r w:rsidR="00667C7C">
        <w:rPr>
          <w:rFonts w:asciiTheme="minorHAnsi" w:hAnsiTheme="minorHAnsi" w:cstheme="minorHAnsi"/>
        </w:rPr>
        <w:t>d</w:t>
      </w:r>
      <w:r w:rsidR="00303542" w:rsidRPr="007D2F92">
        <w:rPr>
          <w:rFonts w:asciiTheme="minorHAnsi" w:hAnsiTheme="minorHAnsi" w:cstheme="minorHAnsi"/>
        </w:rPr>
        <w:t xml:space="preserve"> </w:t>
      </w:r>
      <w:r w:rsidR="00667C7C">
        <w:rPr>
          <w:rFonts w:asciiTheme="minorHAnsi" w:hAnsiTheme="minorHAnsi" w:cstheme="minorHAnsi"/>
        </w:rPr>
        <w:t>a</w:t>
      </w:r>
      <w:r w:rsidR="007353E3">
        <w:rPr>
          <w:rFonts w:asciiTheme="minorHAnsi" w:hAnsiTheme="minorHAnsi" w:cstheme="minorHAnsi"/>
        </w:rPr>
        <w:t xml:space="preserve"> social security</w:t>
      </w:r>
      <w:r w:rsidR="00303542" w:rsidRPr="007D2F92">
        <w:rPr>
          <w:rFonts w:asciiTheme="minorHAnsi" w:hAnsiTheme="minorHAnsi" w:cstheme="minorHAnsi"/>
        </w:rPr>
        <w:t xml:space="preserve"> payment during </w:t>
      </w:r>
      <w:r>
        <w:rPr>
          <w:rFonts w:asciiTheme="minorHAnsi" w:hAnsiTheme="minorHAnsi" w:cstheme="minorHAnsi"/>
        </w:rPr>
        <w:t>2021</w:t>
      </w:r>
      <w:r w:rsidR="009F12CC">
        <w:rPr>
          <w:rFonts w:asciiTheme="minorHAnsi" w:hAnsiTheme="minorHAnsi" w:cstheme="minorHAnsi"/>
        </w:rPr>
        <w:t>–</w:t>
      </w:r>
      <w:r>
        <w:rPr>
          <w:rFonts w:asciiTheme="minorHAnsi" w:hAnsiTheme="minorHAnsi" w:cstheme="minorHAnsi"/>
        </w:rPr>
        <w:t>22</w:t>
      </w:r>
      <w:r w:rsidR="00582401">
        <w:rPr>
          <w:rFonts w:asciiTheme="minorHAnsi" w:hAnsiTheme="minorHAnsi" w:cstheme="minorHAnsi"/>
        </w:rPr>
        <w:t>.</w:t>
      </w:r>
      <w:r w:rsidR="00303542" w:rsidRPr="007D2F92">
        <w:rPr>
          <w:rFonts w:asciiTheme="minorHAnsi" w:hAnsiTheme="minorHAnsi" w:cstheme="minorHAnsi"/>
        </w:rPr>
        <w:t xml:space="preserve"> </w:t>
      </w:r>
      <w:r>
        <w:rPr>
          <w:rFonts w:asciiTheme="minorHAnsi" w:hAnsiTheme="minorHAnsi" w:cstheme="minorHAnsi"/>
        </w:rPr>
        <w:t xml:space="preserve">While </w:t>
      </w:r>
      <w:r w:rsidR="00816B26">
        <w:rPr>
          <w:rFonts w:asciiTheme="minorHAnsi" w:hAnsiTheme="minorHAnsi" w:cstheme="minorHAnsi"/>
        </w:rPr>
        <w:t>6</w:t>
      </w:r>
      <w:r w:rsidR="009643FA">
        <w:rPr>
          <w:rFonts w:asciiTheme="minorHAnsi" w:hAnsiTheme="minorHAnsi" w:cstheme="minorHAnsi"/>
        </w:rPr>
        <w:t xml:space="preserve">% of </w:t>
      </w:r>
      <w:r w:rsidR="00FC6C7D">
        <w:rPr>
          <w:rFonts w:asciiTheme="minorHAnsi" w:hAnsiTheme="minorHAnsi" w:cstheme="minorHAnsi"/>
        </w:rPr>
        <w:t>these children receiv</w:t>
      </w:r>
      <w:r>
        <w:rPr>
          <w:rFonts w:asciiTheme="minorHAnsi" w:hAnsiTheme="minorHAnsi" w:cstheme="minorHAnsi"/>
        </w:rPr>
        <w:t>ed</w:t>
      </w:r>
      <w:r w:rsidR="00544118">
        <w:rPr>
          <w:rFonts w:asciiTheme="minorHAnsi" w:hAnsiTheme="minorHAnsi" w:cstheme="minorHAnsi"/>
        </w:rPr>
        <w:t xml:space="preserve"> income support</w:t>
      </w:r>
      <w:r>
        <w:rPr>
          <w:rFonts w:asciiTheme="minorHAnsi" w:hAnsiTheme="minorHAnsi" w:cstheme="minorHAnsi"/>
        </w:rPr>
        <w:t xml:space="preserve">, </w:t>
      </w:r>
      <w:r w:rsidR="002155E0">
        <w:rPr>
          <w:rFonts w:asciiTheme="minorHAnsi" w:hAnsiTheme="minorHAnsi" w:cstheme="minorHAnsi"/>
        </w:rPr>
        <w:t>9</w:t>
      </w:r>
      <w:r w:rsidR="00816B26">
        <w:rPr>
          <w:rFonts w:asciiTheme="minorHAnsi" w:hAnsiTheme="minorHAnsi" w:cstheme="minorHAnsi"/>
        </w:rPr>
        <w:t>4</w:t>
      </w:r>
      <w:r w:rsidR="00303542" w:rsidRPr="007D2F92">
        <w:rPr>
          <w:rFonts w:asciiTheme="minorHAnsi" w:hAnsiTheme="minorHAnsi" w:cstheme="minorHAnsi"/>
        </w:rPr>
        <w:t>% receiv</w:t>
      </w:r>
      <w:r>
        <w:rPr>
          <w:rFonts w:asciiTheme="minorHAnsi" w:hAnsiTheme="minorHAnsi" w:cstheme="minorHAnsi"/>
        </w:rPr>
        <w:t>ed</w:t>
      </w:r>
      <w:r w:rsidR="00303542" w:rsidRPr="007D2F92">
        <w:rPr>
          <w:rFonts w:asciiTheme="minorHAnsi" w:hAnsiTheme="minorHAnsi" w:cstheme="minorHAnsi"/>
        </w:rPr>
        <w:t xml:space="preserve"> supplementary payments. </w:t>
      </w:r>
      <w:r w:rsidR="00030D83">
        <w:rPr>
          <w:rFonts w:asciiTheme="minorHAnsi" w:hAnsiTheme="minorHAnsi" w:cstheme="minorHAnsi"/>
        </w:rPr>
        <w:t>O</w:t>
      </w:r>
      <w:r w:rsidR="00303542" w:rsidRPr="007D2F92">
        <w:rPr>
          <w:rFonts w:asciiTheme="minorHAnsi" w:hAnsiTheme="minorHAnsi" w:cstheme="minorHAnsi"/>
        </w:rPr>
        <w:t xml:space="preserve">f the </w:t>
      </w:r>
      <w:r w:rsidR="00550A05">
        <w:rPr>
          <w:rFonts w:asciiTheme="minorHAnsi" w:hAnsiTheme="minorHAnsi" w:cstheme="minorHAnsi"/>
        </w:rPr>
        <w:t>61</w:t>
      </w:r>
      <w:r w:rsidR="00550A05" w:rsidRPr="007D2F92">
        <w:rPr>
          <w:rFonts w:asciiTheme="minorHAnsi" w:hAnsiTheme="minorHAnsi" w:cstheme="minorHAnsi"/>
        </w:rPr>
        <w:t>0</w:t>
      </w:r>
      <w:r w:rsidR="00303542" w:rsidRPr="007D2F92">
        <w:rPr>
          <w:rFonts w:asciiTheme="minorHAnsi" w:hAnsiTheme="minorHAnsi" w:cstheme="minorHAnsi"/>
        </w:rPr>
        <w:t xml:space="preserve">,000 </w:t>
      </w:r>
      <w:r w:rsidR="00030D83">
        <w:rPr>
          <w:rFonts w:asciiTheme="minorHAnsi" w:hAnsiTheme="minorHAnsi" w:cstheme="minorHAnsi"/>
        </w:rPr>
        <w:t xml:space="preserve">children </w:t>
      </w:r>
      <w:r w:rsidR="00525024">
        <w:rPr>
          <w:rFonts w:asciiTheme="minorHAnsi" w:hAnsiTheme="minorHAnsi" w:cstheme="minorHAnsi"/>
        </w:rPr>
        <w:t xml:space="preserve">aged </w:t>
      </w:r>
      <w:r w:rsidR="00A93306" w:rsidRPr="007D2F92">
        <w:rPr>
          <w:rFonts w:asciiTheme="minorHAnsi" w:hAnsiTheme="minorHAnsi" w:cstheme="minorHAnsi"/>
        </w:rPr>
        <w:t>16</w:t>
      </w:r>
      <w:r w:rsidR="00525024">
        <w:rPr>
          <w:rFonts w:asciiTheme="minorHAnsi" w:hAnsiTheme="minorHAnsi" w:cstheme="minorHAnsi"/>
        </w:rPr>
        <w:t xml:space="preserve"> to </w:t>
      </w:r>
      <w:r w:rsidR="00A93306">
        <w:rPr>
          <w:rFonts w:asciiTheme="minorHAnsi" w:hAnsiTheme="minorHAnsi" w:cstheme="minorHAnsi"/>
        </w:rPr>
        <w:t>17</w:t>
      </w:r>
      <w:r w:rsidR="00B378FB">
        <w:rPr>
          <w:rFonts w:asciiTheme="minorHAnsi" w:hAnsiTheme="minorHAnsi" w:cstheme="minorHAnsi"/>
        </w:rPr>
        <w:t xml:space="preserve"> </w:t>
      </w:r>
      <w:r w:rsidR="00DA51C0" w:rsidRPr="007D2F92">
        <w:rPr>
          <w:rFonts w:asciiTheme="minorHAnsi" w:hAnsiTheme="minorHAnsi" w:cstheme="minorHAnsi"/>
        </w:rPr>
        <w:t>on</w:t>
      </w:r>
      <w:r w:rsidR="00303542" w:rsidRPr="007D2F92">
        <w:rPr>
          <w:rFonts w:asciiTheme="minorHAnsi" w:hAnsiTheme="minorHAnsi" w:cstheme="minorHAnsi"/>
        </w:rPr>
        <w:t xml:space="preserve"> 30</w:t>
      </w:r>
      <w:r w:rsidR="00E46C6A">
        <w:rPr>
          <w:rFonts w:asciiTheme="minorHAnsi" w:hAnsiTheme="minorHAnsi" w:cstheme="minorHAnsi"/>
        </w:rPr>
        <w:t> June </w:t>
      </w:r>
      <w:r w:rsidR="00303542" w:rsidRPr="007D2F92">
        <w:rPr>
          <w:rFonts w:asciiTheme="minorHAnsi" w:hAnsiTheme="minorHAnsi" w:cstheme="minorHAnsi"/>
        </w:rPr>
        <w:t>2022</w:t>
      </w:r>
      <w:r w:rsidR="00030D83">
        <w:rPr>
          <w:rFonts w:asciiTheme="minorHAnsi" w:hAnsiTheme="minorHAnsi" w:cstheme="minorHAnsi"/>
        </w:rPr>
        <w:t xml:space="preserve">, </w:t>
      </w:r>
      <w:r w:rsidR="00816B26">
        <w:rPr>
          <w:rFonts w:asciiTheme="minorHAnsi" w:hAnsiTheme="minorHAnsi" w:cstheme="minorHAnsi"/>
        </w:rPr>
        <w:t>4</w:t>
      </w:r>
      <w:r w:rsidR="00030D83">
        <w:rPr>
          <w:rFonts w:asciiTheme="minorHAnsi" w:hAnsiTheme="minorHAnsi" w:cstheme="minorHAnsi"/>
        </w:rPr>
        <w:t>%</w:t>
      </w:r>
      <w:r w:rsidR="00303542" w:rsidRPr="007D2F92">
        <w:rPr>
          <w:rFonts w:asciiTheme="minorHAnsi" w:hAnsiTheme="minorHAnsi" w:cstheme="minorHAnsi"/>
        </w:rPr>
        <w:t xml:space="preserve"> received income support</w:t>
      </w:r>
      <w:r w:rsidR="00C77156">
        <w:rPr>
          <w:rFonts w:asciiTheme="minorHAnsi" w:hAnsiTheme="minorHAnsi" w:cstheme="minorHAnsi"/>
        </w:rPr>
        <w:t>.</w:t>
      </w:r>
    </w:p>
    <w:p w14:paraId="226068F8" w14:textId="176ADB14" w:rsidR="006749F5" w:rsidRPr="007D2F92" w:rsidRDefault="006749F5" w:rsidP="00905C52">
      <w:pPr>
        <w:pStyle w:val="Heading2notnumbered"/>
      </w:pPr>
      <w:r>
        <w:t>There is an association between the proportion of time spent growing up in a household where a parent or guardian received income support and the child</w:t>
      </w:r>
      <w:r w:rsidR="00B04FCE">
        <w:t>’</w:t>
      </w:r>
      <w:r>
        <w:t>s future use of income support.</w:t>
      </w:r>
    </w:p>
    <w:p w14:paraId="4A22BE32" w14:textId="6CDA9C88" w:rsidR="00303542" w:rsidRPr="007D2F92" w:rsidRDefault="00303542" w:rsidP="007D2F92">
      <w:pPr>
        <w:rPr>
          <w:rFonts w:asciiTheme="minorHAnsi" w:hAnsiTheme="minorHAnsi" w:cstheme="minorHAnsi"/>
          <w:noProof/>
        </w:rPr>
      </w:pPr>
      <w:r w:rsidRPr="007D2F92" w:rsidDel="005B1866">
        <w:rPr>
          <w:rFonts w:asciiTheme="minorHAnsi" w:hAnsiTheme="minorHAnsi" w:cstheme="minorHAnsi"/>
          <w:noProof/>
        </w:rPr>
        <w:t>Half of all</w:t>
      </w:r>
      <w:r w:rsidR="00B04FCE">
        <w:rPr>
          <w:rFonts w:asciiTheme="minorHAnsi" w:hAnsiTheme="minorHAnsi" w:cstheme="minorHAnsi"/>
          <w:noProof/>
        </w:rPr>
        <w:t xml:space="preserve"> </w:t>
      </w:r>
      <w:r w:rsidRPr="007D2F92">
        <w:rPr>
          <w:rFonts w:asciiTheme="minorHAnsi" w:hAnsiTheme="minorHAnsi" w:cstheme="minorHAnsi"/>
          <w:noProof/>
        </w:rPr>
        <w:t xml:space="preserve">children </w:t>
      </w:r>
      <w:r w:rsidR="00943902">
        <w:rPr>
          <w:rFonts w:asciiTheme="minorHAnsi" w:hAnsiTheme="minorHAnsi" w:cstheme="minorHAnsi"/>
          <w:noProof/>
        </w:rPr>
        <w:t>aged 15</w:t>
      </w:r>
      <w:r w:rsidR="00943902" w:rsidRPr="007D2F92">
        <w:rPr>
          <w:rFonts w:asciiTheme="minorHAnsi" w:hAnsiTheme="minorHAnsi" w:cstheme="minorHAnsi"/>
          <w:noProof/>
        </w:rPr>
        <w:t xml:space="preserve"> </w:t>
      </w:r>
      <w:r w:rsidRPr="007D2F92">
        <w:rPr>
          <w:rFonts w:asciiTheme="minorHAnsi" w:hAnsiTheme="minorHAnsi" w:cstheme="minorHAnsi"/>
          <w:noProof/>
        </w:rPr>
        <w:t>at 30</w:t>
      </w:r>
      <w:r w:rsidR="00E46C6A">
        <w:rPr>
          <w:rFonts w:asciiTheme="minorHAnsi" w:hAnsiTheme="minorHAnsi" w:cstheme="minorHAnsi"/>
          <w:noProof/>
        </w:rPr>
        <w:t> June </w:t>
      </w:r>
      <w:r w:rsidRPr="007D2F92">
        <w:rPr>
          <w:rFonts w:asciiTheme="minorHAnsi" w:hAnsiTheme="minorHAnsi" w:cstheme="minorHAnsi"/>
          <w:noProof/>
        </w:rPr>
        <w:t xml:space="preserve">2022 </w:t>
      </w:r>
      <w:r w:rsidR="00967A37">
        <w:rPr>
          <w:rFonts w:asciiTheme="minorHAnsi" w:hAnsiTheme="minorHAnsi" w:cstheme="minorHAnsi"/>
          <w:noProof/>
        </w:rPr>
        <w:t>(16</w:t>
      </w:r>
      <w:r w:rsidR="00967A37" w:rsidRPr="007D2F92">
        <w:rPr>
          <w:rFonts w:asciiTheme="minorHAnsi" w:hAnsiTheme="minorHAnsi" w:cstheme="minorHAnsi"/>
          <w:noProof/>
        </w:rPr>
        <w:t>0,000</w:t>
      </w:r>
      <w:r w:rsidR="00967A37">
        <w:rPr>
          <w:rFonts w:asciiTheme="minorHAnsi" w:hAnsiTheme="minorHAnsi" w:cstheme="minorHAnsi"/>
          <w:noProof/>
        </w:rPr>
        <w:t>)</w:t>
      </w:r>
      <w:r w:rsidRPr="007D2F92">
        <w:rPr>
          <w:rFonts w:asciiTheme="minorHAnsi" w:hAnsiTheme="minorHAnsi" w:cstheme="minorHAnsi"/>
          <w:noProof/>
        </w:rPr>
        <w:t xml:space="preserve"> </w:t>
      </w:r>
      <w:r w:rsidR="00967A37">
        <w:rPr>
          <w:rFonts w:asciiTheme="minorHAnsi" w:hAnsiTheme="minorHAnsi" w:cstheme="minorHAnsi"/>
          <w:noProof/>
        </w:rPr>
        <w:t>grew up in a household with</w:t>
      </w:r>
      <w:r w:rsidRPr="007D2F92">
        <w:rPr>
          <w:rFonts w:asciiTheme="minorHAnsi" w:hAnsiTheme="minorHAnsi" w:cstheme="minorHAnsi"/>
          <w:noProof/>
        </w:rPr>
        <w:t xml:space="preserve"> </w:t>
      </w:r>
      <w:r w:rsidR="00967A37">
        <w:rPr>
          <w:rFonts w:asciiTheme="minorHAnsi" w:hAnsiTheme="minorHAnsi" w:cstheme="minorHAnsi"/>
          <w:noProof/>
        </w:rPr>
        <w:t xml:space="preserve">a </w:t>
      </w:r>
      <w:r w:rsidRPr="007D2F92">
        <w:rPr>
          <w:rFonts w:asciiTheme="minorHAnsi" w:hAnsiTheme="minorHAnsi" w:cstheme="minorHAnsi"/>
          <w:noProof/>
        </w:rPr>
        <w:t>parent</w:t>
      </w:r>
      <w:r w:rsidR="00967A37">
        <w:rPr>
          <w:rFonts w:asciiTheme="minorHAnsi" w:hAnsiTheme="minorHAnsi" w:cstheme="minorHAnsi"/>
          <w:noProof/>
        </w:rPr>
        <w:t xml:space="preserve"> or guardian</w:t>
      </w:r>
      <w:r w:rsidRPr="007D2F92">
        <w:rPr>
          <w:rFonts w:asciiTheme="minorHAnsi" w:hAnsiTheme="minorHAnsi" w:cstheme="minorHAnsi"/>
          <w:noProof/>
        </w:rPr>
        <w:t xml:space="preserve"> who received income support</w:t>
      </w:r>
      <w:r w:rsidR="004818DA">
        <w:rPr>
          <w:rFonts w:asciiTheme="minorHAnsi" w:hAnsiTheme="minorHAnsi" w:cstheme="minorHAnsi"/>
          <w:noProof/>
        </w:rPr>
        <w:t xml:space="preserve"> </w:t>
      </w:r>
      <w:r w:rsidRPr="007D2F92">
        <w:rPr>
          <w:rFonts w:asciiTheme="minorHAnsi" w:hAnsiTheme="minorHAnsi" w:cstheme="minorHAnsi"/>
          <w:noProof/>
        </w:rPr>
        <w:t>payments</w:t>
      </w:r>
      <w:r w:rsidR="005B1866">
        <w:rPr>
          <w:rFonts w:asciiTheme="minorHAnsi" w:hAnsiTheme="minorHAnsi" w:cstheme="minorHAnsi"/>
          <w:noProof/>
        </w:rPr>
        <w:t>.</w:t>
      </w:r>
      <w:r w:rsidRPr="007D2F92">
        <w:rPr>
          <w:rFonts w:asciiTheme="minorHAnsi" w:hAnsiTheme="minorHAnsi" w:cstheme="minorHAnsi"/>
          <w:noProof/>
        </w:rPr>
        <w:t xml:space="preserve"> </w:t>
      </w:r>
      <w:r w:rsidR="00967A37">
        <w:rPr>
          <w:rFonts w:asciiTheme="minorHAnsi" w:hAnsiTheme="minorHAnsi" w:cstheme="minorHAnsi"/>
          <w:noProof/>
        </w:rPr>
        <w:t xml:space="preserve">As shown in </w:t>
      </w:r>
      <w:r w:rsidR="00080DBD">
        <w:rPr>
          <w:rFonts w:asciiTheme="minorHAnsi" w:hAnsiTheme="minorHAnsi" w:cstheme="minorHAnsi"/>
          <w:noProof/>
        </w:rPr>
        <w:fldChar w:fldCharType="begin"/>
      </w:r>
      <w:r w:rsidR="00080DBD">
        <w:rPr>
          <w:rFonts w:asciiTheme="minorHAnsi" w:hAnsiTheme="minorHAnsi" w:cstheme="minorHAnsi"/>
          <w:noProof/>
        </w:rPr>
        <w:instrText xml:space="preserve"> REF _Ref153277640 \h  \* MERGEFORMAT </w:instrText>
      </w:r>
      <w:r w:rsidR="00080DBD">
        <w:rPr>
          <w:rFonts w:asciiTheme="minorHAnsi" w:hAnsiTheme="minorHAnsi" w:cstheme="minorHAnsi"/>
          <w:noProof/>
        </w:rPr>
      </w:r>
      <w:r w:rsidR="00080DBD">
        <w:rPr>
          <w:rFonts w:asciiTheme="minorHAnsi" w:hAnsiTheme="minorHAnsi" w:cstheme="minorHAnsi"/>
          <w:noProof/>
        </w:rPr>
        <w:fldChar w:fldCharType="separate"/>
      </w:r>
      <w:r w:rsidR="00722C0A" w:rsidRPr="00722C0A">
        <w:rPr>
          <w:rFonts w:asciiTheme="minorHAnsi" w:hAnsiTheme="minorHAnsi" w:cstheme="minorHAnsi"/>
        </w:rPr>
        <w:t>Figure 1.1</w:t>
      </w:r>
      <w:r w:rsidR="00080DBD">
        <w:rPr>
          <w:rFonts w:asciiTheme="minorHAnsi" w:hAnsiTheme="minorHAnsi" w:cstheme="minorHAnsi"/>
          <w:noProof/>
        </w:rPr>
        <w:fldChar w:fldCharType="end"/>
      </w:r>
      <w:r w:rsidR="00967A37">
        <w:rPr>
          <w:rFonts w:asciiTheme="minorHAnsi" w:hAnsiTheme="minorHAnsi" w:cstheme="minorHAnsi"/>
          <w:noProof/>
        </w:rPr>
        <w:t xml:space="preserve">, </w:t>
      </w:r>
      <w:r w:rsidRPr="007D2F92">
        <w:rPr>
          <w:rFonts w:asciiTheme="minorHAnsi" w:hAnsiTheme="minorHAnsi" w:cstheme="minorHAnsi"/>
          <w:noProof/>
        </w:rPr>
        <w:t xml:space="preserve">17% </w:t>
      </w:r>
      <w:r w:rsidR="00967A37">
        <w:rPr>
          <w:rFonts w:asciiTheme="minorHAnsi" w:hAnsiTheme="minorHAnsi" w:cstheme="minorHAnsi"/>
          <w:noProof/>
        </w:rPr>
        <w:t xml:space="preserve">of children </w:t>
      </w:r>
      <w:r w:rsidRPr="007D2F92">
        <w:rPr>
          <w:rFonts w:asciiTheme="minorHAnsi" w:hAnsiTheme="minorHAnsi" w:cstheme="minorHAnsi"/>
          <w:noProof/>
        </w:rPr>
        <w:t xml:space="preserve">had </w:t>
      </w:r>
      <w:r w:rsidR="00967A37">
        <w:rPr>
          <w:rFonts w:asciiTheme="minorHAnsi" w:hAnsiTheme="minorHAnsi" w:cstheme="minorHAnsi"/>
          <w:noProof/>
        </w:rPr>
        <w:t>a</w:t>
      </w:r>
      <w:r w:rsidRPr="007D2F92">
        <w:rPr>
          <w:rFonts w:asciiTheme="minorHAnsi" w:hAnsiTheme="minorHAnsi" w:cstheme="minorHAnsi"/>
          <w:noProof/>
        </w:rPr>
        <w:t xml:space="preserve"> parent </w:t>
      </w:r>
      <w:r w:rsidR="00AB316F">
        <w:rPr>
          <w:rFonts w:asciiTheme="minorHAnsi" w:hAnsiTheme="minorHAnsi" w:cstheme="minorHAnsi"/>
          <w:noProof/>
        </w:rPr>
        <w:t xml:space="preserve">or guardian </w:t>
      </w:r>
      <w:r w:rsidRPr="007D2F92">
        <w:rPr>
          <w:rFonts w:asciiTheme="minorHAnsi" w:hAnsiTheme="minorHAnsi" w:cstheme="minorHAnsi"/>
          <w:noProof/>
        </w:rPr>
        <w:t>who received income support</w:t>
      </w:r>
      <w:r w:rsidR="00B04FCE">
        <w:rPr>
          <w:rFonts w:asciiTheme="minorHAnsi" w:hAnsiTheme="minorHAnsi" w:cstheme="minorHAnsi"/>
          <w:noProof/>
        </w:rPr>
        <w:t xml:space="preserve"> </w:t>
      </w:r>
      <w:r w:rsidRPr="007D2F92">
        <w:rPr>
          <w:rFonts w:asciiTheme="minorHAnsi" w:hAnsiTheme="minorHAnsi" w:cstheme="minorHAnsi"/>
          <w:noProof/>
        </w:rPr>
        <w:t>payments for more than half of their childhood.</w:t>
      </w:r>
    </w:p>
    <w:p w14:paraId="3A27F996" w14:textId="473C83FE" w:rsidR="00B04FCE" w:rsidRDefault="007855DD" w:rsidP="005E332C">
      <w:pPr>
        <w:pStyle w:val="FigureMainHeading"/>
      </w:pPr>
      <w:bookmarkStart w:id="13" w:name="_Ref153277640"/>
      <w:r>
        <w:t>Figure </w:t>
      </w:r>
      <w:r w:rsidR="00B80D45">
        <w:fldChar w:fldCharType="begin"/>
      </w:r>
      <w:r w:rsidR="00B80D45">
        <w:instrText xml:space="preserve"> STYLEREF 1 \s </w:instrText>
      </w:r>
      <w:r w:rsidR="00B80D45">
        <w:fldChar w:fldCharType="separate"/>
      </w:r>
      <w:r w:rsidR="00722C0A">
        <w:rPr>
          <w:noProof/>
        </w:rPr>
        <w:t>1</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1</w:t>
      </w:r>
      <w:r w:rsidR="00B80D45">
        <w:rPr>
          <w:noProof/>
        </w:rPr>
        <w:fldChar w:fldCharType="end"/>
      </w:r>
      <w:bookmarkEnd w:id="13"/>
      <w:r w:rsidR="005E332C">
        <w:t>:</w:t>
      </w:r>
      <w:r w:rsidR="005E332C">
        <w:tab/>
      </w:r>
      <w:r w:rsidR="003E3D74" w:rsidRPr="007D2F92">
        <w:t xml:space="preserve">Number of children </w:t>
      </w:r>
      <w:r w:rsidR="00276F75">
        <w:t xml:space="preserve">aged </w:t>
      </w:r>
      <w:r w:rsidR="00DA51C0" w:rsidRPr="007D2F92">
        <w:t>15</w:t>
      </w:r>
      <w:r w:rsidR="00E848EC">
        <w:t xml:space="preserve"> </w:t>
      </w:r>
      <w:r w:rsidR="00967A37">
        <w:t>at</w:t>
      </w:r>
      <w:r w:rsidR="003E3D74" w:rsidRPr="007D2F92">
        <w:t xml:space="preserve"> 30</w:t>
      </w:r>
      <w:r w:rsidR="00E46C6A">
        <w:t> June </w:t>
      </w:r>
      <w:r w:rsidR="003E3D74" w:rsidRPr="007D2F92">
        <w:t>2022</w:t>
      </w:r>
    </w:p>
    <w:p w14:paraId="15B4AB07" w14:textId="00CC56BB" w:rsidR="00303542" w:rsidRPr="007D2F92" w:rsidRDefault="00303542" w:rsidP="00B04FCE">
      <w:pPr>
        <w:pStyle w:val="ChartGraphic"/>
      </w:pPr>
      <w:r w:rsidRPr="007D2F92">
        <w:rPr>
          <w:noProof/>
        </w:rPr>
        <w:drawing>
          <wp:inline distT="0" distB="0" distL="0" distR="0" wp14:anchorId="1B9BFB3B" wp14:editId="6A9C685D">
            <wp:extent cx="4319905" cy="2268000"/>
            <wp:effectExtent l="0" t="0" r="4445" b="0"/>
            <wp:docPr id="14" name="Chart 14" descr="This chart shows the number and proportion of children who had at least one parent or guardian receiving income support for: 50% to 100% of their childhood (56 000, 17%), 0% to 50% of their childhood (106 000, 32%), or not at all (164 000, 50%), at 30 June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11E696" w14:textId="512E6600" w:rsidR="00303542" w:rsidRPr="007D2F92" w:rsidRDefault="00303542" w:rsidP="00905C52">
      <w:pPr>
        <w:pStyle w:val="Heading2notnumbered"/>
      </w:pPr>
      <w:bookmarkStart w:id="14" w:name="_Hlk155707419"/>
      <w:r w:rsidRPr="007D2F92">
        <w:t xml:space="preserve">Children </w:t>
      </w:r>
      <w:r w:rsidR="00941CED">
        <w:t>who spent more than half of their childhood in a household with a parent</w:t>
      </w:r>
      <w:r w:rsidRPr="007D2F92">
        <w:t xml:space="preserve"> </w:t>
      </w:r>
      <w:r w:rsidR="00AB316F">
        <w:t xml:space="preserve">or guardian </w:t>
      </w:r>
      <w:r w:rsidR="00241EF2">
        <w:t>receiv</w:t>
      </w:r>
      <w:r w:rsidR="00941CED">
        <w:t>ing</w:t>
      </w:r>
      <w:r w:rsidRPr="007D2F92">
        <w:t xml:space="preserve"> income support are</w:t>
      </w:r>
      <w:r w:rsidR="00F25805">
        <w:t xml:space="preserve"> </w:t>
      </w:r>
      <w:r w:rsidR="00143FA0">
        <w:t>1.5</w:t>
      </w:r>
      <w:r w:rsidR="00F40387">
        <w:t> times</w:t>
      </w:r>
      <w:r w:rsidR="00F11D92">
        <w:t xml:space="preserve"> </w:t>
      </w:r>
      <w:r w:rsidRPr="007D2F92">
        <w:t>more likely to receive income support</w:t>
      </w:r>
      <w:r w:rsidR="00941CED">
        <w:t xml:space="preserve"> themselves</w:t>
      </w:r>
      <w:r w:rsidRPr="007D2F92">
        <w:t xml:space="preserve">, </w:t>
      </w:r>
      <w:r w:rsidR="00F25805">
        <w:t>compared to</w:t>
      </w:r>
      <w:r w:rsidR="005E7895">
        <w:t xml:space="preserve"> </w:t>
      </w:r>
      <w:r w:rsidR="00941CED">
        <w:t>children whose par</w:t>
      </w:r>
      <w:r w:rsidR="00AB316F">
        <w:t>ent or guardian</w:t>
      </w:r>
      <w:r w:rsidR="00941CED">
        <w:t xml:space="preserve"> did not receive income support.</w:t>
      </w:r>
      <w:r w:rsidRPr="007D2F92" w:rsidDel="005E7895">
        <w:t xml:space="preserve"> </w:t>
      </w:r>
      <w:r w:rsidR="0045481F">
        <w:t>They are also</w:t>
      </w:r>
      <w:r w:rsidR="0045481F" w:rsidRPr="007D2F92">
        <w:t xml:space="preserve"> more likely to receive </w:t>
      </w:r>
      <w:r w:rsidR="0045481F">
        <w:t>this support</w:t>
      </w:r>
      <w:r w:rsidR="0045481F" w:rsidRPr="007D2F92">
        <w:t xml:space="preserve"> earlier in life.</w:t>
      </w:r>
    </w:p>
    <w:bookmarkEnd w:id="14"/>
    <w:p w14:paraId="7CC7E76C" w14:textId="362BEFD5" w:rsidR="00303542" w:rsidRPr="007D2F92" w:rsidRDefault="00E06494" w:rsidP="00736986">
      <w:pPr>
        <w:rPr>
          <w:rFonts w:asciiTheme="minorHAnsi" w:hAnsiTheme="minorHAnsi" w:cstheme="minorHAnsi"/>
        </w:rPr>
      </w:pPr>
      <w:r>
        <w:rPr>
          <w:rFonts w:asciiTheme="minorHAnsi" w:hAnsiTheme="minorHAnsi" w:cstheme="minorHAnsi"/>
        </w:rPr>
        <w:t>As shown in</w:t>
      </w:r>
      <w:r w:rsidR="00CD4B93">
        <w:rPr>
          <w:rFonts w:asciiTheme="minorHAnsi" w:hAnsiTheme="minorHAnsi" w:cstheme="minorHAnsi"/>
        </w:rPr>
        <w:t xml:space="preserve"> </w:t>
      </w:r>
      <w:r w:rsidR="00561F6F" w:rsidRPr="008A4A48">
        <w:rPr>
          <w:rFonts w:asciiTheme="minorHAnsi" w:hAnsiTheme="minorHAnsi" w:cstheme="minorHAnsi"/>
        </w:rPr>
        <w:fldChar w:fldCharType="begin"/>
      </w:r>
      <w:r w:rsidR="00561F6F" w:rsidRPr="008A4A48">
        <w:rPr>
          <w:rFonts w:asciiTheme="minorHAnsi" w:hAnsiTheme="minorHAnsi" w:cstheme="minorHAnsi"/>
        </w:rPr>
        <w:instrText xml:space="preserve"> REF _Ref153536111 \h </w:instrText>
      </w:r>
      <w:r w:rsidR="008A4A48" w:rsidRPr="008A4A48">
        <w:rPr>
          <w:rFonts w:asciiTheme="minorHAnsi" w:hAnsiTheme="minorHAnsi" w:cstheme="minorHAnsi"/>
        </w:rPr>
        <w:instrText xml:space="preserve"> \* MERGEFORMAT </w:instrText>
      </w:r>
      <w:r w:rsidR="00561F6F" w:rsidRPr="008A4A48">
        <w:rPr>
          <w:rFonts w:asciiTheme="minorHAnsi" w:hAnsiTheme="minorHAnsi" w:cstheme="minorHAnsi"/>
        </w:rPr>
      </w:r>
      <w:r w:rsidR="00561F6F" w:rsidRPr="008A4A48">
        <w:rPr>
          <w:rFonts w:asciiTheme="minorHAnsi" w:hAnsiTheme="minorHAnsi" w:cstheme="minorHAnsi"/>
        </w:rPr>
        <w:fldChar w:fldCharType="separate"/>
      </w:r>
      <w:r w:rsidR="00722C0A" w:rsidRPr="00722C0A">
        <w:rPr>
          <w:rFonts w:asciiTheme="minorHAnsi" w:hAnsiTheme="minorHAnsi" w:cstheme="minorHAnsi"/>
        </w:rPr>
        <w:t>Figure 1.2</w:t>
      </w:r>
      <w:r w:rsidR="00561F6F" w:rsidRPr="008A4A48">
        <w:rPr>
          <w:rFonts w:asciiTheme="minorHAnsi" w:hAnsiTheme="minorHAnsi" w:cstheme="minorHAnsi"/>
        </w:rPr>
        <w:fldChar w:fldCharType="end"/>
      </w:r>
      <w:r>
        <w:rPr>
          <w:rFonts w:asciiTheme="minorHAnsi" w:hAnsiTheme="minorHAnsi" w:cstheme="minorHAnsi"/>
        </w:rPr>
        <w:t xml:space="preserve">, </w:t>
      </w:r>
      <w:r w:rsidR="000235E2">
        <w:rPr>
          <w:rFonts w:asciiTheme="minorHAnsi" w:hAnsiTheme="minorHAnsi" w:cstheme="minorHAnsi"/>
        </w:rPr>
        <w:t>47</w:t>
      </w:r>
      <w:r w:rsidR="001B02B5">
        <w:rPr>
          <w:rFonts w:asciiTheme="minorHAnsi" w:hAnsiTheme="minorHAnsi" w:cstheme="minorHAnsi"/>
        </w:rPr>
        <w:t>% of c</w:t>
      </w:r>
      <w:r w:rsidR="005754F8">
        <w:rPr>
          <w:rFonts w:asciiTheme="minorHAnsi" w:hAnsiTheme="minorHAnsi" w:cstheme="minorHAnsi"/>
        </w:rPr>
        <w:t xml:space="preserve">hildren aged 15 </w:t>
      </w:r>
      <w:r w:rsidR="001B02B5">
        <w:rPr>
          <w:rFonts w:asciiTheme="minorHAnsi" w:hAnsiTheme="minorHAnsi" w:cstheme="minorHAnsi"/>
        </w:rPr>
        <w:t xml:space="preserve">who spent </w:t>
      </w:r>
      <w:r w:rsidR="005B1866">
        <w:rPr>
          <w:rFonts w:asciiTheme="minorHAnsi" w:hAnsiTheme="minorHAnsi" w:cstheme="minorHAnsi"/>
        </w:rPr>
        <w:t xml:space="preserve">more than half of their </w:t>
      </w:r>
      <w:r w:rsidR="001B02B5">
        <w:rPr>
          <w:rFonts w:asciiTheme="minorHAnsi" w:hAnsiTheme="minorHAnsi" w:cstheme="minorHAnsi"/>
        </w:rPr>
        <w:t xml:space="preserve">childhood in a household with </w:t>
      </w:r>
      <w:r w:rsidR="0045481F">
        <w:rPr>
          <w:rFonts w:asciiTheme="minorHAnsi" w:hAnsiTheme="minorHAnsi" w:cstheme="minorHAnsi"/>
        </w:rPr>
        <w:t>a parent</w:t>
      </w:r>
      <w:r w:rsidR="005B1866">
        <w:rPr>
          <w:rFonts w:asciiTheme="minorHAnsi" w:hAnsiTheme="minorHAnsi" w:cstheme="minorHAnsi"/>
        </w:rPr>
        <w:t xml:space="preserve"> </w:t>
      </w:r>
      <w:r w:rsidR="00AB316F">
        <w:rPr>
          <w:rFonts w:asciiTheme="minorHAnsi" w:hAnsiTheme="minorHAnsi" w:cstheme="minorHAnsi"/>
        </w:rPr>
        <w:t xml:space="preserve">or guardian </w:t>
      </w:r>
      <w:r w:rsidR="0045481F">
        <w:rPr>
          <w:rFonts w:asciiTheme="minorHAnsi" w:hAnsiTheme="minorHAnsi" w:cstheme="minorHAnsi"/>
        </w:rPr>
        <w:t>receiving</w:t>
      </w:r>
      <w:r w:rsidR="005B1866">
        <w:rPr>
          <w:rFonts w:asciiTheme="minorHAnsi" w:hAnsiTheme="minorHAnsi" w:cstheme="minorHAnsi"/>
        </w:rPr>
        <w:t xml:space="preserve"> income support</w:t>
      </w:r>
      <w:r w:rsidR="001B02B5">
        <w:rPr>
          <w:rFonts w:asciiTheme="minorHAnsi" w:hAnsiTheme="minorHAnsi" w:cstheme="minorHAnsi"/>
        </w:rPr>
        <w:t xml:space="preserve"> are projected to access</w:t>
      </w:r>
      <w:r w:rsidR="005B1866">
        <w:rPr>
          <w:rFonts w:asciiTheme="minorHAnsi" w:hAnsiTheme="minorHAnsi" w:cstheme="minorHAnsi"/>
        </w:rPr>
        <w:t xml:space="preserve"> income support for the first time when they are </w:t>
      </w:r>
      <w:r w:rsidR="001B02B5">
        <w:rPr>
          <w:rFonts w:asciiTheme="minorHAnsi" w:hAnsiTheme="minorHAnsi" w:cstheme="minorHAnsi"/>
        </w:rPr>
        <w:t xml:space="preserve">aged </w:t>
      </w:r>
      <w:r w:rsidR="005B1866">
        <w:rPr>
          <w:rFonts w:asciiTheme="minorHAnsi" w:hAnsiTheme="minorHAnsi" w:cstheme="minorHAnsi"/>
        </w:rPr>
        <w:t>between 18 and 22</w:t>
      </w:r>
      <w:r w:rsidR="001B02B5">
        <w:rPr>
          <w:rFonts w:asciiTheme="minorHAnsi" w:hAnsiTheme="minorHAnsi" w:cstheme="minorHAnsi"/>
        </w:rPr>
        <w:t xml:space="preserve">. </w:t>
      </w:r>
      <w:r w:rsidR="006B607A">
        <w:rPr>
          <w:rFonts w:asciiTheme="minorHAnsi" w:hAnsiTheme="minorHAnsi" w:cstheme="minorHAnsi"/>
        </w:rPr>
        <w:t xml:space="preserve">A further </w:t>
      </w:r>
      <w:r w:rsidR="008450B5">
        <w:rPr>
          <w:rFonts w:asciiTheme="minorHAnsi" w:hAnsiTheme="minorHAnsi" w:cstheme="minorHAnsi"/>
        </w:rPr>
        <w:t xml:space="preserve">12% </w:t>
      </w:r>
      <w:r w:rsidR="006B607A">
        <w:rPr>
          <w:rFonts w:asciiTheme="minorHAnsi" w:hAnsiTheme="minorHAnsi" w:cstheme="minorHAnsi"/>
        </w:rPr>
        <w:t>are projected to access income support</w:t>
      </w:r>
      <w:r w:rsidR="008450B5">
        <w:rPr>
          <w:rFonts w:asciiTheme="minorHAnsi" w:hAnsiTheme="minorHAnsi" w:cstheme="minorHAnsi"/>
        </w:rPr>
        <w:t xml:space="preserve"> before</w:t>
      </w:r>
      <w:r w:rsidR="00D01768">
        <w:rPr>
          <w:rFonts w:asciiTheme="minorHAnsi" w:hAnsiTheme="minorHAnsi" w:cstheme="minorHAnsi"/>
        </w:rPr>
        <w:t xml:space="preserve"> age </w:t>
      </w:r>
      <w:r w:rsidR="008450B5">
        <w:rPr>
          <w:rFonts w:asciiTheme="minorHAnsi" w:hAnsiTheme="minorHAnsi" w:cstheme="minorHAnsi"/>
        </w:rPr>
        <w:t>18</w:t>
      </w:r>
      <w:r w:rsidR="001B02B5">
        <w:rPr>
          <w:rFonts w:asciiTheme="minorHAnsi" w:hAnsiTheme="minorHAnsi" w:cstheme="minorHAnsi"/>
        </w:rPr>
        <w:t xml:space="preserve">, </w:t>
      </w:r>
      <w:r w:rsidR="006B607A">
        <w:rPr>
          <w:rFonts w:asciiTheme="minorHAnsi" w:hAnsiTheme="minorHAnsi" w:cstheme="minorHAnsi"/>
        </w:rPr>
        <w:t>and</w:t>
      </w:r>
      <w:r w:rsidR="008450B5" w:rsidRPr="008450B5">
        <w:rPr>
          <w:rFonts w:asciiTheme="minorHAnsi" w:hAnsiTheme="minorHAnsi" w:cstheme="minorHAnsi"/>
        </w:rPr>
        <w:t xml:space="preserve"> </w:t>
      </w:r>
      <w:r w:rsidR="008450B5">
        <w:rPr>
          <w:rFonts w:asciiTheme="minorHAnsi" w:hAnsiTheme="minorHAnsi" w:cstheme="minorHAnsi"/>
        </w:rPr>
        <w:t>15% after</w:t>
      </w:r>
      <w:r w:rsidR="00D01768">
        <w:rPr>
          <w:rFonts w:asciiTheme="minorHAnsi" w:hAnsiTheme="minorHAnsi" w:cstheme="minorHAnsi"/>
        </w:rPr>
        <w:t xml:space="preserve"> age </w:t>
      </w:r>
      <w:r w:rsidR="008450B5">
        <w:rPr>
          <w:rFonts w:asciiTheme="minorHAnsi" w:hAnsiTheme="minorHAnsi" w:cstheme="minorHAnsi"/>
        </w:rPr>
        <w:t>22</w:t>
      </w:r>
      <w:r w:rsidR="006B607A">
        <w:rPr>
          <w:rFonts w:asciiTheme="minorHAnsi" w:hAnsiTheme="minorHAnsi" w:cstheme="minorHAnsi"/>
        </w:rPr>
        <w:t>. The remaining</w:t>
      </w:r>
      <w:r w:rsidR="005B1866">
        <w:rPr>
          <w:rFonts w:asciiTheme="minorHAnsi" w:hAnsiTheme="minorHAnsi" w:cstheme="minorHAnsi"/>
        </w:rPr>
        <w:t xml:space="preserve"> 25% are </w:t>
      </w:r>
      <w:r w:rsidR="005F5E0B">
        <w:rPr>
          <w:rFonts w:asciiTheme="minorHAnsi" w:hAnsiTheme="minorHAnsi" w:cstheme="minorHAnsi"/>
        </w:rPr>
        <w:t>not</w:t>
      </w:r>
      <w:r w:rsidR="005B1866">
        <w:rPr>
          <w:rFonts w:asciiTheme="minorHAnsi" w:hAnsiTheme="minorHAnsi" w:cstheme="minorHAnsi"/>
        </w:rPr>
        <w:t xml:space="preserve"> predicted to </w:t>
      </w:r>
      <w:r w:rsidR="006B607A">
        <w:rPr>
          <w:rFonts w:asciiTheme="minorHAnsi" w:hAnsiTheme="minorHAnsi" w:cstheme="minorHAnsi"/>
        </w:rPr>
        <w:t xml:space="preserve">use </w:t>
      </w:r>
      <w:r w:rsidR="005B1866">
        <w:rPr>
          <w:rFonts w:asciiTheme="minorHAnsi" w:hAnsiTheme="minorHAnsi" w:cstheme="minorHAnsi"/>
        </w:rPr>
        <w:t xml:space="preserve">income support </w:t>
      </w:r>
      <w:r w:rsidR="006B607A">
        <w:rPr>
          <w:rFonts w:asciiTheme="minorHAnsi" w:hAnsiTheme="minorHAnsi" w:cstheme="minorHAnsi"/>
        </w:rPr>
        <w:t>prior to retirement</w:t>
      </w:r>
      <w:r w:rsidR="005B1866">
        <w:rPr>
          <w:rFonts w:asciiTheme="minorHAnsi" w:hAnsiTheme="minorHAnsi" w:cstheme="minorHAnsi"/>
        </w:rPr>
        <w:t xml:space="preserve">. </w:t>
      </w:r>
      <w:r w:rsidR="006B607A">
        <w:rPr>
          <w:rFonts w:asciiTheme="minorHAnsi" w:hAnsiTheme="minorHAnsi" w:cstheme="minorHAnsi"/>
        </w:rPr>
        <w:t>In contrast</w:t>
      </w:r>
      <w:r w:rsidR="005B1866">
        <w:rPr>
          <w:rFonts w:asciiTheme="minorHAnsi" w:hAnsiTheme="minorHAnsi" w:cstheme="minorHAnsi"/>
        </w:rPr>
        <w:t xml:space="preserve">, </w:t>
      </w:r>
      <w:r w:rsidR="005E7895">
        <w:rPr>
          <w:rFonts w:asciiTheme="minorHAnsi" w:hAnsiTheme="minorHAnsi" w:cstheme="minorHAnsi"/>
        </w:rPr>
        <w:t xml:space="preserve">50% of </w:t>
      </w:r>
      <w:r w:rsidR="005B1866">
        <w:rPr>
          <w:rFonts w:asciiTheme="minorHAnsi" w:hAnsiTheme="minorHAnsi" w:cstheme="minorHAnsi"/>
        </w:rPr>
        <w:t xml:space="preserve">children </w:t>
      </w:r>
      <w:r w:rsidR="005E7895">
        <w:rPr>
          <w:rFonts w:asciiTheme="minorHAnsi" w:hAnsiTheme="minorHAnsi" w:cstheme="minorHAnsi"/>
        </w:rPr>
        <w:t xml:space="preserve">aged 15 who did not grow up in a household with a parent </w:t>
      </w:r>
      <w:r w:rsidR="00AB316F">
        <w:rPr>
          <w:rFonts w:asciiTheme="minorHAnsi" w:hAnsiTheme="minorHAnsi" w:cstheme="minorHAnsi"/>
        </w:rPr>
        <w:t xml:space="preserve">or guardian </w:t>
      </w:r>
      <w:r w:rsidR="005E7895">
        <w:rPr>
          <w:rFonts w:asciiTheme="minorHAnsi" w:hAnsiTheme="minorHAnsi" w:cstheme="minorHAnsi"/>
        </w:rPr>
        <w:t xml:space="preserve">receiving income support </w:t>
      </w:r>
      <w:r w:rsidR="005B1866">
        <w:rPr>
          <w:rFonts w:asciiTheme="minorHAnsi" w:hAnsiTheme="minorHAnsi" w:cstheme="minorHAnsi"/>
        </w:rPr>
        <w:t xml:space="preserve">are </w:t>
      </w:r>
      <w:r w:rsidR="0045481F">
        <w:rPr>
          <w:rFonts w:asciiTheme="minorHAnsi" w:hAnsiTheme="minorHAnsi" w:cstheme="minorHAnsi"/>
        </w:rPr>
        <w:t xml:space="preserve">not </w:t>
      </w:r>
      <w:r w:rsidR="005B1866">
        <w:rPr>
          <w:rFonts w:asciiTheme="minorHAnsi" w:hAnsiTheme="minorHAnsi" w:cstheme="minorHAnsi"/>
        </w:rPr>
        <w:t xml:space="preserve">projected to </w:t>
      </w:r>
      <w:r w:rsidR="005E7895">
        <w:rPr>
          <w:rFonts w:asciiTheme="minorHAnsi" w:hAnsiTheme="minorHAnsi" w:cstheme="minorHAnsi"/>
        </w:rPr>
        <w:t xml:space="preserve">access income support </w:t>
      </w:r>
      <w:r w:rsidR="002B54DC">
        <w:rPr>
          <w:rFonts w:asciiTheme="minorHAnsi" w:hAnsiTheme="minorHAnsi" w:cstheme="minorHAnsi"/>
        </w:rPr>
        <w:t xml:space="preserve">before retirement. </w:t>
      </w:r>
      <w:r w:rsidR="0045481F">
        <w:rPr>
          <w:rFonts w:asciiTheme="minorHAnsi" w:hAnsiTheme="minorHAnsi" w:cstheme="minorHAnsi"/>
        </w:rPr>
        <w:t>Those</w:t>
      </w:r>
      <w:r w:rsidR="002B54DC">
        <w:rPr>
          <w:rFonts w:asciiTheme="minorHAnsi" w:hAnsiTheme="minorHAnsi" w:cstheme="minorHAnsi"/>
        </w:rPr>
        <w:t xml:space="preserve"> projected to access income support</w:t>
      </w:r>
      <w:r w:rsidR="0045481F">
        <w:rPr>
          <w:rFonts w:asciiTheme="minorHAnsi" w:hAnsiTheme="minorHAnsi" w:cstheme="minorHAnsi"/>
        </w:rPr>
        <w:t xml:space="preserve"> tend</w:t>
      </w:r>
      <w:r w:rsidR="002B54DC">
        <w:rPr>
          <w:rFonts w:asciiTheme="minorHAnsi" w:hAnsiTheme="minorHAnsi" w:cstheme="minorHAnsi"/>
        </w:rPr>
        <w:t xml:space="preserve"> to </w:t>
      </w:r>
      <w:r w:rsidR="0045481F">
        <w:rPr>
          <w:rFonts w:asciiTheme="minorHAnsi" w:hAnsiTheme="minorHAnsi" w:cstheme="minorHAnsi"/>
        </w:rPr>
        <w:t>do so</w:t>
      </w:r>
      <w:r w:rsidR="002B54DC">
        <w:rPr>
          <w:rFonts w:asciiTheme="minorHAnsi" w:hAnsiTheme="minorHAnsi" w:cstheme="minorHAnsi"/>
        </w:rPr>
        <w:t xml:space="preserve"> at an older age, with </w:t>
      </w:r>
      <w:r w:rsidR="005E7895">
        <w:rPr>
          <w:rFonts w:asciiTheme="minorHAnsi" w:hAnsiTheme="minorHAnsi" w:cstheme="minorHAnsi"/>
        </w:rPr>
        <w:t>3</w:t>
      </w:r>
      <w:r w:rsidR="00F06F94">
        <w:rPr>
          <w:rFonts w:asciiTheme="minorHAnsi" w:hAnsiTheme="minorHAnsi" w:cstheme="minorHAnsi"/>
        </w:rPr>
        <w:t>5</w:t>
      </w:r>
      <w:r w:rsidR="005E7895">
        <w:rPr>
          <w:rFonts w:asciiTheme="minorHAnsi" w:hAnsiTheme="minorHAnsi" w:cstheme="minorHAnsi"/>
        </w:rPr>
        <w:t xml:space="preserve">% projected to </w:t>
      </w:r>
      <w:r w:rsidR="0045481F">
        <w:rPr>
          <w:rFonts w:asciiTheme="minorHAnsi" w:hAnsiTheme="minorHAnsi" w:cstheme="minorHAnsi"/>
        </w:rPr>
        <w:t>first use</w:t>
      </w:r>
      <w:r w:rsidR="005E7895">
        <w:rPr>
          <w:rFonts w:asciiTheme="minorHAnsi" w:hAnsiTheme="minorHAnsi" w:cstheme="minorHAnsi"/>
        </w:rPr>
        <w:t xml:space="preserve"> income support after</w:t>
      </w:r>
      <w:r w:rsidR="00D01768">
        <w:rPr>
          <w:rFonts w:asciiTheme="minorHAnsi" w:hAnsiTheme="minorHAnsi" w:cstheme="minorHAnsi"/>
        </w:rPr>
        <w:t xml:space="preserve"> age </w:t>
      </w:r>
      <w:r w:rsidR="005E7895">
        <w:rPr>
          <w:rFonts w:asciiTheme="minorHAnsi" w:hAnsiTheme="minorHAnsi" w:cstheme="minorHAnsi"/>
        </w:rPr>
        <w:t>22</w:t>
      </w:r>
      <w:r>
        <w:rPr>
          <w:rFonts w:asciiTheme="minorHAnsi" w:hAnsiTheme="minorHAnsi" w:cstheme="minorHAnsi"/>
        </w:rPr>
        <w:t>.</w:t>
      </w:r>
    </w:p>
    <w:p w14:paraId="2556BAD6" w14:textId="2F401ACE" w:rsidR="00B04FCE" w:rsidRDefault="007855DD" w:rsidP="005E332C">
      <w:pPr>
        <w:pStyle w:val="FigureMainHeading"/>
      </w:pPr>
      <w:bookmarkStart w:id="15" w:name="_Ref153536111"/>
      <w:r>
        <w:lastRenderedPageBreak/>
        <w:t>Figure </w:t>
      </w:r>
      <w:r w:rsidR="00B80D45">
        <w:fldChar w:fldCharType="begin"/>
      </w:r>
      <w:r w:rsidR="00B80D45">
        <w:instrText xml:space="preserve"> STYLEREF 1 \s </w:instrText>
      </w:r>
      <w:r w:rsidR="00B80D45">
        <w:fldChar w:fldCharType="separate"/>
      </w:r>
      <w:r w:rsidR="00722C0A">
        <w:rPr>
          <w:noProof/>
        </w:rPr>
        <w:t>1</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2</w:t>
      </w:r>
      <w:r w:rsidR="00B80D45">
        <w:rPr>
          <w:noProof/>
        </w:rPr>
        <w:fldChar w:fldCharType="end"/>
      </w:r>
      <w:bookmarkEnd w:id="15"/>
      <w:r w:rsidR="005E332C">
        <w:t>:</w:t>
      </w:r>
      <w:r w:rsidR="005E332C">
        <w:tab/>
      </w:r>
      <w:r w:rsidR="007E4C2E">
        <w:t xml:space="preserve">Projected age of first income support use for children aged </w:t>
      </w:r>
      <w:r w:rsidR="00597C9C">
        <w:t>15 at 30</w:t>
      </w:r>
      <w:r w:rsidR="00E46C6A">
        <w:t> June </w:t>
      </w:r>
      <w:r w:rsidR="00597C9C">
        <w:t>2022</w:t>
      </w:r>
    </w:p>
    <w:p w14:paraId="31FD2354" w14:textId="3B7E3CEF" w:rsidR="00303542" w:rsidRPr="007D2F92" w:rsidRDefault="00BA6383" w:rsidP="00A06FAA">
      <w:pPr>
        <w:pStyle w:val="ChartGraphic"/>
        <w:rPr>
          <w:rFonts w:asciiTheme="minorHAnsi" w:hAnsiTheme="minorHAnsi" w:cstheme="minorHAnsi"/>
        </w:rPr>
      </w:pPr>
      <w:r>
        <w:rPr>
          <w:noProof/>
        </w:rPr>
        <w:drawing>
          <wp:inline distT="0" distB="0" distL="0" distR="0" wp14:anchorId="6143DF76" wp14:editId="673EC378">
            <wp:extent cx="4319905" cy="3116425"/>
            <wp:effectExtent l="0" t="0" r="4445" b="8255"/>
            <wp:docPr id="69" name="Chart 69" descr="This chart shows the projected age of first income support use for children aged 15 at 30 June 2022, split by the percentage of childhood their parent or guardian received income support.&#10;&#10;The larger the percentage of childhood at least one parent or guardian received income support, if at all, the more likely they are to be projected to use income support before retirement.&#10;&#1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0FC2EF" w14:textId="0808949C" w:rsidR="00303542" w:rsidRPr="007D2F92" w:rsidRDefault="00303542" w:rsidP="00A06FAA">
      <w:pPr>
        <w:pStyle w:val="Heading2notnumbered"/>
      </w:pPr>
      <w:r w:rsidRPr="007D2F92">
        <w:t>Children who</w:t>
      </w:r>
      <w:r w:rsidR="00C642F8">
        <w:t xml:space="preserve"> grew up in a household with a </w:t>
      </w:r>
      <w:r w:rsidRPr="007D2F92">
        <w:t xml:space="preserve">parent </w:t>
      </w:r>
      <w:r w:rsidR="00AB316F">
        <w:t xml:space="preserve">or guardian </w:t>
      </w:r>
      <w:r w:rsidRPr="007D2F92">
        <w:t>receiv</w:t>
      </w:r>
      <w:r w:rsidR="00C642F8">
        <w:t>ing</w:t>
      </w:r>
      <w:r w:rsidRPr="007D2F92">
        <w:t xml:space="preserve"> income support are projected to spend longer receiving income support</w:t>
      </w:r>
      <w:r w:rsidR="009A7334">
        <w:t xml:space="preserve"> than children whose parent </w:t>
      </w:r>
      <w:r w:rsidR="00AB316F">
        <w:t xml:space="preserve">or guardian </w:t>
      </w:r>
      <w:r w:rsidR="009A7334">
        <w:t>did not receive income support</w:t>
      </w:r>
      <w:r w:rsidRPr="007D2F92">
        <w:t xml:space="preserve">. </w:t>
      </w:r>
      <w:r w:rsidR="00004C43">
        <w:t xml:space="preserve">Those </w:t>
      </w:r>
      <w:r w:rsidR="00A320CF">
        <w:t xml:space="preserve">who </w:t>
      </w:r>
      <w:r w:rsidR="009A7334">
        <w:t>also identify as</w:t>
      </w:r>
      <w:r w:rsidR="00A320CF">
        <w:t xml:space="preserve"> </w:t>
      </w:r>
      <w:r w:rsidR="005E332C">
        <w:t>First Nation</w:t>
      </w:r>
      <w:r w:rsidR="00117FE2">
        <w:t xml:space="preserve">s </w:t>
      </w:r>
      <w:r w:rsidR="00A320CF">
        <w:t xml:space="preserve">or </w:t>
      </w:r>
      <w:r w:rsidR="009A7334">
        <w:t xml:space="preserve">who live </w:t>
      </w:r>
      <w:r w:rsidR="00117FE2">
        <w:t xml:space="preserve">in disadvantaged areas of </w:t>
      </w:r>
      <w:r w:rsidR="00306FE2">
        <w:t xml:space="preserve">Australia </w:t>
      </w:r>
      <w:r w:rsidRPr="007D2F92">
        <w:t xml:space="preserve">are projected to spend </w:t>
      </w:r>
      <w:r w:rsidR="009A7334">
        <w:t xml:space="preserve">even </w:t>
      </w:r>
      <w:r w:rsidRPr="007D2F92">
        <w:t xml:space="preserve">longer </w:t>
      </w:r>
      <w:r w:rsidR="001535FF">
        <w:t>receiving income support</w:t>
      </w:r>
      <w:r w:rsidRPr="007D2F92">
        <w:t>.</w:t>
      </w:r>
    </w:p>
    <w:p w14:paraId="08E0D98A" w14:textId="67A9A401" w:rsidR="00B04FCE" w:rsidRDefault="00431DF6" w:rsidP="006530D9">
      <w:pP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_Ref153278252 \h  \* MERGEFORMAT </w:instrText>
      </w:r>
      <w:r>
        <w:rPr>
          <w:rFonts w:asciiTheme="minorHAnsi" w:hAnsiTheme="minorHAnsi" w:cstheme="minorHAnsi"/>
        </w:rPr>
      </w:r>
      <w:r>
        <w:rPr>
          <w:rFonts w:asciiTheme="minorHAnsi" w:hAnsiTheme="minorHAnsi" w:cstheme="minorHAnsi"/>
        </w:rPr>
        <w:fldChar w:fldCharType="separate"/>
      </w:r>
      <w:r w:rsidR="00722C0A" w:rsidRPr="00722C0A">
        <w:rPr>
          <w:rFonts w:asciiTheme="minorHAnsi" w:hAnsiTheme="minorHAnsi" w:cstheme="minorHAnsi"/>
        </w:rPr>
        <w:t>Figure 1.3</w:t>
      </w:r>
      <w:r>
        <w:rPr>
          <w:rFonts w:asciiTheme="minorHAnsi" w:hAnsiTheme="minorHAnsi" w:cstheme="minorHAnsi"/>
        </w:rPr>
        <w:fldChar w:fldCharType="end"/>
      </w:r>
      <w:r>
        <w:rPr>
          <w:rFonts w:asciiTheme="minorHAnsi" w:hAnsiTheme="minorHAnsi" w:cstheme="minorHAnsi"/>
        </w:rPr>
        <w:t xml:space="preserve"> </w:t>
      </w:r>
      <w:r w:rsidR="009A7334">
        <w:rPr>
          <w:rFonts w:asciiTheme="minorHAnsi" w:hAnsiTheme="minorHAnsi" w:cstheme="minorHAnsi"/>
        </w:rPr>
        <w:t xml:space="preserve">shows </w:t>
      </w:r>
      <w:r w:rsidR="00643134">
        <w:rPr>
          <w:rFonts w:asciiTheme="minorHAnsi" w:hAnsiTheme="minorHAnsi" w:cstheme="minorHAnsi"/>
        </w:rPr>
        <w:t>c</w:t>
      </w:r>
      <w:r w:rsidR="00303542" w:rsidRPr="007D2F92">
        <w:rPr>
          <w:rFonts w:asciiTheme="minorHAnsi" w:hAnsiTheme="minorHAnsi" w:cstheme="minorHAnsi"/>
        </w:rPr>
        <w:t>hildren</w:t>
      </w:r>
      <w:r w:rsidR="000B3289">
        <w:rPr>
          <w:rFonts w:asciiTheme="minorHAnsi" w:hAnsiTheme="minorHAnsi" w:cstheme="minorHAnsi"/>
        </w:rPr>
        <w:t xml:space="preserve"> aged 15</w:t>
      </w:r>
      <w:r w:rsidR="00303542" w:rsidRPr="007D2F92">
        <w:rPr>
          <w:rFonts w:asciiTheme="minorHAnsi" w:hAnsiTheme="minorHAnsi" w:cstheme="minorHAnsi"/>
        </w:rPr>
        <w:t xml:space="preserve"> </w:t>
      </w:r>
      <w:r w:rsidR="009A7334">
        <w:rPr>
          <w:rFonts w:asciiTheme="minorHAnsi" w:hAnsiTheme="minorHAnsi" w:cstheme="minorHAnsi"/>
        </w:rPr>
        <w:t xml:space="preserve">who spent more than 50% of their childhood in a household with a parent </w:t>
      </w:r>
      <w:r w:rsidR="00AB316F">
        <w:rPr>
          <w:rFonts w:asciiTheme="minorHAnsi" w:hAnsiTheme="minorHAnsi" w:cstheme="minorHAnsi"/>
        </w:rPr>
        <w:t xml:space="preserve">or guardian </w:t>
      </w:r>
      <w:r w:rsidR="009A7334">
        <w:rPr>
          <w:rFonts w:asciiTheme="minorHAnsi" w:hAnsiTheme="minorHAnsi" w:cstheme="minorHAnsi"/>
        </w:rPr>
        <w:t xml:space="preserve">receiving income support </w:t>
      </w:r>
      <w:r w:rsidR="00303542" w:rsidRPr="007D2F92">
        <w:rPr>
          <w:rFonts w:asciiTheme="minorHAnsi" w:hAnsiTheme="minorHAnsi" w:cstheme="minorHAnsi"/>
        </w:rPr>
        <w:t>are projected to spend</w:t>
      </w:r>
      <w:r w:rsidR="00643134">
        <w:rPr>
          <w:rFonts w:asciiTheme="minorHAnsi" w:hAnsiTheme="minorHAnsi" w:cstheme="minorHAnsi"/>
        </w:rPr>
        <w:t xml:space="preserve"> an average of </w:t>
      </w:r>
      <w:r w:rsidR="003717EA">
        <w:rPr>
          <w:rFonts w:asciiTheme="minorHAnsi" w:hAnsiTheme="minorHAnsi" w:cstheme="minorHAnsi"/>
        </w:rPr>
        <w:t>9.3</w:t>
      </w:r>
      <w:r w:rsidR="00E46C6A">
        <w:rPr>
          <w:rFonts w:asciiTheme="minorHAnsi" w:hAnsiTheme="minorHAnsi" w:cstheme="minorHAnsi"/>
        </w:rPr>
        <w:t> year</w:t>
      </w:r>
      <w:r w:rsidR="00643134">
        <w:rPr>
          <w:rFonts w:asciiTheme="minorHAnsi" w:hAnsiTheme="minorHAnsi" w:cstheme="minorHAnsi"/>
        </w:rPr>
        <w:t xml:space="preserve">s on income support later in their lives. This is </w:t>
      </w:r>
      <w:r w:rsidR="00303542" w:rsidRPr="007D2F92">
        <w:rPr>
          <w:rFonts w:asciiTheme="minorHAnsi" w:hAnsiTheme="minorHAnsi" w:cstheme="minorHAnsi"/>
        </w:rPr>
        <w:t>3.</w:t>
      </w:r>
      <w:r w:rsidR="003717EA">
        <w:rPr>
          <w:rFonts w:asciiTheme="minorHAnsi" w:hAnsiTheme="minorHAnsi" w:cstheme="minorHAnsi"/>
        </w:rPr>
        <w:t>6</w:t>
      </w:r>
      <w:r w:rsidR="00F40387">
        <w:rPr>
          <w:rFonts w:asciiTheme="minorHAnsi" w:hAnsiTheme="minorHAnsi" w:cstheme="minorHAnsi"/>
        </w:rPr>
        <w:t> times</w:t>
      </w:r>
      <w:r w:rsidR="000416DF">
        <w:rPr>
          <w:rFonts w:asciiTheme="minorHAnsi" w:hAnsiTheme="minorHAnsi" w:cstheme="minorHAnsi"/>
        </w:rPr>
        <w:t xml:space="preserve"> </w:t>
      </w:r>
      <w:r w:rsidR="00643134">
        <w:rPr>
          <w:rFonts w:asciiTheme="minorHAnsi" w:hAnsiTheme="minorHAnsi" w:cstheme="minorHAnsi"/>
        </w:rPr>
        <w:t xml:space="preserve">longer </w:t>
      </w:r>
      <w:r w:rsidR="009F7462">
        <w:rPr>
          <w:rFonts w:asciiTheme="minorHAnsi" w:hAnsiTheme="minorHAnsi" w:cstheme="minorHAnsi"/>
        </w:rPr>
        <w:t>(6.7</w:t>
      </w:r>
      <w:r w:rsidR="007855DD">
        <w:rPr>
          <w:rFonts w:asciiTheme="minorHAnsi" w:hAnsiTheme="minorHAnsi" w:cstheme="minorHAnsi"/>
        </w:rPr>
        <w:t> more</w:t>
      </w:r>
      <w:r w:rsidR="00DD11DD">
        <w:rPr>
          <w:rFonts w:asciiTheme="minorHAnsi" w:hAnsiTheme="minorHAnsi" w:cstheme="minorHAnsi"/>
        </w:rPr>
        <w:t xml:space="preserve"> years</w:t>
      </w:r>
      <w:r w:rsidR="009F7462">
        <w:rPr>
          <w:rFonts w:asciiTheme="minorHAnsi" w:hAnsiTheme="minorHAnsi" w:cstheme="minorHAnsi"/>
        </w:rPr>
        <w:t>)</w:t>
      </w:r>
      <w:r w:rsidR="009F7462" w:rsidRPr="007D2F92">
        <w:rPr>
          <w:rFonts w:asciiTheme="minorHAnsi" w:hAnsiTheme="minorHAnsi" w:cstheme="minorHAnsi"/>
        </w:rPr>
        <w:t xml:space="preserve"> </w:t>
      </w:r>
      <w:r w:rsidR="00643134">
        <w:rPr>
          <w:rFonts w:asciiTheme="minorHAnsi" w:hAnsiTheme="minorHAnsi" w:cstheme="minorHAnsi"/>
        </w:rPr>
        <w:t xml:space="preserve">than </w:t>
      </w:r>
      <w:r w:rsidR="00303542" w:rsidRPr="007D2F92">
        <w:rPr>
          <w:rFonts w:asciiTheme="minorHAnsi" w:hAnsiTheme="minorHAnsi" w:cstheme="minorHAnsi"/>
        </w:rPr>
        <w:t xml:space="preserve">those whose parent </w:t>
      </w:r>
      <w:r w:rsidR="00AB316F">
        <w:rPr>
          <w:rFonts w:asciiTheme="minorHAnsi" w:hAnsiTheme="minorHAnsi" w:cstheme="minorHAnsi"/>
        </w:rPr>
        <w:t>or guardian</w:t>
      </w:r>
      <w:r w:rsidR="00303542" w:rsidRPr="007D2F92">
        <w:rPr>
          <w:rFonts w:asciiTheme="minorHAnsi" w:hAnsiTheme="minorHAnsi" w:cstheme="minorHAnsi"/>
        </w:rPr>
        <w:t xml:space="preserve"> </w:t>
      </w:r>
      <w:r w:rsidR="009A7334">
        <w:rPr>
          <w:rFonts w:asciiTheme="minorHAnsi" w:hAnsiTheme="minorHAnsi" w:cstheme="minorHAnsi"/>
        </w:rPr>
        <w:t>did not</w:t>
      </w:r>
      <w:r w:rsidR="00303542" w:rsidRPr="007D2F92">
        <w:rPr>
          <w:rFonts w:asciiTheme="minorHAnsi" w:hAnsiTheme="minorHAnsi" w:cstheme="minorHAnsi"/>
        </w:rPr>
        <w:t xml:space="preserve"> receive income support</w:t>
      </w:r>
      <w:r w:rsidR="009F7462">
        <w:rPr>
          <w:rFonts w:asciiTheme="minorHAnsi" w:hAnsiTheme="minorHAnsi" w:cstheme="minorHAnsi"/>
        </w:rPr>
        <w:t xml:space="preserve"> (2.6</w:t>
      </w:r>
      <w:r w:rsidR="00E46C6A">
        <w:rPr>
          <w:rFonts w:asciiTheme="minorHAnsi" w:hAnsiTheme="minorHAnsi" w:cstheme="minorHAnsi"/>
        </w:rPr>
        <w:t> year</w:t>
      </w:r>
      <w:r w:rsidR="009F7462">
        <w:rPr>
          <w:rFonts w:asciiTheme="minorHAnsi" w:hAnsiTheme="minorHAnsi" w:cstheme="minorHAnsi"/>
        </w:rPr>
        <w:t>s)</w:t>
      </w:r>
      <w:r w:rsidR="00303542" w:rsidRPr="007D2F92">
        <w:rPr>
          <w:rFonts w:asciiTheme="minorHAnsi" w:hAnsiTheme="minorHAnsi" w:cstheme="minorHAnsi"/>
        </w:rPr>
        <w:t>.</w:t>
      </w:r>
    </w:p>
    <w:p w14:paraId="11CC5D27" w14:textId="5CD6A6DF" w:rsidR="00B04FCE" w:rsidRDefault="005E332C" w:rsidP="005B6A03">
      <w:pPr>
        <w:rPr>
          <w:rFonts w:asciiTheme="minorHAnsi" w:hAnsiTheme="minorHAnsi" w:cstheme="minorHAnsi"/>
        </w:rPr>
      </w:pPr>
      <w:r>
        <w:rPr>
          <w:rFonts w:asciiTheme="minorHAnsi" w:hAnsiTheme="minorHAnsi" w:cstheme="minorHAnsi"/>
        </w:rPr>
        <w:t>First Nation</w:t>
      </w:r>
      <w:r w:rsidR="005B6A03">
        <w:rPr>
          <w:rFonts w:asciiTheme="minorHAnsi" w:hAnsiTheme="minorHAnsi" w:cstheme="minorHAnsi"/>
        </w:rPr>
        <w:t xml:space="preserve">s children </w:t>
      </w:r>
      <w:r w:rsidR="000B3289">
        <w:rPr>
          <w:rFonts w:asciiTheme="minorHAnsi" w:hAnsiTheme="minorHAnsi" w:cstheme="minorHAnsi"/>
        </w:rPr>
        <w:t xml:space="preserve">aged 15 </w:t>
      </w:r>
      <w:r w:rsidR="00750F3B">
        <w:rPr>
          <w:rFonts w:asciiTheme="minorHAnsi" w:hAnsiTheme="minorHAnsi" w:cstheme="minorHAnsi"/>
        </w:rPr>
        <w:t>whose parent or guardian did not use</w:t>
      </w:r>
      <w:r w:rsidR="005B6A03">
        <w:rPr>
          <w:rFonts w:asciiTheme="minorHAnsi" w:hAnsiTheme="minorHAnsi" w:cstheme="minorHAnsi"/>
        </w:rPr>
        <w:t xml:space="preserve"> income support are projected to spend an average of </w:t>
      </w:r>
      <w:r w:rsidR="003717EA">
        <w:rPr>
          <w:rFonts w:asciiTheme="minorHAnsi" w:hAnsiTheme="minorHAnsi" w:cstheme="minorHAnsi"/>
        </w:rPr>
        <w:t>8.</w:t>
      </w:r>
      <w:r w:rsidR="005B6A03">
        <w:rPr>
          <w:rFonts w:asciiTheme="minorHAnsi" w:hAnsiTheme="minorHAnsi" w:cstheme="minorHAnsi"/>
        </w:rPr>
        <w:t>9</w:t>
      </w:r>
      <w:r w:rsidR="00E46C6A">
        <w:rPr>
          <w:rFonts w:asciiTheme="minorHAnsi" w:hAnsiTheme="minorHAnsi" w:cstheme="minorHAnsi"/>
        </w:rPr>
        <w:t> year</w:t>
      </w:r>
      <w:r w:rsidR="005B6A03">
        <w:rPr>
          <w:rFonts w:asciiTheme="minorHAnsi" w:hAnsiTheme="minorHAnsi" w:cstheme="minorHAnsi"/>
        </w:rPr>
        <w:t xml:space="preserve">s receiving income support </w:t>
      </w:r>
      <w:r w:rsidR="00750F3B">
        <w:rPr>
          <w:rFonts w:asciiTheme="minorHAnsi" w:hAnsiTheme="minorHAnsi" w:cstheme="minorHAnsi"/>
        </w:rPr>
        <w:t>prior to retirement</w:t>
      </w:r>
      <w:r w:rsidR="005B6A03">
        <w:rPr>
          <w:rFonts w:asciiTheme="minorHAnsi" w:hAnsiTheme="minorHAnsi" w:cstheme="minorHAnsi"/>
        </w:rPr>
        <w:t xml:space="preserve">. This </w:t>
      </w:r>
      <w:r w:rsidR="00750F3B">
        <w:rPr>
          <w:rFonts w:asciiTheme="minorHAnsi" w:hAnsiTheme="minorHAnsi" w:cstheme="minorHAnsi"/>
        </w:rPr>
        <w:t>is</w:t>
      </w:r>
      <w:r w:rsidR="005B6A03">
        <w:rPr>
          <w:rFonts w:asciiTheme="minorHAnsi" w:hAnsiTheme="minorHAnsi" w:cstheme="minorHAnsi"/>
        </w:rPr>
        <w:t xml:space="preserve"> slightly longer than the most disadvantage</w:t>
      </w:r>
      <w:r w:rsidR="00750F3B">
        <w:rPr>
          <w:rFonts w:asciiTheme="minorHAnsi" w:hAnsiTheme="minorHAnsi" w:cstheme="minorHAnsi"/>
        </w:rPr>
        <w:t>d</w:t>
      </w:r>
      <w:r w:rsidR="005B6A03">
        <w:rPr>
          <w:rFonts w:asciiTheme="minorHAnsi" w:hAnsiTheme="minorHAnsi" w:cstheme="minorHAnsi"/>
        </w:rPr>
        <w:t xml:space="preserve"> non</w:t>
      </w:r>
      <w:r w:rsidR="00B04FCE">
        <w:rPr>
          <w:rFonts w:asciiTheme="minorHAnsi" w:hAnsiTheme="minorHAnsi" w:cstheme="minorHAnsi"/>
        </w:rPr>
        <w:noBreakHyphen/>
      </w:r>
      <w:r>
        <w:rPr>
          <w:rFonts w:asciiTheme="minorHAnsi" w:hAnsiTheme="minorHAnsi" w:cstheme="minorHAnsi"/>
        </w:rPr>
        <w:t>First Nation</w:t>
      </w:r>
      <w:r w:rsidR="005B6A03">
        <w:rPr>
          <w:rFonts w:asciiTheme="minorHAnsi" w:hAnsiTheme="minorHAnsi" w:cstheme="minorHAnsi"/>
        </w:rPr>
        <w:t xml:space="preserve">s children </w:t>
      </w:r>
      <w:r w:rsidR="00303DE2">
        <w:rPr>
          <w:rFonts w:asciiTheme="minorHAnsi" w:hAnsiTheme="minorHAnsi" w:cstheme="minorHAnsi"/>
        </w:rPr>
        <w:t xml:space="preserve">aged 15 </w:t>
      </w:r>
      <w:r w:rsidR="00750F3B">
        <w:rPr>
          <w:rFonts w:asciiTheme="minorHAnsi" w:hAnsiTheme="minorHAnsi" w:cstheme="minorHAnsi"/>
        </w:rPr>
        <w:t>who</w:t>
      </w:r>
      <w:r w:rsidR="005B6A03">
        <w:rPr>
          <w:rFonts w:asciiTheme="minorHAnsi" w:hAnsiTheme="minorHAnsi" w:cstheme="minorHAnsi"/>
        </w:rPr>
        <w:t xml:space="preserve"> spent more than half of their childhood </w:t>
      </w:r>
      <w:r w:rsidR="00750F3B">
        <w:rPr>
          <w:rFonts w:asciiTheme="minorHAnsi" w:hAnsiTheme="minorHAnsi" w:cstheme="minorHAnsi"/>
        </w:rPr>
        <w:t xml:space="preserve">with a parent </w:t>
      </w:r>
      <w:r w:rsidR="00AB316F">
        <w:rPr>
          <w:rFonts w:asciiTheme="minorHAnsi" w:hAnsiTheme="minorHAnsi" w:cstheme="minorHAnsi"/>
        </w:rPr>
        <w:t xml:space="preserve">or guardian </w:t>
      </w:r>
      <w:r w:rsidR="005B6A03">
        <w:rPr>
          <w:rFonts w:asciiTheme="minorHAnsi" w:hAnsiTheme="minorHAnsi" w:cstheme="minorHAnsi"/>
        </w:rPr>
        <w:t xml:space="preserve">receiving </w:t>
      </w:r>
      <w:r w:rsidR="00750F3B">
        <w:rPr>
          <w:rFonts w:asciiTheme="minorHAnsi" w:hAnsiTheme="minorHAnsi" w:cstheme="minorHAnsi"/>
        </w:rPr>
        <w:t>income support</w:t>
      </w:r>
      <w:r w:rsidR="005B6A03">
        <w:rPr>
          <w:rFonts w:asciiTheme="minorHAnsi" w:hAnsiTheme="minorHAnsi" w:cstheme="minorHAnsi"/>
        </w:rPr>
        <w:t xml:space="preserve"> (</w:t>
      </w:r>
      <w:r w:rsidR="003717EA">
        <w:rPr>
          <w:rFonts w:asciiTheme="minorHAnsi" w:hAnsiTheme="minorHAnsi" w:cstheme="minorHAnsi"/>
        </w:rPr>
        <w:t>7.5</w:t>
      </w:r>
      <w:r w:rsidR="00E46C6A">
        <w:rPr>
          <w:rFonts w:asciiTheme="minorHAnsi" w:hAnsiTheme="minorHAnsi" w:cstheme="minorHAnsi"/>
        </w:rPr>
        <w:t> year</w:t>
      </w:r>
      <w:r w:rsidR="005B6A03">
        <w:rPr>
          <w:rFonts w:asciiTheme="minorHAnsi" w:hAnsiTheme="minorHAnsi" w:cstheme="minorHAnsi"/>
        </w:rPr>
        <w:t>s).</w:t>
      </w:r>
    </w:p>
    <w:p w14:paraId="0780B033" w14:textId="7B989634" w:rsidR="00B04FCE" w:rsidRDefault="005B6A03">
      <w:pPr>
        <w:rPr>
          <w:rFonts w:asciiTheme="minorHAnsi" w:hAnsiTheme="minorHAnsi" w:cstheme="minorHAnsi"/>
        </w:rPr>
      </w:pPr>
      <w:r>
        <w:rPr>
          <w:rFonts w:asciiTheme="minorHAnsi" w:hAnsiTheme="minorHAnsi" w:cstheme="minorHAnsi"/>
        </w:rPr>
        <w:t>The most disadvantage</w:t>
      </w:r>
      <w:r w:rsidR="00A05AFB">
        <w:rPr>
          <w:rFonts w:asciiTheme="minorHAnsi" w:hAnsiTheme="minorHAnsi" w:cstheme="minorHAnsi"/>
        </w:rPr>
        <w:t>d</w:t>
      </w:r>
      <w:r>
        <w:rPr>
          <w:rFonts w:asciiTheme="minorHAnsi" w:hAnsiTheme="minorHAnsi" w:cstheme="minorHAnsi"/>
        </w:rPr>
        <w:t xml:space="preserve"> </w:t>
      </w:r>
      <w:r w:rsidR="00A05AFB">
        <w:rPr>
          <w:rFonts w:asciiTheme="minorHAnsi" w:hAnsiTheme="minorHAnsi" w:cstheme="minorHAnsi"/>
        </w:rPr>
        <w:t>group</w:t>
      </w:r>
      <w:r>
        <w:rPr>
          <w:rFonts w:asciiTheme="minorHAnsi" w:hAnsiTheme="minorHAnsi" w:cstheme="minorHAnsi"/>
        </w:rPr>
        <w:t xml:space="preserve"> is the </w:t>
      </w:r>
      <w:r w:rsidR="005E332C">
        <w:rPr>
          <w:rFonts w:asciiTheme="minorHAnsi" w:hAnsiTheme="minorHAnsi" w:cstheme="minorHAnsi"/>
        </w:rPr>
        <w:t>First Nation</w:t>
      </w:r>
      <w:r>
        <w:rPr>
          <w:rFonts w:asciiTheme="minorHAnsi" w:hAnsiTheme="minorHAnsi" w:cstheme="minorHAnsi"/>
        </w:rPr>
        <w:t xml:space="preserve">s </w:t>
      </w:r>
      <w:r w:rsidR="00A05AFB">
        <w:rPr>
          <w:rFonts w:asciiTheme="minorHAnsi" w:hAnsiTheme="minorHAnsi" w:cstheme="minorHAnsi"/>
        </w:rPr>
        <w:t>children</w:t>
      </w:r>
      <w:r w:rsidR="00303DE2" w:rsidRPr="00303DE2">
        <w:rPr>
          <w:rFonts w:asciiTheme="minorHAnsi" w:hAnsiTheme="minorHAnsi" w:cstheme="minorHAnsi"/>
        </w:rPr>
        <w:t xml:space="preserve"> </w:t>
      </w:r>
      <w:r w:rsidR="00303DE2">
        <w:rPr>
          <w:rFonts w:asciiTheme="minorHAnsi" w:hAnsiTheme="minorHAnsi" w:cstheme="minorHAnsi"/>
        </w:rPr>
        <w:t>aged 15</w:t>
      </w:r>
      <w:r w:rsidR="00A05AFB">
        <w:rPr>
          <w:rFonts w:asciiTheme="minorHAnsi" w:hAnsiTheme="minorHAnsi" w:cstheme="minorHAnsi"/>
        </w:rPr>
        <w:t xml:space="preserve"> who </w:t>
      </w:r>
      <w:r>
        <w:rPr>
          <w:rFonts w:asciiTheme="minorHAnsi" w:hAnsiTheme="minorHAnsi" w:cstheme="minorHAnsi"/>
        </w:rPr>
        <w:t xml:space="preserve">spent more than half of their childhood </w:t>
      </w:r>
      <w:r w:rsidR="00A05AFB">
        <w:rPr>
          <w:rFonts w:asciiTheme="minorHAnsi" w:hAnsiTheme="minorHAnsi" w:cstheme="minorHAnsi"/>
        </w:rPr>
        <w:t xml:space="preserve">with a parent or guardian </w:t>
      </w:r>
      <w:r>
        <w:rPr>
          <w:rFonts w:asciiTheme="minorHAnsi" w:hAnsiTheme="minorHAnsi" w:cstheme="minorHAnsi"/>
        </w:rPr>
        <w:t xml:space="preserve">receiving </w:t>
      </w:r>
      <w:r w:rsidR="00A05AFB">
        <w:rPr>
          <w:rFonts w:asciiTheme="minorHAnsi" w:hAnsiTheme="minorHAnsi" w:cstheme="minorHAnsi"/>
        </w:rPr>
        <w:t>income support</w:t>
      </w:r>
      <w:r>
        <w:rPr>
          <w:rFonts w:asciiTheme="minorHAnsi" w:hAnsiTheme="minorHAnsi" w:cstheme="minorHAnsi"/>
        </w:rPr>
        <w:t xml:space="preserve">. They are projected to spend an average of </w:t>
      </w:r>
      <w:r w:rsidR="003717EA">
        <w:rPr>
          <w:rFonts w:asciiTheme="minorHAnsi" w:hAnsiTheme="minorHAnsi" w:cstheme="minorHAnsi"/>
        </w:rPr>
        <w:t>17</w:t>
      </w:r>
      <w:r w:rsidR="00E46C6A">
        <w:rPr>
          <w:rFonts w:asciiTheme="minorHAnsi" w:hAnsiTheme="minorHAnsi" w:cstheme="minorHAnsi"/>
        </w:rPr>
        <w:t> year</w:t>
      </w:r>
      <w:r>
        <w:rPr>
          <w:rFonts w:asciiTheme="minorHAnsi" w:hAnsiTheme="minorHAnsi" w:cstheme="minorHAnsi"/>
        </w:rPr>
        <w:t xml:space="preserve">s on income support in the future. </w:t>
      </w:r>
      <w:r w:rsidR="00A05AFB">
        <w:rPr>
          <w:rFonts w:asciiTheme="minorHAnsi" w:hAnsiTheme="minorHAnsi" w:cstheme="minorHAnsi"/>
        </w:rPr>
        <w:t>This</w:t>
      </w:r>
      <w:r>
        <w:rPr>
          <w:rFonts w:asciiTheme="minorHAnsi" w:hAnsiTheme="minorHAnsi" w:cstheme="minorHAnsi"/>
        </w:rPr>
        <w:t xml:space="preserve"> is 6</w:t>
      </w:r>
      <w:r w:rsidR="003717EA">
        <w:rPr>
          <w:rFonts w:asciiTheme="minorHAnsi" w:hAnsiTheme="minorHAnsi" w:cstheme="minorHAnsi"/>
        </w:rPr>
        <w:t>.5</w:t>
      </w:r>
      <w:r w:rsidR="00F40387">
        <w:rPr>
          <w:rFonts w:asciiTheme="minorHAnsi" w:hAnsiTheme="minorHAnsi" w:cstheme="minorHAnsi"/>
        </w:rPr>
        <w:t> times</w:t>
      </w:r>
      <w:r w:rsidR="00AC28F8">
        <w:rPr>
          <w:rFonts w:asciiTheme="minorHAnsi" w:hAnsiTheme="minorHAnsi" w:cstheme="minorHAnsi"/>
        </w:rPr>
        <w:t xml:space="preserve"> </w:t>
      </w:r>
      <w:r>
        <w:rPr>
          <w:rFonts w:asciiTheme="minorHAnsi" w:hAnsiTheme="minorHAnsi" w:cstheme="minorHAnsi"/>
        </w:rPr>
        <w:t xml:space="preserve">longer </w:t>
      </w:r>
      <w:r w:rsidR="00AC28F8">
        <w:rPr>
          <w:rFonts w:asciiTheme="minorHAnsi" w:hAnsiTheme="minorHAnsi" w:cstheme="minorHAnsi"/>
        </w:rPr>
        <w:t>(14.4</w:t>
      </w:r>
      <w:r w:rsidR="007855DD">
        <w:rPr>
          <w:rFonts w:asciiTheme="minorHAnsi" w:hAnsiTheme="minorHAnsi" w:cstheme="minorHAnsi"/>
        </w:rPr>
        <w:t> more</w:t>
      </w:r>
      <w:r w:rsidR="00DD11DD">
        <w:rPr>
          <w:rFonts w:asciiTheme="minorHAnsi" w:hAnsiTheme="minorHAnsi" w:cstheme="minorHAnsi"/>
        </w:rPr>
        <w:t xml:space="preserve"> years</w:t>
      </w:r>
      <w:r w:rsidR="00AC28F8">
        <w:rPr>
          <w:rFonts w:asciiTheme="minorHAnsi" w:hAnsiTheme="minorHAnsi" w:cstheme="minorHAnsi"/>
        </w:rPr>
        <w:t xml:space="preserve">) </w:t>
      </w:r>
      <w:r>
        <w:rPr>
          <w:rFonts w:asciiTheme="minorHAnsi" w:hAnsiTheme="minorHAnsi" w:cstheme="minorHAnsi"/>
        </w:rPr>
        <w:t>than non</w:t>
      </w:r>
      <w:r w:rsidR="00B04FCE">
        <w:rPr>
          <w:rFonts w:asciiTheme="minorHAnsi" w:hAnsiTheme="minorHAnsi" w:cstheme="minorHAnsi"/>
        </w:rPr>
        <w:noBreakHyphen/>
      </w:r>
      <w:r w:rsidR="005E332C">
        <w:rPr>
          <w:rFonts w:asciiTheme="minorHAnsi" w:hAnsiTheme="minorHAnsi" w:cstheme="minorHAnsi"/>
        </w:rPr>
        <w:t>First Nation</w:t>
      </w:r>
      <w:r>
        <w:rPr>
          <w:rFonts w:asciiTheme="minorHAnsi" w:hAnsiTheme="minorHAnsi" w:cstheme="minorHAnsi"/>
        </w:rPr>
        <w:t xml:space="preserve">s </w:t>
      </w:r>
      <w:r w:rsidR="00A05AFB">
        <w:rPr>
          <w:rFonts w:asciiTheme="minorHAnsi" w:hAnsiTheme="minorHAnsi" w:cstheme="minorHAnsi"/>
        </w:rPr>
        <w:t>children</w:t>
      </w:r>
      <w:r w:rsidR="00303DE2" w:rsidRPr="00303DE2">
        <w:rPr>
          <w:rFonts w:asciiTheme="minorHAnsi" w:hAnsiTheme="minorHAnsi" w:cstheme="minorHAnsi"/>
        </w:rPr>
        <w:t xml:space="preserve"> </w:t>
      </w:r>
      <w:r w:rsidR="00303DE2">
        <w:rPr>
          <w:rFonts w:asciiTheme="minorHAnsi" w:hAnsiTheme="minorHAnsi" w:cstheme="minorHAnsi"/>
        </w:rPr>
        <w:t>aged 15</w:t>
      </w:r>
      <w:r>
        <w:rPr>
          <w:rFonts w:asciiTheme="minorHAnsi" w:hAnsiTheme="minorHAnsi" w:cstheme="minorHAnsi"/>
        </w:rPr>
        <w:t xml:space="preserve"> whose parent </w:t>
      </w:r>
      <w:r w:rsidR="00AB316F">
        <w:rPr>
          <w:rFonts w:asciiTheme="minorHAnsi" w:hAnsiTheme="minorHAnsi" w:cstheme="minorHAnsi"/>
        </w:rPr>
        <w:t>or guardian</w:t>
      </w:r>
      <w:r>
        <w:rPr>
          <w:rFonts w:asciiTheme="minorHAnsi" w:hAnsiTheme="minorHAnsi" w:cstheme="minorHAnsi"/>
        </w:rPr>
        <w:t xml:space="preserve"> </w:t>
      </w:r>
      <w:r w:rsidR="00A05AFB">
        <w:rPr>
          <w:rFonts w:asciiTheme="minorHAnsi" w:hAnsiTheme="minorHAnsi" w:cstheme="minorHAnsi"/>
        </w:rPr>
        <w:t>did not</w:t>
      </w:r>
      <w:r>
        <w:rPr>
          <w:rFonts w:asciiTheme="minorHAnsi" w:hAnsiTheme="minorHAnsi" w:cstheme="minorHAnsi"/>
        </w:rPr>
        <w:t xml:space="preserve"> receive income support (</w:t>
      </w:r>
      <w:r w:rsidR="003717EA">
        <w:rPr>
          <w:rFonts w:asciiTheme="minorHAnsi" w:hAnsiTheme="minorHAnsi" w:cstheme="minorHAnsi"/>
        </w:rPr>
        <w:t>2.6</w:t>
      </w:r>
      <w:r w:rsidR="00E46C6A">
        <w:rPr>
          <w:rFonts w:asciiTheme="minorHAnsi" w:hAnsiTheme="minorHAnsi" w:cstheme="minorHAnsi"/>
        </w:rPr>
        <w:t> year</w:t>
      </w:r>
      <w:r>
        <w:rPr>
          <w:rFonts w:asciiTheme="minorHAnsi" w:hAnsiTheme="minorHAnsi" w:cstheme="minorHAnsi"/>
        </w:rPr>
        <w:t>s).</w:t>
      </w:r>
    </w:p>
    <w:p w14:paraId="55C6D3CC" w14:textId="0665C113" w:rsidR="00431DF6" w:rsidRPr="007D2F92" w:rsidRDefault="007855DD" w:rsidP="005E332C">
      <w:pPr>
        <w:pStyle w:val="FigureMainHeading"/>
      </w:pPr>
      <w:bookmarkStart w:id="16" w:name="_Ref153278252"/>
      <w:r>
        <w:t>Figure </w:t>
      </w:r>
      <w:r w:rsidR="00B80D45">
        <w:fldChar w:fldCharType="begin"/>
      </w:r>
      <w:r w:rsidR="00B80D45">
        <w:instrText xml:space="preserve"> STYLEREF 1 \s </w:instrText>
      </w:r>
      <w:r w:rsidR="00B80D45">
        <w:fldChar w:fldCharType="separate"/>
      </w:r>
      <w:r w:rsidR="00722C0A">
        <w:rPr>
          <w:noProof/>
        </w:rPr>
        <w:t>1</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3</w:t>
      </w:r>
      <w:r w:rsidR="00B80D45">
        <w:rPr>
          <w:noProof/>
        </w:rPr>
        <w:fldChar w:fldCharType="end"/>
      </w:r>
      <w:bookmarkEnd w:id="16"/>
      <w:r w:rsidR="005E332C">
        <w:t>:</w:t>
      </w:r>
      <w:r w:rsidR="005E332C">
        <w:tab/>
      </w:r>
      <w:r w:rsidR="00431DF6" w:rsidRPr="007D2F92">
        <w:t xml:space="preserve">Projected </w:t>
      </w:r>
      <w:r w:rsidR="007E4C2E">
        <w:t>a</w:t>
      </w:r>
      <w:r w:rsidR="00431DF6" w:rsidRPr="007D2F92">
        <w:t xml:space="preserve">verage </w:t>
      </w:r>
      <w:r w:rsidR="00431DF6">
        <w:t>time</w:t>
      </w:r>
      <w:r w:rsidR="00431DF6" w:rsidRPr="007D2F92">
        <w:t xml:space="preserve"> receiving income support </w:t>
      </w:r>
      <w:r w:rsidR="00431DF6">
        <w:t xml:space="preserve">before retirement </w:t>
      </w:r>
      <w:r w:rsidR="007E4C2E">
        <w:t>for children aged 15 at 30</w:t>
      </w:r>
      <w:r w:rsidR="00E46C6A">
        <w:t> June </w:t>
      </w:r>
      <w:r w:rsidR="007E4C2E">
        <w:t>2022</w:t>
      </w:r>
    </w:p>
    <w:p w14:paraId="27906E9D" w14:textId="1EE68AC5" w:rsidR="00303542" w:rsidRPr="007D2F92" w:rsidRDefault="00187111" w:rsidP="00A06FAA">
      <w:pPr>
        <w:pStyle w:val="ChartGraphic"/>
        <w:rPr>
          <w:rFonts w:asciiTheme="minorHAnsi" w:hAnsiTheme="minorHAnsi" w:cstheme="minorHAnsi"/>
        </w:rPr>
      </w:pPr>
      <w:r>
        <w:rPr>
          <w:noProof/>
        </w:rPr>
        <w:drawing>
          <wp:inline distT="0" distB="0" distL="0" distR="0" wp14:anchorId="643D02CE" wp14:editId="050CC036">
            <wp:extent cx="4320000" cy="3132000"/>
            <wp:effectExtent l="0" t="0" r="4445" b="0"/>
            <wp:docPr id="4" name="Chart 4" descr="This chart shows the average projected time receiving income support before retirement for children aged 15, split by a) the percentage of childhood at least one parent or guardian received income support, and b) First Nations status.&#10;&#10;Children aged 15 whose parents or guardians received income support for 50% to 100% of childhood are projected to receive pre-retirement income support for longer (9.3 years) than those whose parents/guardians received income support for less than 50% of childhood (4.7 years), and for longer than those whose parents/guardians received no income support during childhood (2.6 years).&#10;&#10;Children aged 15 who are First Nations are projected to receive pre-retirement income support for longer on average than those who are Non-First N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0070A10" w14:textId="77777777" w:rsidR="00722C0A" w:rsidRPr="00B85EBF" w:rsidRDefault="00A05AFB" w:rsidP="00B85EBF">
      <w:pPr>
        <w:rPr>
          <w:rFonts w:asciiTheme="minorHAnsi" w:hAnsiTheme="minorHAnsi" w:cstheme="minorHAnsi"/>
        </w:rPr>
      </w:pPr>
      <w:r>
        <w:rPr>
          <w:rFonts w:asciiTheme="minorHAnsi" w:hAnsiTheme="minorHAnsi" w:cstheme="minorHAnsi"/>
        </w:rPr>
        <w:lastRenderedPageBreak/>
        <w:t>S</w:t>
      </w:r>
      <w:r w:rsidR="00303542" w:rsidRPr="007D2F92">
        <w:rPr>
          <w:rFonts w:asciiTheme="minorHAnsi" w:hAnsiTheme="minorHAnsi" w:cstheme="minorHAnsi"/>
        </w:rPr>
        <w:t>ocio</w:t>
      </w:r>
      <w:r w:rsidR="00B04FCE">
        <w:rPr>
          <w:rFonts w:asciiTheme="minorHAnsi" w:hAnsiTheme="minorHAnsi" w:cstheme="minorHAnsi"/>
        </w:rPr>
        <w:noBreakHyphen/>
      </w:r>
      <w:r w:rsidR="00303542" w:rsidRPr="007D2F92">
        <w:rPr>
          <w:rFonts w:asciiTheme="minorHAnsi" w:hAnsiTheme="minorHAnsi" w:cstheme="minorHAnsi"/>
        </w:rPr>
        <w:t xml:space="preserve">economic location </w:t>
      </w:r>
      <w:r w:rsidR="002A538F">
        <w:rPr>
          <w:rFonts w:asciiTheme="minorHAnsi" w:hAnsiTheme="minorHAnsi" w:cstheme="minorHAnsi"/>
        </w:rPr>
        <w:t>is</w:t>
      </w:r>
      <w:r>
        <w:rPr>
          <w:rFonts w:asciiTheme="minorHAnsi" w:hAnsiTheme="minorHAnsi" w:cstheme="minorHAnsi"/>
        </w:rPr>
        <w:t xml:space="preserve"> </w:t>
      </w:r>
      <w:r w:rsidR="00303542" w:rsidRPr="007D2F92">
        <w:rPr>
          <w:rFonts w:asciiTheme="minorHAnsi" w:hAnsiTheme="minorHAnsi" w:cstheme="minorHAnsi"/>
        </w:rPr>
        <w:t xml:space="preserve">also </w:t>
      </w:r>
      <w:r>
        <w:rPr>
          <w:rFonts w:asciiTheme="minorHAnsi" w:hAnsiTheme="minorHAnsi" w:cstheme="minorHAnsi"/>
        </w:rPr>
        <w:t xml:space="preserve">associated with </w:t>
      </w:r>
      <w:r w:rsidR="00CE662D">
        <w:rPr>
          <w:rFonts w:asciiTheme="minorHAnsi" w:hAnsiTheme="minorHAnsi" w:cstheme="minorHAnsi"/>
        </w:rPr>
        <w:t>differ</w:t>
      </w:r>
      <w:r w:rsidR="00740680">
        <w:rPr>
          <w:rFonts w:asciiTheme="minorHAnsi" w:hAnsiTheme="minorHAnsi" w:cstheme="minorHAnsi"/>
        </w:rPr>
        <w:t>ent</w:t>
      </w:r>
      <w:r w:rsidR="00CE662D">
        <w:rPr>
          <w:rFonts w:asciiTheme="minorHAnsi" w:hAnsiTheme="minorHAnsi" w:cstheme="minorHAnsi"/>
        </w:rPr>
        <w:t xml:space="preserve"> </w:t>
      </w:r>
      <w:r>
        <w:rPr>
          <w:rFonts w:asciiTheme="minorHAnsi" w:hAnsiTheme="minorHAnsi" w:cstheme="minorHAnsi"/>
        </w:rPr>
        <w:t>outcomes</w:t>
      </w:r>
      <w:r w:rsidR="00303542" w:rsidRPr="007D2F92">
        <w:rPr>
          <w:rFonts w:asciiTheme="minorHAnsi" w:hAnsiTheme="minorHAnsi" w:cstheme="minorHAnsi"/>
        </w:rPr>
        <w:t xml:space="preserve">. </w:t>
      </w:r>
      <w:r w:rsidR="00F87614">
        <w:rPr>
          <w:rFonts w:asciiTheme="minorHAnsi" w:hAnsiTheme="minorHAnsi" w:cstheme="minorHAnsi"/>
        </w:rPr>
        <w:fldChar w:fldCharType="begin"/>
      </w:r>
      <w:r w:rsidR="00F87614">
        <w:rPr>
          <w:rFonts w:asciiTheme="minorHAnsi" w:hAnsiTheme="minorHAnsi" w:cstheme="minorHAnsi"/>
        </w:rPr>
        <w:instrText xml:space="preserve"> REF _Ref153278413 \h  \* MERGEFORMAT </w:instrText>
      </w:r>
      <w:r w:rsidR="00F87614">
        <w:rPr>
          <w:rFonts w:asciiTheme="minorHAnsi" w:hAnsiTheme="minorHAnsi" w:cstheme="minorHAnsi"/>
        </w:rPr>
      </w:r>
      <w:r w:rsidR="00F87614">
        <w:rPr>
          <w:rFonts w:asciiTheme="minorHAnsi" w:hAnsiTheme="minorHAnsi" w:cstheme="minorHAnsi"/>
        </w:rPr>
        <w:fldChar w:fldCharType="separate"/>
      </w:r>
    </w:p>
    <w:p w14:paraId="1FF4300D" w14:textId="6E7751EB" w:rsidR="00303542" w:rsidRPr="007D2F92" w:rsidRDefault="00722C0A" w:rsidP="007D2F92">
      <w:pPr>
        <w:rPr>
          <w:rFonts w:asciiTheme="minorHAnsi" w:hAnsiTheme="minorHAnsi" w:cstheme="minorHAnsi"/>
        </w:rPr>
      </w:pPr>
      <w:r>
        <w:t>Figure 1.4</w:t>
      </w:r>
      <w:r w:rsidR="00F87614">
        <w:rPr>
          <w:rFonts w:asciiTheme="minorHAnsi" w:hAnsiTheme="minorHAnsi" w:cstheme="minorHAnsi"/>
        </w:rPr>
        <w:fldChar w:fldCharType="end"/>
      </w:r>
      <w:r w:rsidR="00B85EBF">
        <w:rPr>
          <w:rFonts w:asciiTheme="minorHAnsi" w:hAnsiTheme="minorHAnsi" w:cstheme="minorHAnsi"/>
        </w:rPr>
        <w:t> </w:t>
      </w:r>
      <w:r w:rsidR="00A05AFB">
        <w:rPr>
          <w:rFonts w:asciiTheme="minorHAnsi" w:hAnsiTheme="minorHAnsi" w:cstheme="minorHAnsi"/>
        </w:rPr>
        <w:t>shows</w:t>
      </w:r>
      <w:r w:rsidR="00303542" w:rsidRPr="007D2F92">
        <w:rPr>
          <w:rFonts w:asciiTheme="minorHAnsi" w:hAnsiTheme="minorHAnsi" w:cstheme="minorHAnsi"/>
        </w:rPr>
        <w:t xml:space="preserve"> </w:t>
      </w:r>
      <w:r w:rsidR="00E746B6">
        <w:rPr>
          <w:rFonts w:asciiTheme="minorHAnsi" w:hAnsiTheme="minorHAnsi" w:cstheme="minorHAnsi"/>
        </w:rPr>
        <w:t>c</w:t>
      </w:r>
      <w:r w:rsidR="00303542" w:rsidRPr="007D2F92">
        <w:rPr>
          <w:rFonts w:asciiTheme="minorHAnsi" w:hAnsiTheme="minorHAnsi" w:cstheme="minorHAnsi"/>
        </w:rPr>
        <w:t xml:space="preserve">hildren </w:t>
      </w:r>
      <w:r w:rsidR="002B2186">
        <w:rPr>
          <w:rFonts w:asciiTheme="minorHAnsi" w:hAnsiTheme="minorHAnsi" w:cstheme="minorHAnsi"/>
        </w:rPr>
        <w:t xml:space="preserve">who </w:t>
      </w:r>
      <w:r w:rsidR="000E69B5">
        <w:rPr>
          <w:rFonts w:asciiTheme="minorHAnsi" w:hAnsiTheme="minorHAnsi" w:cstheme="minorHAnsi"/>
        </w:rPr>
        <w:t>reside</w:t>
      </w:r>
      <w:r w:rsidR="002B2186">
        <w:rPr>
          <w:rFonts w:asciiTheme="minorHAnsi" w:hAnsiTheme="minorHAnsi" w:cstheme="minorHAnsi"/>
        </w:rPr>
        <w:t xml:space="preserve"> in the most disadvantaged areas and</w:t>
      </w:r>
      <w:r w:rsidR="00303542" w:rsidRPr="007D2F92">
        <w:rPr>
          <w:rFonts w:asciiTheme="minorHAnsi" w:hAnsiTheme="minorHAnsi" w:cstheme="minorHAnsi"/>
        </w:rPr>
        <w:t xml:space="preserve"> whose parent</w:t>
      </w:r>
      <w:r w:rsidR="00A05AFB">
        <w:rPr>
          <w:rFonts w:asciiTheme="minorHAnsi" w:hAnsiTheme="minorHAnsi" w:cstheme="minorHAnsi"/>
        </w:rPr>
        <w:t xml:space="preserve"> or guardian</w:t>
      </w:r>
      <w:r w:rsidR="00303542" w:rsidRPr="007D2F92">
        <w:rPr>
          <w:rFonts w:asciiTheme="minorHAnsi" w:hAnsiTheme="minorHAnsi" w:cstheme="minorHAnsi"/>
        </w:rPr>
        <w:t xml:space="preserve"> </w:t>
      </w:r>
      <w:r w:rsidR="00A05AFB">
        <w:rPr>
          <w:rFonts w:asciiTheme="minorHAnsi" w:hAnsiTheme="minorHAnsi" w:cstheme="minorHAnsi"/>
        </w:rPr>
        <w:t>did not</w:t>
      </w:r>
      <w:r w:rsidR="00303542" w:rsidRPr="007D2F92">
        <w:rPr>
          <w:rFonts w:asciiTheme="minorHAnsi" w:hAnsiTheme="minorHAnsi" w:cstheme="minorHAnsi"/>
        </w:rPr>
        <w:t xml:space="preserve"> receive income support are projected to spend slightly </w:t>
      </w:r>
      <w:r w:rsidR="007765EB">
        <w:rPr>
          <w:rFonts w:asciiTheme="minorHAnsi" w:hAnsiTheme="minorHAnsi" w:cstheme="minorHAnsi"/>
        </w:rPr>
        <w:t>more</w:t>
      </w:r>
      <w:r w:rsidR="007765EB" w:rsidRPr="007D2F92">
        <w:rPr>
          <w:rFonts w:asciiTheme="minorHAnsi" w:hAnsiTheme="minorHAnsi" w:cstheme="minorHAnsi"/>
        </w:rPr>
        <w:t xml:space="preserve"> </w:t>
      </w:r>
      <w:r w:rsidR="00303542" w:rsidRPr="007D2F92">
        <w:rPr>
          <w:rFonts w:asciiTheme="minorHAnsi" w:hAnsiTheme="minorHAnsi" w:cstheme="minorHAnsi"/>
        </w:rPr>
        <w:t xml:space="preserve">time receiving income support </w:t>
      </w:r>
      <w:r w:rsidR="00A85D18">
        <w:rPr>
          <w:rFonts w:asciiTheme="minorHAnsi" w:hAnsiTheme="minorHAnsi" w:cstheme="minorHAnsi"/>
        </w:rPr>
        <w:t>(3.2</w:t>
      </w:r>
      <w:r w:rsidR="00E46C6A">
        <w:rPr>
          <w:rFonts w:asciiTheme="minorHAnsi" w:hAnsiTheme="minorHAnsi" w:cstheme="minorHAnsi"/>
        </w:rPr>
        <w:t> year</w:t>
      </w:r>
      <w:r w:rsidR="00A85D18">
        <w:rPr>
          <w:rFonts w:asciiTheme="minorHAnsi" w:hAnsiTheme="minorHAnsi" w:cstheme="minorHAnsi"/>
        </w:rPr>
        <w:t xml:space="preserve">s) </w:t>
      </w:r>
      <w:r w:rsidR="00303542" w:rsidRPr="007D2F92">
        <w:rPr>
          <w:rFonts w:asciiTheme="minorHAnsi" w:hAnsiTheme="minorHAnsi" w:cstheme="minorHAnsi"/>
        </w:rPr>
        <w:t xml:space="preserve">than </w:t>
      </w:r>
      <w:r w:rsidR="002B2186">
        <w:rPr>
          <w:rFonts w:asciiTheme="minorHAnsi" w:hAnsiTheme="minorHAnsi" w:cstheme="minorHAnsi"/>
        </w:rPr>
        <w:t xml:space="preserve">children who grew up in the most advantaged areas and </w:t>
      </w:r>
      <w:r w:rsidR="00303542" w:rsidRPr="007D2F92">
        <w:rPr>
          <w:rFonts w:asciiTheme="minorHAnsi" w:hAnsiTheme="minorHAnsi" w:cstheme="minorHAnsi"/>
        </w:rPr>
        <w:t>whose parent</w:t>
      </w:r>
      <w:r w:rsidR="007765EB">
        <w:rPr>
          <w:rFonts w:asciiTheme="minorHAnsi" w:hAnsiTheme="minorHAnsi" w:cstheme="minorHAnsi"/>
        </w:rPr>
        <w:t xml:space="preserve"> or guardian</w:t>
      </w:r>
      <w:r w:rsidR="00303542" w:rsidRPr="007D2F92">
        <w:rPr>
          <w:rFonts w:asciiTheme="minorHAnsi" w:hAnsiTheme="minorHAnsi" w:cstheme="minorHAnsi"/>
        </w:rPr>
        <w:t xml:space="preserve"> </w:t>
      </w:r>
      <w:r w:rsidR="007765EB">
        <w:rPr>
          <w:rFonts w:asciiTheme="minorHAnsi" w:hAnsiTheme="minorHAnsi" w:cstheme="minorHAnsi"/>
        </w:rPr>
        <w:t xml:space="preserve">did not </w:t>
      </w:r>
      <w:r w:rsidR="007765EB" w:rsidRPr="007D2F92">
        <w:rPr>
          <w:rFonts w:asciiTheme="minorHAnsi" w:hAnsiTheme="minorHAnsi" w:cstheme="minorHAnsi"/>
        </w:rPr>
        <w:t>receive</w:t>
      </w:r>
      <w:r w:rsidR="00303542" w:rsidRPr="007D2F92">
        <w:rPr>
          <w:rFonts w:asciiTheme="minorHAnsi" w:hAnsiTheme="minorHAnsi" w:cstheme="minorHAnsi"/>
        </w:rPr>
        <w:t xml:space="preserve"> </w:t>
      </w:r>
      <w:r w:rsidR="00257701">
        <w:rPr>
          <w:rFonts w:asciiTheme="minorHAnsi" w:hAnsiTheme="minorHAnsi" w:cstheme="minorHAnsi"/>
        </w:rPr>
        <w:t xml:space="preserve">income support </w:t>
      </w:r>
      <w:r w:rsidR="00A85D18">
        <w:rPr>
          <w:rFonts w:asciiTheme="minorHAnsi" w:hAnsiTheme="minorHAnsi" w:cstheme="minorHAnsi"/>
        </w:rPr>
        <w:t>(</w:t>
      </w:r>
      <w:r w:rsidR="007765EB">
        <w:rPr>
          <w:rFonts w:asciiTheme="minorHAnsi" w:hAnsiTheme="minorHAnsi" w:cstheme="minorHAnsi"/>
        </w:rPr>
        <w:t>2</w:t>
      </w:r>
      <w:r w:rsidR="00A85D18">
        <w:rPr>
          <w:rFonts w:asciiTheme="minorHAnsi" w:hAnsiTheme="minorHAnsi" w:cstheme="minorHAnsi"/>
        </w:rPr>
        <w:t>.3</w:t>
      </w:r>
      <w:r w:rsidR="00E46C6A">
        <w:rPr>
          <w:rFonts w:asciiTheme="minorHAnsi" w:hAnsiTheme="minorHAnsi" w:cstheme="minorHAnsi"/>
        </w:rPr>
        <w:t> year</w:t>
      </w:r>
      <w:r w:rsidR="00A85D18">
        <w:rPr>
          <w:rFonts w:asciiTheme="minorHAnsi" w:hAnsiTheme="minorHAnsi" w:cstheme="minorHAnsi"/>
        </w:rPr>
        <w:t>s)</w:t>
      </w:r>
      <w:r w:rsidR="00303542" w:rsidRPr="007D2F92">
        <w:rPr>
          <w:rFonts w:asciiTheme="minorHAnsi" w:hAnsiTheme="minorHAnsi" w:cstheme="minorHAnsi"/>
        </w:rPr>
        <w:t xml:space="preserve">. </w:t>
      </w:r>
      <w:r w:rsidR="00324F3C">
        <w:rPr>
          <w:rFonts w:asciiTheme="minorHAnsi" w:hAnsiTheme="minorHAnsi" w:cstheme="minorHAnsi"/>
        </w:rPr>
        <w:t>By contrast, children who grew up in the most disadvantaged areas and spent more than 50% of their childhood with a parent or guardian receiving income support are projected to spend a greater amount of time receiving income support (10.3</w:t>
      </w:r>
      <w:r w:rsidR="00E46C6A">
        <w:rPr>
          <w:rFonts w:asciiTheme="minorHAnsi" w:hAnsiTheme="minorHAnsi" w:cstheme="minorHAnsi"/>
        </w:rPr>
        <w:t> year</w:t>
      </w:r>
      <w:r w:rsidR="00324F3C">
        <w:rPr>
          <w:rFonts w:asciiTheme="minorHAnsi" w:hAnsiTheme="minorHAnsi" w:cstheme="minorHAnsi"/>
        </w:rPr>
        <w:t xml:space="preserve">s) than those living in the most advantaged areas </w:t>
      </w:r>
      <w:r w:rsidR="007765EB">
        <w:rPr>
          <w:rFonts w:asciiTheme="minorHAnsi" w:hAnsiTheme="minorHAnsi" w:cstheme="minorHAnsi"/>
        </w:rPr>
        <w:t>who</w:t>
      </w:r>
      <w:r w:rsidR="00324F3C">
        <w:rPr>
          <w:rFonts w:asciiTheme="minorHAnsi" w:hAnsiTheme="minorHAnsi" w:cstheme="minorHAnsi"/>
        </w:rPr>
        <w:t xml:space="preserve"> spent more than 50% of their childhood with a parent or guardian receiving income support (6.7</w:t>
      </w:r>
      <w:r w:rsidR="00E46C6A">
        <w:rPr>
          <w:rFonts w:asciiTheme="minorHAnsi" w:hAnsiTheme="minorHAnsi" w:cstheme="minorHAnsi"/>
        </w:rPr>
        <w:t> year</w:t>
      </w:r>
      <w:r w:rsidR="00324F3C">
        <w:rPr>
          <w:rFonts w:asciiTheme="minorHAnsi" w:hAnsiTheme="minorHAnsi" w:cstheme="minorHAnsi"/>
        </w:rPr>
        <w:t>s).</w:t>
      </w:r>
    </w:p>
    <w:p w14:paraId="6217BB31" w14:textId="581F7ED2" w:rsidR="00B85EBF" w:rsidRPr="00B85EBF" w:rsidRDefault="00303542" w:rsidP="00B85EBF">
      <w:pPr>
        <w:rPr>
          <w:rFonts w:asciiTheme="minorHAnsi" w:hAnsiTheme="minorHAnsi" w:cstheme="minorHAnsi"/>
        </w:rPr>
      </w:pPr>
      <w:r w:rsidRPr="007D2F92">
        <w:rPr>
          <w:rFonts w:asciiTheme="minorHAnsi" w:hAnsiTheme="minorHAnsi" w:cstheme="minorHAnsi"/>
        </w:rPr>
        <w:t>Children experiencing both forms of disadvantage</w:t>
      </w:r>
      <w:r w:rsidR="008D7016">
        <w:rPr>
          <w:rFonts w:asciiTheme="minorHAnsi" w:hAnsiTheme="minorHAnsi" w:cstheme="minorHAnsi"/>
        </w:rPr>
        <w:t xml:space="preserve"> – </w:t>
      </w:r>
      <w:r w:rsidR="007765EB">
        <w:rPr>
          <w:rFonts w:asciiTheme="minorHAnsi" w:hAnsiTheme="minorHAnsi" w:cstheme="minorHAnsi"/>
        </w:rPr>
        <w:t xml:space="preserve">growing up </w:t>
      </w:r>
      <w:r w:rsidRPr="007D2F92">
        <w:rPr>
          <w:rFonts w:asciiTheme="minorHAnsi" w:hAnsiTheme="minorHAnsi" w:cstheme="minorHAnsi"/>
        </w:rPr>
        <w:t xml:space="preserve">in </w:t>
      </w:r>
      <w:r w:rsidR="007765EB">
        <w:rPr>
          <w:rFonts w:asciiTheme="minorHAnsi" w:hAnsiTheme="minorHAnsi" w:cstheme="minorHAnsi"/>
        </w:rPr>
        <w:t>a household with a parent or guardian receiving income support for more than 50% of their childhood and living</w:t>
      </w:r>
      <w:r w:rsidR="007765EB" w:rsidRPr="007D2F92">
        <w:rPr>
          <w:rFonts w:asciiTheme="minorHAnsi" w:hAnsiTheme="minorHAnsi" w:cstheme="minorHAnsi"/>
        </w:rPr>
        <w:t xml:space="preserve"> </w:t>
      </w:r>
      <w:r w:rsidRPr="007D2F92">
        <w:rPr>
          <w:rFonts w:asciiTheme="minorHAnsi" w:hAnsiTheme="minorHAnsi" w:cstheme="minorHAnsi"/>
        </w:rPr>
        <w:t>in the most disadvantaged areas of Australia</w:t>
      </w:r>
      <w:r w:rsidR="008D7016">
        <w:rPr>
          <w:rFonts w:asciiTheme="minorHAnsi" w:hAnsiTheme="minorHAnsi" w:cstheme="minorHAnsi"/>
        </w:rPr>
        <w:t xml:space="preserve"> – </w:t>
      </w:r>
      <w:r w:rsidRPr="007D2F92">
        <w:rPr>
          <w:rFonts w:asciiTheme="minorHAnsi" w:hAnsiTheme="minorHAnsi" w:cstheme="minorHAnsi"/>
        </w:rPr>
        <w:t>are projected to spend 4.5</w:t>
      </w:r>
      <w:r w:rsidR="00F40387">
        <w:rPr>
          <w:rFonts w:asciiTheme="minorHAnsi" w:hAnsiTheme="minorHAnsi" w:cstheme="minorHAnsi"/>
        </w:rPr>
        <w:t> times</w:t>
      </w:r>
      <w:r w:rsidR="00AC28F8">
        <w:rPr>
          <w:rFonts w:asciiTheme="minorHAnsi" w:hAnsiTheme="minorHAnsi" w:cstheme="minorHAnsi"/>
        </w:rPr>
        <w:t xml:space="preserve"> </w:t>
      </w:r>
      <w:r w:rsidRPr="007D2F92">
        <w:rPr>
          <w:rFonts w:asciiTheme="minorHAnsi" w:hAnsiTheme="minorHAnsi" w:cstheme="minorHAnsi"/>
        </w:rPr>
        <w:t>long</w:t>
      </w:r>
      <w:r w:rsidR="007765EB">
        <w:rPr>
          <w:rFonts w:asciiTheme="minorHAnsi" w:hAnsiTheme="minorHAnsi" w:cstheme="minorHAnsi"/>
        </w:rPr>
        <w:t>er</w:t>
      </w:r>
      <w:r w:rsidRPr="007D2F92">
        <w:rPr>
          <w:rFonts w:asciiTheme="minorHAnsi" w:hAnsiTheme="minorHAnsi" w:cstheme="minorHAnsi"/>
        </w:rPr>
        <w:t xml:space="preserve"> </w:t>
      </w:r>
      <w:r w:rsidR="005C4203">
        <w:rPr>
          <w:rFonts w:asciiTheme="minorHAnsi" w:hAnsiTheme="minorHAnsi" w:cstheme="minorHAnsi"/>
        </w:rPr>
        <w:t>(8</w:t>
      </w:r>
      <w:r w:rsidR="007855DD">
        <w:rPr>
          <w:rFonts w:asciiTheme="minorHAnsi" w:hAnsiTheme="minorHAnsi" w:cstheme="minorHAnsi"/>
        </w:rPr>
        <w:t> more</w:t>
      </w:r>
      <w:r w:rsidR="00DD11DD">
        <w:rPr>
          <w:rFonts w:asciiTheme="minorHAnsi" w:hAnsiTheme="minorHAnsi" w:cstheme="minorHAnsi"/>
        </w:rPr>
        <w:t xml:space="preserve"> years</w:t>
      </w:r>
      <w:r w:rsidR="005C4203">
        <w:rPr>
          <w:rFonts w:asciiTheme="minorHAnsi" w:hAnsiTheme="minorHAnsi" w:cstheme="minorHAnsi"/>
        </w:rPr>
        <w:t xml:space="preserve">) </w:t>
      </w:r>
      <w:r w:rsidRPr="007D2F92">
        <w:rPr>
          <w:rFonts w:asciiTheme="minorHAnsi" w:hAnsiTheme="minorHAnsi" w:cstheme="minorHAnsi"/>
        </w:rPr>
        <w:t xml:space="preserve">receiving income support </w:t>
      </w:r>
      <w:r w:rsidR="007765EB">
        <w:rPr>
          <w:rFonts w:asciiTheme="minorHAnsi" w:hAnsiTheme="minorHAnsi" w:cstheme="minorHAnsi"/>
        </w:rPr>
        <w:t>(10.3</w:t>
      </w:r>
      <w:r w:rsidR="00E46C6A">
        <w:rPr>
          <w:rFonts w:asciiTheme="minorHAnsi" w:hAnsiTheme="minorHAnsi" w:cstheme="minorHAnsi"/>
        </w:rPr>
        <w:t> year</w:t>
      </w:r>
      <w:r w:rsidR="007765EB">
        <w:rPr>
          <w:rFonts w:asciiTheme="minorHAnsi" w:hAnsiTheme="minorHAnsi" w:cstheme="minorHAnsi"/>
        </w:rPr>
        <w:t>s)</w:t>
      </w:r>
      <w:r w:rsidRPr="007D2F92">
        <w:rPr>
          <w:rFonts w:asciiTheme="minorHAnsi" w:hAnsiTheme="minorHAnsi" w:cstheme="minorHAnsi"/>
        </w:rPr>
        <w:t xml:space="preserve"> than children </w:t>
      </w:r>
      <w:r w:rsidR="007765EB">
        <w:rPr>
          <w:rFonts w:asciiTheme="minorHAnsi" w:hAnsiTheme="minorHAnsi" w:cstheme="minorHAnsi"/>
        </w:rPr>
        <w:t xml:space="preserve">whose parent or guardian did not receive income support </w:t>
      </w:r>
      <w:r w:rsidRPr="007D2F92">
        <w:rPr>
          <w:rFonts w:asciiTheme="minorHAnsi" w:hAnsiTheme="minorHAnsi" w:cstheme="minorHAnsi"/>
        </w:rPr>
        <w:t xml:space="preserve">living in the most advantaged areas of Australia </w:t>
      </w:r>
      <w:r w:rsidR="007765EB">
        <w:rPr>
          <w:rFonts w:asciiTheme="minorHAnsi" w:hAnsiTheme="minorHAnsi" w:cstheme="minorHAnsi"/>
        </w:rPr>
        <w:t>(2.3</w:t>
      </w:r>
      <w:r w:rsidR="00E46C6A">
        <w:rPr>
          <w:rFonts w:asciiTheme="minorHAnsi" w:hAnsiTheme="minorHAnsi" w:cstheme="minorHAnsi"/>
        </w:rPr>
        <w:t> year</w:t>
      </w:r>
      <w:r w:rsidR="007765EB">
        <w:rPr>
          <w:rFonts w:asciiTheme="minorHAnsi" w:hAnsiTheme="minorHAnsi" w:cstheme="minorHAnsi"/>
        </w:rPr>
        <w:t>s)</w:t>
      </w:r>
      <w:r w:rsidRPr="007D2F92">
        <w:rPr>
          <w:rFonts w:asciiTheme="minorHAnsi" w:hAnsiTheme="minorHAnsi" w:cstheme="minorHAnsi"/>
        </w:rPr>
        <w:t>.</w:t>
      </w:r>
      <w:bookmarkStart w:id="17" w:name="_Ref153278413"/>
    </w:p>
    <w:p w14:paraId="75032B68" w14:textId="4946E320" w:rsidR="00F87614" w:rsidRDefault="007855DD" w:rsidP="00B85EBF">
      <w:pPr>
        <w:pStyle w:val="FigureMainHeading"/>
      </w:pPr>
      <w:r>
        <w:t>Figure </w:t>
      </w:r>
      <w:r w:rsidR="00B80D45">
        <w:fldChar w:fldCharType="begin"/>
      </w:r>
      <w:r w:rsidR="00B80D45">
        <w:instrText xml:space="preserve"> STYLEREF 1 \s </w:instrText>
      </w:r>
      <w:r w:rsidR="00B80D45">
        <w:fldChar w:fldCharType="separate"/>
      </w:r>
      <w:r w:rsidR="00722C0A">
        <w:rPr>
          <w:noProof/>
        </w:rPr>
        <w:t>1</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4</w:t>
      </w:r>
      <w:r w:rsidR="00B80D45">
        <w:rPr>
          <w:noProof/>
        </w:rPr>
        <w:fldChar w:fldCharType="end"/>
      </w:r>
      <w:bookmarkEnd w:id="17"/>
      <w:r w:rsidR="005E332C">
        <w:t>:</w:t>
      </w:r>
      <w:r w:rsidR="005E332C">
        <w:tab/>
      </w:r>
      <w:r w:rsidR="007E4C2E">
        <w:t>A</w:t>
      </w:r>
      <w:r w:rsidR="00F87614" w:rsidRPr="00A049E8">
        <w:t xml:space="preserve">verage projected </w:t>
      </w:r>
      <w:r w:rsidR="00F87614">
        <w:t>time</w:t>
      </w:r>
      <w:r w:rsidR="00F87614" w:rsidRPr="00A049E8">
        <w:t xml:space="preserve"> receiving income support </w:t>
      </w:r>
      <w:r w:rsidR="00F87614">
        <w:t xml:space="preserve">before retirement age </w:t>
      </w:r>
      <w:r w:rsidR="00F87614" w:rsidRPr="00A049E8">
        <w:t>(</w:t>
      </w:r>
      <w:r w:rsidR="007E4C2E">
        <w:t xml:space="preserve">in </w:t>
      </w:r>
      <w:r w:rsidR="00F87614" w:rsidRPr="00A049E8">
        <w:t>years)</w:t>
      </w:r>
      <w:r w:rsidR="00F87614">
        <w:t xml:space="preserve"> by percentage of childhood with a parent or guardian receiving income support</w:t>
      </w:r>
    </w:p>
    <w:tbl>
      <w:tblPr>
        <w:tblW w:w="0" w:type="auto"/>
        <w:jc w:val="center"/>
        <w:tblLayout w:type="fixed"/>
        <w:tblCellMar>
          <w:top w:w="57" w:type="dxa"/>
          <w:left w:w="113" w:type="dxa"/>
          <w:bottom w:w="57" w:type="dxa"/>
          <w:right w:w="113" w:type="dxa"/>
        </w:tblCellMar>
        <w:tblLook w:val="04A0" w:firstRow="1" w:lastRow="0" w:firstColumn="1" w:lastColumn="0" w:noHBand="0" w:noVBand="1"/>
      </w:tblPr>
      <w:tblGrid>
        <w:gridCol w:w="1843"/>
        <w:gridCol w:w="1838"/>
        <w:gridCol w:w="1079"/>
        <w:gridCol w:w="1080"/>
        <w:gridCol w:w="1080"/>
      </w:tblGrid>
      <w:tr w:rsidR="007E2C15" w:rsidRPr="00385671" w14:paraId="2EC138EC" w14:textId="77777777" w:rsidTr="00155DFB">
        <w:trPr>
          <w:trHeight w:val="300"/>
          <w:jc w:val="center"/>
        </w:trPr>
        <w:tc>
          <w:tcPr>
            <w:tcW w:w="3681" w:type="dxa"/>
            <w:gridSpan w:val="2"/>
            <w:vMerge w:val="restart"/>
            <w:shd w:val="clear" w:color="auto" w:fill="auto"/>
            <w:noWrap/>
            <w:vAlign w:val="center"/>
            <w:hideMark/>
          </w:tcPr>
          <w:p w14:paraId="0230F162" w14:textId="763B951C" w:rsidR="00303542" w:rsidRPr="00385671" w:rsidRDefault="00303542" w:rsidP="00B85EBF">
            <w:pPr>
              <w:pStyle w:val="TableTextSmall"/>
              <w:keepNext/>
              <w:rPr>
                <w:sz w:val="18"/>
                <w:szCs w:val="20"/>
              </w:rPr>
            </w:pPr>
          </w:p>
        </w:tc>
        <w:tc>
          <w:tcPr>
            <w:tcW w:w="3239" w:type="dxa"/>
            <w:gridSpan w:val="3"/>
            <w:shd w:val="clear" w:color="auto" w:fill="auto"/>
            <w:vAlign w:val="center"/>
            <w:hideMark/>
          </w:tcPr>
          <w:p w14:paraId="2AA8F4B9" w14:textId="764DCEE3" w:rsidR="00303542" w:rsidRPr="00155DFB" w:rsidRDefault="00E353A7" w:rsidP="00B85EBF">
            <w:pPr>
              <w:pStyle w:val="TableTextSmall"/>
              <w:keepNext/>
              <w:jc w:val="center"/>
              <w:rPr>
                <w:b/>
                <w:bCs/>
                <w:sz w:val="18"/>
                <w:szCs w:val="20"/>
              </w:rPr>
            </w:pPr>
            <w:r w:rsidRPr="00155DFB">
              <w:rPr>
                <w:b/>
                <w:bCs/>
                <w:sz w:val="18"/>
                <w:szCs w:val="20"/>
              </w:rPr>
              <w:t>Percentage</w:t>
            </w:r>
            <w:r w:rsidR="00303542" w:rsidRPr="00155DFB">
              <w:rPr>
                <w:b/>
                <w:bCs/>
                <w:sz w:val="18"/>
                <w:szCs w:val="20"/>
              </w:rPr>
              <w:t xml:space="preserve"> of childhood at least one</w:t>
            </w:r>
            <w:r w:rsidR="00155DFB" w:rsidRPr="00155DFB">
              <w:rPr>
                <w:b/>
                <w:bCs/>
                <w:sz w:val="18"/>
                <w:szCs w:val="20"/>
              </w:rPr>
              <w:t> </w:t>
            </w:r>
            <w:r w:rsidR="00303542" w:rsidRPr="00155DFB">
              <w:rPr>
                <w:b/>
                <w:bCs/>
                <w:sz w:val="18"/>
                <w:szCs w:val="20"/>
              </w:rPr>
              <w:t xml:space="preserve">parent </w:t>
            </w:r>
            <w:r w:rsidR="00AB316F" w:rsidRPr="00155DFB">
              <w:rPr>
                <w:b/>
                <w:bCs/>
                <w:sz w:val="18"/>
                <w:szCs w:val="20"/>
              </w:rPr>
              <w:t xml:space="preserve">or guardian </w:t>
            </w:r>
            <w:r w:rsidR="00303542" w:rsidRPr="00155DFB">
              <w:rPr>
                <w:b/>
                <w:bCs/>
                <w:sz w:val="18"/>
                <w:szCs w:val="20"/>
              </w:rPr>
              <w:t>received income</w:t>
            </w:r>
            <w:r w:rsidR="00155DFB" w:rsidRPr="00155DFB">
              <w:rPr>
                <w:b/>
                <w:bCs/>
                <w:sz w:val="18"/>
                <w:szCs w:val="20"/>
              </w:rPr>
              <w:t> </w:t>
            </w:r>
            <w:r w:rsidR="00303542" w:rsidRPr="00155DFB">
              <w:rPr>
                <w:b/>
                <w:bCs/>
                <w:sz w:val="18"/>
                <w:szCs w:val="20"/>
              </w:rPr>
              <w:t>support</w:t>
            </w:r>
          </w:p>
        </w:tc>
      </w:tr>
      <w:tr w:rsidR="007E2C15" w:rsidRPr="00385671" w14:paraId="05AF8A10" w14:textId="77777777" w:rsidTr="00155DFB">
        <w:trPr>
          <w:trHeight w:val="300"/>
          <w:jc w:val="center"/>
        </w:trPr>
        <w:tc>
          <w:tcPr>
            <w:tcW w:w="3681" w:type="dxa"/>
            <w:gridSpan w:val="2"/>
            <w:vMerge/>
            <w:tcBorders>
              <w:top w:val="single" w:sz="4" w:space="0" w:color="auto"/>
              <w:right w:val="single" w:sz="4" w:space="0" w:color="auto"/>
            </w:tcBorders>
            <w:vAlign w:val="center"/>
            <w:hideMark/>
          </w:tcPr>
          <w:p w14:paraId="45B18CCD" w14:textId="77777777" w:rsidR="00303542" w:rsidRPr="00385671" w:rsidRDefault="00303542" w:rsidP="00B85EBF">
            <w:pPr>
              <w:pStyle w:val="TableTextSmall"/>
              <w:keepNext/>
              <w:rPr>
                <w:sz w:val="18"/>
                <w:szCs w:val="20"/>
              </w:rPr>
            </w:pPr>
          </w:p>
        </w:tc>
        <w:tc>
          <w:tcPr>
            <w:tcW w:w="1079" w:type="dxa"/>
            <w:tcBorders>
              <w:left w:val="nil"/>
              <w:bottom w:val="single" w:sz="4" w:space="0" w:color="auto"/>
              <w:right w:val="single" w:sz="4" w:space="0" w:color="auto"/>
            </w:tcBorders>
            <w:shd w:val="clear" w:color="auto" w:fill="auto"/>
            <w:noWrap/>
            <w:vAlign w:val="center"/>
            <w:hideMark/>
          </w:tcPr>
          <w:p w14:paraId="477370DC" w14:textId="09F68080" w:rsidR="00303542" w:rsidRPr="00385671" w:rsidRDefault="00951EF0" w:rsidP="00B85EBF">
            <w:pPr>
              <w:pStyle w:val="TableTextSmall"/>
              <w:keepNext/>
              <w:jc w:val="center"/>
              <w:rPr>
                <w:sz w:val="18"/>
                <w:szCs w:val="20"/>
              </w:rPr>
            </w:pPr>
            <w:r w:rsidRPr="00385671">
              <w:rPr>
                <w:sz w:val="18"/>
                <w:szCs w:val="20"/>
              </w:rPr>
              <w:t>50% to 100%</w:t>
            </w:r>
          </w:p>
        </w:tc>
        <w:tc>
          <w:tcPr>
            <w:tcW w:w="1080" w:type="dxa"/>
            <w:tcBorders>
              <w:left w:val="nil"/>
              <w:bottom w:val="single" w:sz="4" w:space="0" w:color="auto"/>
              <w:right w:val="single" w:sz="4" w:space="0" w:color="auto"/>
            </w:tcBorders>
            <w:shd w:val="clear" w:color="auto" w:fill="auto"/>
            <w:noWrap/>
            <w:vAlign w:val="center"/>
            <w:hideMark/>
          </w:tcPr>
          <w:p w14:paraId="32BD8057" w14:textId="77777777" w:rsidR="00303542" w:rsidRPr="00385671" w:rsidRDefault="00303542" w:rsidP="00B85EBF">
            <w:pPr>
              <w:pStyle w:val="TableTextSmall"/>
              <w:keepNext/>
              <w:jc w:val="center"/>
              <w:rPr>
                <w:sz w:val="18"/>
                <w:szCs w:val="20"/>
              </w:rPr>
            </w:pPr>
            <w:r w:rsidRPr="00385671">
              <w:rPr>
                <w:sz w:val="18"/>
                <w:szCs w:val="20"/>
              </w:rPr>
              <w:t>Under 50%</w:t>
            </w:r>
          </w:p>
        </w:tc>
        <w:tc>
          <w:tcPr>
            <w:tcW w:w="1080" w:type="dxa"/>
            <w:tcBorders>
              <w:left w:val="nil"/>
              <w:bottom w:val="single" w:sz="4" w:space="0" w:color="auto"/>
            </w:tcBorders>
            <w:shd w:val="clear" w:color="auto" w:fill="auto"/>
            <w:noWrap/>
            <w:vAlign w:val="center"/>
            <w:hideMark/>
          </w:tcPr>
          <w:p w14:paraId="2AF149F8" w14:textId="7375D197" w:rsidR="00303542" w:rsidRPr="00385671" w:rsidRDefault="00951EF0" w:rsidP="00B85EBF">
            <w:pPr>
              <w:pStyle w:val="TableTextSmall"/>
              <w:keepNext/>
              <w:jc w:val="center"/>
              <w:rPr>
                <w:sz w:val="18"/>
                <w:szCs w:val="20"/>
              </w:rPr>
            </w:pPr>
            <w:r w:rsidRPr="00385671">
              <w:rPr>
                <w:sz w:val="18"/>
                <w:szCs w:val="20"/>
              </w:rPr>
              <w:t>Not at all</w:t>
            </w:r>
          </w:p>
        </w:tc>
      </w:tr>
      <w:tr w:rsidR="007E2C15" w:rsidRPr="00385671" w14:paraId="279BD9E7" w14:textId="77777777" w:rsidTr="00A860AA">
        <w:trPr>
          <w:trHeight w:val="794"/>
          <w:jc w:val="center"/>
        </w:trPr>
        <w:tc>
          <w:tcPr>
            <w:tcW w:w="1843" w:type="dxa"/>
            <w:vMerge w:val="restart"/>
            <w:tcBorders>
              <w:bottom w:val="double" w:sz="4" w:space="0" w:color="auto"/>
            </w:tcBorders>
            <w:shd w:val="clear" w:color="auto" w:fill="auto"/>
            <w:noWrap/>
            <w:vAlign w:val="center"/>
            <w:hideMark/>
          </w:tcPr>
          <w:p w14:paraId="3A50288F" w14:textId="19D3BAE0" w:rsidR="00F7636F" w:rsidRPr="00155DFB" w:rsidRDefault="00F7636F" w:rsidP="00B85EBF">
            <w:pPr>
              <w:pStyle w:val="TableTextSmall"/>
              <w:keepNext/>
              <w:rPr>
                <w:b/>
                <w:bCs/>
                <w:sz w:val="18"/>
                <w:szCs w:val="20"/>
              </w:rPr>
            </w:pPr>
            <w:r w:rsidRPr="00155DFB">
              <w:rPr>
                <w:b/>
                <w:bCs/>
                <w:sz w:val="18"/>
                <w:szCs w:val="20"/>
              </w:rPr>
              <w:t>Socio</w:t>
            </w:r>
            <w:r w:rsidR="00B04FCE" w:rsidRPr="00155DFB">
              <w:rPr>
                <w:b/>
                <w:bCs/>
                <w:sz w:val="18"/>
                <w:szCs w:val="20"/>
              </w:rPr>
              <w:noBreakHyphen/>
            </w:r>
            <w:r w:rsidRPr="00155DFB">
              <w:rPr>
                <w:b/>
                <w:bCs/>
                <w:sz w:val="18"/>
                <w:szCs w:val="20"/>
              </w:rPr>
              <w:t>economic Area</w:t>
            </w:r>
            <w:r w:rsidR="00155DFB">
              <w:rPr>
                <w:b/>
                <w:bCs/>
                <w:sz w:val="18"/>
                <w:szCs w:val="20"/>
              </w:rPr>
              <w:t> </w:t>
            </w:r>
            <w:r w:rsidRPr="00155DFB">
              <w:rPr>
                <w:b/>
                <w:bCs/>
                <w:sz w:val="18"/>
                <w:szCs w:val="20"/>
              </w:rPr>
              <w:t>Grouping</w:t>
            </w:r>
          </w:p>
        </w:tc>
        <w:tc>
          <w:tcPr>
            <w:tcW w:w="1838" w:type="dxa"/>
            <w:tcBorders>
              <w:top w:val="single" w:sz="4" w:space="0" w:color="auto"/>
              <w:bottom w:val="single" w:sz="4" w:space="0" w:color="auto"/>
              <w:right w:val="single" w:sz="4" w:space="0" w:color="auto"/>
            </w:tcBorders>
            <w:shd w:val="clear" w:color="auto" w:fill="auto"/>
            <w:noWrap/>
            <w:vAlign w:val="center"/>
            <w:hideMark/>
          </w:tcPr>
          <w:p w14:paraId="3030B7E3" w14:textId="4CD565EA" w:rsidR="00F7636F" w:rsidRPr="00385671" w:rsidRDefault="00F7636F" w:rsidP="00B85EBF">
            <w:pPr>
              <w:pStyle w:val="TableTextSmall"/>
              <w:keepNext/>
              <w:jc w:val="right"/>
              <w:rPr>
                <w:sz w:val="18"/>
                <w:szCs w:val="20"/>
              </w:rPr>
            </w:pPr>
            <w:r w:rsidRPr="00385671">
              <w:rPr>
                <w:sz w:val="18"/>
                <w:szCs w:val="20"/>
              </w:rPr>
              <w:t>Lowest 20%</w:t>
            </w:r>
          </w:p>
        </w:tc>
        <w:tc>
          <w:tcPr>
            <w:tcW w:w="1079" w:type="dxa"/>
            <w:tcBorders>
              <w:top w:val="nil"/>
              <w:left w:val="nil"/>
              <w:bottom w:val="single" w:sz="8" w:space="0" w:color="auto"/>
              <w:right w:val="single" w:sz="8" w:space="0" w:color="auto"/>
            </w:tcBorders>
            <w:shd w:val="clear" w:color="000000" w:fill="FF0000"/>
            <w:noWrap/>
            <w:vAlign w:val="center"/>
            <w:hideMark/>
          </w:tcPr>
          <w:p w14:paraId="580B534F" w14:textId="0C970E25" w:rsidR="00F7636F" w:rsidRPr="00385671" w:rsidRDefault="00F7636F" w:rsidP="00B85EBF">
            <w:pPr>
              <w:pStyle w:val="TableTextSmall"/>
              <w:keepNext/>
              <w:jc w:val="center"/>
              <w:rPr>
                <w:sz w:val="18"/>
                <w:szCs w:val="20"/>
              </w:rPr>
            </w:pPr>
            <w:r w:rsidRPr="00385671">
              <w:rPr>
                <w:sz w:val="18"/>
                <w:szCs w:val="20"/>
              </w:rPr>
              <w:t>10.3</w:t>
            </w:r>
          </w:p>
        </w:tc>
        <w:tc>
          <w:tcPr>
            <w:tcW w:w="1080" w:type="dxa"/>
            <w:tcBorders>
              <w:top w:val="nil"/>
              <w:left w:val="nil"/>
              <w:bottom w:val="single" w:sz="8" w:space="0" w:color="auto"/>
              <w:right w:val="single" w:sz="8" w:space="0" w:color="auto"/>
            </w:tcBorders>
            <w:shd w:val="clear" w:color="000000" w:fill="FF8D8D"/>
            <w:noWrap/>
            <w:vAlign w:val="center"/>
            <w:hideMark/>
          </w:tcPr>
          <w:p w14:paraId="4587E15B" w14:textId="00A3E529" w:rsidR="00F7636F" w:rsidRPr="00385671" w:rsidRDefault="00F7636F" w:rsidP="00B85EBF">
            <w:pPr>
              <w:pStyle w:val="TableTextSmall"/>
              <w:keepNext/>
              <w:jc w:val="center"/>
              <w:rPr>
                <w:sz w:val="18"/>
                <w:szCs w:val="20"/>
              </w:rPr>
            </w:pPr>
            <w:r w:rsidRPr="00385671">
              <w:rPr>
                <w:sz w:val="18"/>
                <w:szCs w:val="20"/>
              </w:rPr>
              <w:t>5.9</w:t>
            </w:r>
          </w:p>
        </w:tc>
        <w:tc>
          <w:tcPr>
            <w:tcW w:w="1080" w:type="dxa"/>
            <w:tcBorders>
              <w:top w:val="nil"/>
              <w:left w:val="nil"/>
              <w:bottom w:val="single" w:sz="8" w:space="0" w:color="auto"/>
            </w:tcBorders>
            <w:shd w:val="clear" w:color="000000" w:fill="FFE3E3"/>
            <w:noWrap/>
            <w:vAlign w:val="center"/>
            <w:hideMark/>
          </w:tcPr>
          <w:p w14:paraId="08DD29DE" w14:textId="15849890" w:rsidR="00F7636F" w:rsidRPr="00385671" w:rsidRDefault="00F7636F" w:rsidP="00B85EBF">
            <w:pPr>
              <w:pStyle w:val="TableTextSmall"/>
              <w:keepNext/>
              <w:jc w:val="center"/>
              <w:rPr>
                <w:sz w:val="18"/>
                <w:szCs w:val="20"/>
              </w:rPr>
            </w:pPr>
            <w:r w:rsidRPr="00385671">
              <w:rPr>
                <w:sz w:val="18"/>
                <w:szCs w:val="20"/>
              </w:rPr>
              <w:t>3.2</w:t>
            </w:r>
          </w:p>
        </w:tc>
      </w:tr>
      <w:tr w:rsidR="007E2C15" w:rsidRPr="00385671" w14:paraId="62D959BA" w14:textId="77777777" w:rsidTr="00A860AA">
        <w:trPr>
          <w:trHeight w:val="794"/>
          <w:jc w:val="center"/>
        </w:trPr>
        <w:tc>
          <w:tcPr>
            <w:tcW w:w="1843" w:type="dxa"/>
            <w:vMerge/>
            <w:tcBorders>
              <w:top w:val="double" w:sz="4" w:space="0" w:color="auto"/>
              <w:bottom w:val="double" w:sz="4" w:space="0" w:color="auto"/>
            </w:tcBorders>
            <w:vAlign w:val="center"/>
            <w:hideMark/>
          </w:tcPr>
          <w:p w14:paraId="21034BDC" w14:textId="77777777" w:rsidR="00F7636F" w:rsidRPr="00385671" w:rsidRDefault="00F7636F" w:rsidP="00B85EBF">
            <w:pPr>
              <w:pStyle w:val="TableTextSmall"/>
              <w:keepNext/>
              <w:rPr>
                <w:sz w:val="18"/>
                <w:szCs w:val="20"/>
              </w:rPr>
            </w:pPr>
          </w:p>
        </w:tc>
        <w:tc>
          <w:tcPr>
            <w:tcW w:w="1838" w:type="dxa"/>
            <w:tcBorders>
              <w:top w:val="nil"/>
              <w:bottom w:val="single" w:sz="4" w:space="0" w:color="auto"/>
              <w:right w:val="single" w:sz="4" w:space="0" w:color="auto"/>
            </w:tcBorders>
            <w:shd w:val="clear" w:color="auto" w:fill="auto"/>
            <w:noWrap/>
            <w:vAlign w:val="center"/>
            <w:hideMark/>
          </w:tcPr>
          <w:p w14:paraId="168201B4" w14:textId="6BCFC12F" w:rsidR="00F7636F" w:rsidRPr="00385671" w:rsidRDefault="00F7636F" w:rsidP="00B85EBF">
            <w:pPr>
              <w:pStyle w:val="TableTextSmall"/>
              <w:keepNext/>
              <w:jc w:val="right"/>
              <w:rPr>
                <w:sz w:val="18"/>
                <w:szCs w:val="20"/>
              </w:rPr>
            </w:pPr>
            <w:r w:rsidRPr="00385671">
              <w:rPr>
                <w:sz w:val="18"/>
                <w:szCs w:val="20"/>
              </w:rPr>
              <w:t>20%</w:t>
            </w:r>
            <w:r w:rsidR="009F12CC" w:rsidRPr="00385671">
              <w:rPr>
                <w:sz w:val="18"/>
                <w:szCs w:val="20"/>
              </w:rPr>
              <w:t>–</w:t>
            </w:r>
            <w:r w:rsidRPr="00385671">
              <w:rPr>
                <w:sz w:val="18"/>
                <w:szCs w:val="20"/>
              </w:rPr>
              <w:t>40%</w:t>
            </w:r>
          </w:p>
        </w:tc>
        <w:tc>
          <w:tcPr>
            <w:tcW w:w="1079" w:type="dxa"/>
            <w:tcBorders>
              <w:top w:val="nil"/>
              <w:left w:val="nil"/>
              <w:bottom w:val="single" w:sz="8" w:space="0" w:color="auto"/>
              <w:right w:val="single" w:sz="8" w:space="0" w:color="auto"/>
            </w:tcBorders>
            <w:shd w:val="clear" w:color="000000" w:fill="FF2020"/>
            <w:noWrap/>
            <w:vAlign w:val="center"/>
            <w:hideMark/>
          </w:tcPr>
          <w:p w14:paraId="14881482" w14:textId="40665401" w:rsidR="00F7636F" w:rsidRPr="00385671" w:rsidRDefault="00F7636F" w:rsidP="00B85EBF">
            <w:pPr>
              <w:pStyle w:val="TableTextSmall"/>
              <w:keepNext/>
              <w:jc w:val="center"/>
              <w:rPr>
                <w:sz w:val="18"/>
                <w:szCs w:val="20"/>
              </w:rPr>
            </w:pPr>
            <w:r w:rsidRPr="00385671">
              <w:rPr>
                <w:sz w:val="18"/>
                <w:szCs w:val="20"/>
              </w:rPr>
              <w:t>9.3</w:t>
            </w:r>
          </w:p>
        </w:tc>
        <w:tc>
          <w:tcPr>
            <w:tcW w:w="1080" w:type="dxa"/>
            <w:tcBorders>
              <w:top w:val="nil"/>
              <w:left w:val="nil"/>
              <w:bottom w:val="single" w:sz="8" w:space="0" w:color="auto"/>
              <w:right w:val="single" w:sz="8" w:space="0" w:color="auto"/>
            </w:tcBorders>
            <w:shd w:val="clear" w:color="000000" w:fill="FFA9A9"/>
            <w:noWrap/>
            <w:vAlign w:val="center"/>
            <w:hideMark/>
          </w:tcPr>
          <w:p w14:paraId="438788F5" w14:textId="670099AC" w:rsidR="00F7636F" w:rsidRPr="00385671" w:rsidRDefault="00F7636F" w:rsidP="00B85EBF">
            <w:pPr>
              <w:pStyle w:val="TableTextSmall"/>
              <w:keepNext/>
              <w:jc w:val="center"/>
              <w:rPr>
                <w:sz w:val="18"/>
                <w:szCs w:val="20"/>
              </w:rPr>
            </w:pPr>
            <w:r w:rsidRPr="00385671">
              <w:rPr>
                <w:sz w:val="18"/>
                <w:szCs w:val="20"/>
              </w:rPr>
              <w:t>5</w:t>
            </w:r>
            <w:r w:rsidR="00306FE2" w:rsidRPr="00385671">
              <w:rPr>
                <w:sz w:val="18"/>
                <w:szCs w:val="20"/>
              </w:rPr>
              <w:t>.0</w:t>
            </w:r>
          </w:p>
        </w:tc>
        <w:tc>
          <w:tcPr>
            <w:tcW w:w="1080" w:type="dxa"/>
            <w:tcBorders>
              <w:top w:val="nil"/>
              <w:left w:val="nil"/>
              <w:bottom w:val="single" w:sz="8" w:space="0" w:color="auto"/>
            </w:tcBorders>
            <w:shd w:val="clear" w:color="000000" w:fill="FFF0F0"/>
            <w:noWrap/>
            <w:vAlign w:val="center"/>
            <w:hideMark/>
          </w:tcPr>
          <w:p w14:paraId="419DEEA7" w14:textId="0C87F59E" w:rsidR="00F7636F" w:rsidRPr="00385671" w:rsidRDefault="00F7636F" w:rsidP="00B85EBF">
            <w:pPr>
              <w:pStyle w:val="TableTextSmall"/>
              <w:keepNext/>
              <w:jc w:val="center"/>
              <w:rPr>
                <w:sz w:val="18"/>
                <w:szCs w:val="20"/>
              </w:rPr>
            </w:pPr>
            <w:r w:rsidRPr="00385671">
              <w:rPr>
                <w:sz w:val="18"/>
                <w:szCs w:val="20"/>
              </w:rPr>
              <w:t>2.8</w:t>
            </w:r>
          </w:p>
        </w:tc>
      </w:tr>
      <w:tr w:rsidR="007E2C15" w:rsidRPr="00385671" w14:paraId="22CEABE0" w14:textId="77777777" w:rsidTr="00A860AA">
        <w:trPr>
          <w:trHeight w:val="794"/>
          <w:jc w:val="center"/>
        </w:trPr>
        <w:tc>
          <w:tcPr>
            <w:tcW w:w="1843" w:type="dxa"/>
            <w:vMerge/>
            <w:tcBorders>
              <w:top w:val="double" w:sz="4" w:space="0" w:color="auto"/>
              <w:bottom w:val="double" w:sz="4" w:space="0" w:color="auto"/>
            </w:tcBorders>
            <w:vAlign w:val="center"/>
            <w:hideMark/>
          </w:tcPr>
          <w:p w14:paraId="47542556" w14:textId="77777777" w:rsidR="00F7636F" w:rsidRPr="00385671" w:rsidRDefault="00F7636F" w:rsidP="00B85EBF">
            <w:pPr>
              <w:pStyle w:val="TableTextSmall"/>
              <w:keepNext/>
              <w:rPr>
                <w:sz w:val="18"/>
                <w:szCs w:val="20"/>
              </w:rPr>
            </w:pPr>
          </w:p>
        </w:tc>
        <w:tc>
          <w:tcPr>
            <w:tcW w:w="1838" w:type="dxa"/>
            <w:tcBorders>
              <w:top w:val="nil"/>
              <w:bottom w:val="single" w:sz="4" w:space="0" w:color="auto"/>
              <w:right w:val="single" w:sz="4" w:space="0" w:color="auto"/>
            </w:tcBorders>
            <w:shd w:val="clear" w:color="auto" w:fill="auto"/>
            <w:noWrap/>
            <w:vAlign w:val="center"/>
            <w:hideMark/>
          </w:tcPr>
          <w:p w14:paraId="02293C3F" w14:textId="6EE27CE3" w:rsidR="00F7636F" w:rsidRPr="00385671" w:rsidRDefault="00F7636F" w:rsidP="00B85EBF">
            <w:pPr>
              <w:pStyle w:val="TableTextSmall"/>
              <w:keepNext/>
              <w:jc w:val="right"/>
              <w:rPr>
                <w:sz w:val="18"/>
                <w:szCs w:val="20"/>
              </w:rPr>
            </w:pPr>
            <w:r w:rsidRPr="00385671">
              <w:rPr>
                <w:sz w:val="18"/>
                <w:szCs w:val="20"/>
              </w:rPr>
              <w:t>40%</w:t>
            </w:r>
            <w:r w:rsidR="009F12CC" w:rsidRPr="00385671">
              <w:rPr>
                <w:sz w:val="18"/>
                <w:szCs w:val="20"/>
              </w:rPr>
              <w:t>–</w:t>
            </w:r>
            <w:r w:rsidRPr="00385671">
              <w:rPr>
                <w:sz w:val="18"/>
                <w:szCs w:val="20"/>
              </w:rPr>
              <w:t>60%</w:t>
            </w:r>
          </w:p>
        </w:tc>
        <w:tc>
          <w:tcPr>
            <w:tcW w:w="1079" w:type="dxa"/>
            <w:tcBorders>
              <w:top w:val="nil"/>
              <w:left w:val="nil"/>
              <w:bottom w:val="single" w:sz="8" w:space="0" w:color="auto"/>
              <w:right w:val="single" w:sz="8" w:space="0" w:color="auto"/>
            </w:tcBorders>
            <w:shd w:val="clear" w:color="000000" w:fill="FF3A3A"/>
            <w:noWrap/>
            <w:vAlign w:val="center"/>
            <w:hideMark/>
          </w:tcPr>
          <w:p w14:paraId="02F8F4DD" w14:textId="622B3EAE" w:rsidR="00F7636F" w:rsidRPr="00385671" w:rsidRDefault="00F7636F" w:rsidP="00B85EBF">
            <w:pPr>
              <w:pStyle w:val="TableTextSmall"/>
              <w:keepNext/>
              <w:jc w:val="center"/>
              <w:rPr>
                <w:sz w:val="18"/>
                <w:szCs w:val="20"/>
              </w:rPr>
            </w:pPr>
            <w:r w:rsidRPr="00385671">
              <w:rPr>
                <w:sz w:val="18"/>
                <w:szCs w:val="20"/>
              </w:rPr>
              <w:t>8.5</w:t>
            </w:r>
          </w:p>
        </w:tc>
        <w:tc>
          <w:tcPr>
            <w:tcW w:w="1080" w:type="dxa"/>
            <w:tcBorders>
              <w:top w:val="nil"/>
              <w:left w:val="nil"/>
              <w:bottom w:val="single" w:sz="8" w:space="0" w:color="auto"/>
              <w:right w:val="single" w:sz="8" w:space="0" w:color="auto"/>
            </w:tcBorders>
            <w:shd w:val="clear" w:color="000000" w:fill="FFB9B9"/>
            <w:noWrap/>
            <w:vAlign w:val="center"/>
            <w:hideMark/>
          </w:tcPr>
          <w:p w14:paraId="23D669B4" w14:textId="03ACF94B" w:rsidR="00F7636F" w:rsidRPr="00385671" w:rsidRDefault="00F7636F" w:rsidP="00B85EBF">
            <w:pPr>
              <w:pStyle w:val="TableTextSmall"/>
              <w:keepNext/>
              <w:jc w:val="center"/>
              <w:rPr>
                <w:sz w:val="18"/>
                <w:szCs w:val="20"/>
              </w:rPr>
            </w:pPr>
            <w:r w:rsidRPr="00385671">
              <w:rPr>
                <w:sz w:val="18"/>
                <w:szCs w:val="20"/>
              </w:rPr>
              <w:t>4.5</w:t>
            </w:r>
          </w:p>
        </w:tc>
        <w:tc>
          <w:tcPr>
            <w:tcW w:w="1080" w:type="dxa"/>
            <w:tcBorders>
              <w:top w:val="nil"/>
              <w:left w:val="nil"/>
              <w:bottom w:val="single" w:sz="8" w:space="0" w:color="auto"/>
            </w:tcBorders>
            <w:shd w:val="clear" w:color="000000" w:fill="FFF6F6"/>
            <w:noWrap/>
            <w:vAlign w:val="center"/>
            <w:hideMark/>
          </w:tcPr>
          <w:p w14:paraId="73A1D754" w14:textId="5DD47F3D" w:rsidR="00F7636F" w:rsidRPr="00385671" w:rsidRDefault="00F7636F" w:rsidP="00B85EBF">
            <w:pPr>
              <w:pStyle w:val="TableTextSmall"/>
              <w:keepNext/>
              <w:jc w:val="center"/>
              <w:rPr>
                <w:sz w:val="18"/>
                <w:szCs w:val="20"/>
              </w:rPr>
            </w:pPr>
            <w:r w:rsidRPr="00385671">
              <w:rPr>
                <w:sz w:val="18"/>
                <w:szCs w:val="20"/>
              </w:rPr>
              <w:t>2.6</w:t>
            </w:r>
          </w:p>
        </w:tc>
      </w:tr>
      <w:tr w:rsidR="007E2C15" w:rsidRPr="00385671" w14:paraId="3F139A13" w14:textId="77777777" w:rsidTr="00A860AA">
        <w:trPr>
          <w:trHeight w:val="794"/>
          <w:jc w:val="center"/>
        </w:trPr>
        <w:tc>
          <w:tcPr>
            <w:tcW w:w="1843" w:type="dxa"/>
            <w:vMerge/>
            <w:tcBorders>
              <w:top w:val="double" w:sz="4" w:space="0" w:color="auto"/>
              <w:bottom w:val="double" w:sz="4" w:space="0" w:color="auto"/>
            </w:tcBorders>
            <w:vAlign w:val="center"/>
            <w:hideMark/>
          </w:tcPr>
          <w:p w14:paraId="6DA47BAD" w14:textId="77777777" w:rsidR="00F7636F" w:rsidRPr="00385671" w:rsidRDefault="00F7636F" w:rsidP="00B85EBF">
            <w:pPr>
              <w:pStyle w:val="TableTextSmall"/>
              <w:keepNext/>
              <w:rPr>
                <w:sz w:val="18"/>
                <w:szCs w:val="20"/>
              </w:rPr>
            </w:pPr>
          </w:p>
        </w:tc>
        <w:tc>
          <w:tcPr>
            <w:tcW w:w="1838" w:type="dxa"/>
            <w:tcBorders>
              <w:top w:val="nil"/>
              <w:bottom w:val="single" w:sz="4" w:space="0" w:color="auto"/>
              <w:right w:val="single" w:sz="4" w:space="0" w:color="auto"/>
            </w:tcBorders>
            <w:shd w:val="clear" w:color="auto" w:fill="auto"/>
            <w:noWrap/>
            <w:vAlign w:val="center"/>
            <w:hideMark/>
          </w:tcPr>
          <w:p w14:paraId="5A298ABE" w14:textId="3FB95BDD" w:rsidR="00F7636F" w:rsidRPr="00385671" w:rsidRDefault="00F7636F" w:rsidP="00B85EBF">
            <w:pPr>
              <w:pStyle w:val="TableTextSmall"/>
              <w:keepNext/>
              <w:jc w:val="right"/>
              <w:rPr>
                <w:sz w:val="18"/>
                <w:szCs w:val="20"/>
              </w:rPr>
            </w:pPr>
            <w:r w:rsidRPr="00385671">
              <w:rPr>
                <w:sz w:val="18"/>
                <w:szCs w:val="20"/>
              </w:rPr>
              <w:t>60%</w:t>
            </w:r>
            <w:r w:rsidR="009F12CC" w:rsidRPr="00385671">
              <w:rPr>
                <w:sz w:val="18"/>
                <w:szCs w:val="20"/>
              </w:rPr>
              <w:t>–</w:t>
            </w:r>
            <w:r w:rsidRPr="00385671">
              <w:rPr>
                <w:sz w:val="18"/>
                <w:szCs w:val="20"/>
              </w:rPr>
              <w:t>80%</w:t>
            </w:r>
          </w:p>
        </w:tc>
        <w:tc>
          <w:tcPr>
            <w:tcW w:w="1079" w:type="dxa"/>
            <w:tcBorders>
              <w:top w:val="nil"/>
              <w:left w:val="nil"/>
              <w:bottom w:val="single" w:sz="8" w:space="0" w:color="auto"/>
              <w:right w:val="single" w:sz="8" w:space="0" w:color="auto"/>
            </w:tcBorders>
            <w:shd w:val="clear" w:color="000000" w:fill="FF5353"/>
            <w:noWrap/>
            <w:vAlign w:val="center"/>
            <w:hideMark/>
          </w:tcPr>
          <w:p w14:paraId="06BC6E46" w14:textId="08D69AF2" w:rsidR="00F7636F" w:rsidRPr="00385671" w:rsidRDefault="00F7636F" w:rsidP="00B85EBF">
            <w:pPr>
              <w:pStyle w:val="TableTextSmall"/>
              <w:keepNext/>
              <w:jc w:val="center"/>
              <w:rPr>
                <w:sz w:val="18"/>
                <w:szCs w:val="20"/>
              </w:rPr>
            </w:pPr>
            <w:r w:rsidRPr="00385671">
              <w:rPr>
                <w:sz w:val="18"/>
                <w:szCs w:val="20"/>
              </w:rPr>
              <w:t>7.7</w:t>
            </w:r>
          </w:p>
        </w:tc>
        <w:tc>
          <w:tcPr>
            <w:tcW w:w="1080" w:type="dxa"/>
            <w:tcBorders>
              <w:top w:val="nil"/>
              <w:left w:val="nil"/>
              <w:bottom w:val="single" w:sz="8" w:space="0" w:color="auto"/>
              <w:right w:val="single" w:sz="8" w:space="0" w:color="auto"/>
            </w:tcBorders>
            <w:shd w:val="clear" w:color="000000" w:fill="FFC9C9"/>
            <w:noWrap/>
            <w:vAlign w:val="center"/>
            <w:hideMark/>
          </w:tcPr>
          <w:p w14:paraId="05DF1F57" w14:textId="5D98A178" w:rsidR="00F7636F" w:rsidRPr="00385671" w:rsidRDefault="00F7636F" w:rsidP="00B85EBF">
            <w:pPr>
              <w:pStyle w:val="TableTextSmall"/>
              <w:keepNext/>
              <w:jc w:val="center"/>
              <w:rPr>
                <w:sz w:val="18"/>
                <w:szCs w:val="20"/>
              </w:rPr>
            </w:pPr>
            <w:r w:rsidRPr="00385671">
              <w:rPr>
                <w:sz w:val="18"/>
                <w:szCs w:val="20"/>
              </w:rPr>
              <w:t>4</w:t>
            </w:r>
            <w:r w:rsidR="00306FE2" w:rsidRPr="00385671">
              <w:rPr>
                <w:sz w:val="18"/>
                <w:szCs w:val="20"/>
              </w:rPr>
              <w:t>.0</w:t>
            </w:r>
          </w:p>
        </w:tc>
        <w:tc>
          <w:tcPr>
            <w:tcW w:w="1080" w:type="dxa"/>
            <w:tcBorders>
              <w:top w:val="nil"/>
              <w:left w:val="nil"/>
              <w:bottom w:val="single" w:sz="8" w:space="0" w:color="auto"/>
            </w:tcBorders>
            <w:shd w:val="clear" w:color="000000" w:fill="FFF9F9"/>
            <w:noWrap/>
            <w:vAlign w:val="center"/>
            <w:hideMark/>
          </w:tcPr>
          <w:p w14:paraId="5BC21103" w14:textId="26F90C95" w:rsidR="00F7636F" w:rsidRPr="00385671" w:rsidRDefault="00F7636F" w:rsidP="00B85EBF">
            <w:pPr>
              <w:pStyle w:val="TableTextSmall"/>
              <w:keepNext/>
              <w:jc w:val="center"/>
              <w:rPr>
                <w:sz w:val="18"/>
                <w:szCs w:val="20"/>
              </w:rPr>
            </w:pPr>
            <w:r w:rsidRPr="00385671">
              <w:rPr>
                <w:sz w:val="18"/>
                <w:szCs w:val="20"/>
              </w:rPr>
              <w:t>2.5</w:t>
            </w:r>
          </w:p>
        </w:tc>
      </w:tr>
      <w:tr w:rsidR="007E2C15" w:rsidRPr="00385671" w14:paraId="70D5B2E5" w14:textId="77777777" w:rsidTr="00A860AA">
        <w:trPr>
          <w:trHeight w:val="794"/>
          <w:jc w:val="center"/>
        </w:trPr>
        <w:tc>
          <w:tcPr>
            <w:tcW w:w="1843" w:type="dxa"/>
            <w:vMerge/>
            <w:tcBorders>
              <w:top w:val="double" w:sz="4" w:space="0" w:color="auto"/>
              <w:bottom w:val="double" w:sz="4" w:space="0" w:color="auto"/>
            </w:tcBorders>
            <w:vAlign w:val="center"/>
            <w:hideMark/>
          </w:tcPr>
          <w:p w14:paraId="6E0A99A6" w14:textId="77777777" w:rsidR="00F7636F" w:rsidRPr="00385671" w:rsidRDefault="00F7636F" w:rsidP="00B85EBF">
            <w:pPr>
              <w:pStyle w:val="TableTextSmall"/>
              <w:keepNext/>
              <w:rPr>
                <w:sz w:val="18"/>
                <w:szCs w:val="20"/>
              </w:rPr>
            </w:pPr>
          </w:p>
        </w:tc>
        <w:tc>
          <w:tcPr>
            <w:tcW w:w="1838" w:type="dxa"/>
            <w:tcBorders>
              <w:top w:val="nil"/>
              <w:bottom w:val="double" w:sz="4" w:space="0" w:color="auto"/>
              <w:right w:val="single" w:sz="4" w:space="0" w:color="auto"/>
            </w:tcBorders>
            <w:shd w:val="clear" w:color="auto" w:fill="auto"/>
            <w:noWrap/>
            <w:vAlign w:val="center"/>
            <w:hideMark/>
          </w:tcPr>
          <w:p w14:paraId="27B571D6" w14:textId="19F87C39" w:rsidR="00F7636F" w:rsidRPr="00385671" w:rsidRDefault="00F7636F" w:rsidP="00B85EBF">
            <w:pPr>
              <w:pStyle w:val="TableTextSmall"/>
              <w:keepNext/>
              <w:jc w:val="right"/>
              <w:rPr>
                <w:sz w:val="18"/>
                <w:szCs w:val="20"/>
              </w:rPr>
            </w:pPr>
            <w:r w:rsidRPr="00385671">
              <w:rPr>
                <w:sz w:val="18"/>
                <w:szCs w:val="20"/>
              </w:rPr>
              <w:t>Highest 20%</w:t>
            </w:r>
          </w:p>
        </w:tc>
        <w:tc>
          <w:tcPr>
            <w:tcW w:w="1079" w:type="dxa"/>
            <w:tcBorders>
              <w:top w:val="nil"/>
              <w:left w:val="nil"/>
              <w:bottom w:val="double" w:sz="6" w:space="0" w:color="auto"/>
              <w:right w:val="single" w:sz="8" w:space="0" w:color="auto"/>
            </w:tcBorders>
            <w:shd w:val="clear" w:color="000000" w:fill="FF7373"/>
            <w:noWrap/>
            <w:vAlign w:val="center"/>
            <w:hideMark/>
          </w:tcPr>
          <w:p w14:paraId="76DCF462" w14:textId="196FD364" w:rsidR="00F7636F" w:rsidRPr="00385671" w:rsidRDefault="00F7636F" w:rsidP="00B85EBF">
            <w:pPr>
              <w:pStyle w:val="TableTextSmall"/>
              <w:keepNext/>
              <w:jc w:val="center"/>
              <w:rPr>
                <w:sz w:val="18"/>
                <w:szCs w:val="20"/>
              </w:rPr>
            </w:pPr>
            <w:r w:rsidRPr="00385671">
              <w:rPr>
                <w:sz w:val="18"/>
                <w:szCs w:val="20"/>
              </w:rPr>
              <w:t>6.7</w:t>
            </w:r>
          </w:p>
        </w:tc>
        <w:tc>
          <w:tcPr>
            <w:tcW w:w="1080" w:type="dxa"/>
            <w:tcBorders>
              <w:top w:val="nil"/>
              <w:left w:val="nil"/>
              <w:bottom w:val="double" w:sz="6" w:space="0" w:color="auto"/>
              <w:right w:val="single" w:sz="8" w:space="0" w:color="auto"/>
            </w:tcBorders>
            <w:shd w:val="clear" w:color="000000" w:fill="FFE0E0"/>
            <w:noWrap/>
            <w:vAlign w:val="center"/>
            <w:hideMark/>
          </w:tcPr>
          <w:p w14:paraId="1598450C" w14:textId="07689040" w:rsidR="00F7636F" w:rsidRPr="00385671" w:rsidRDefault="00F7636F" w:rsidP="00B85EBF">
            <w:pPr>
              <w:pStyle w:val="TableTextSmall"/>
              <w:keepNext/>
              <w:jc w:val="center"/>
              <w:rPr>
                <w:sz w:val="18"/>
                <w:szCs w:val="20"/>
              </w:rPr>
            </w:pPr>
            <w:r w:rsidRPr="00385671">
              <w:rPr>
                <w:sz w:val="18"/>
                <w:szCs w:val="20"/>
              </w:rPr>
              <w:t>3.3</w:t>
            </w:r>
          </w:p>
        </w:tc>
        <w:tc>
          <w:tcPr>
            <w:tcW w:w="1080" w:type="dxa"/>
            <w:tcBorders>
              <w:top w:val="nil"/>
              <w:left w:val="nil"/>
              <w:bottom w:val="double" w:sz="6" w:space="0" w:color="auto"/>
            </w:tcBorders>
            <w:shd w:val="clear" w:color="000000" w:fill="FFFFFF"/>
            <w:noWrap/>
            <w:vAlign w:val="center"/>
            <w:hideMark/>
          </w:tcPr>
          <w:p w14:paraId="0D9D9123" w14:textId="33CC2D12" w:rsidR="00F7636F" w:rsidRPr="00385671" w:rsidRDefault="00F7636F" w:rsidP="00B85EBF">
            <w:pPr>
              <w:pStyle w:val="TableTextSmall"/>
              <w:keepNext/>
              <w:jc w:val="center"/>
              <w:rPr>
                <w:sz w:val="18"/>
                <w:szCs w:val="20"/>
              </w:rPr>
            </w:pPr>
            <w:r w:rsidRPr="00385671">
              <w:rPr>
                <w:sz w:val="18"/>
                <w:szCs w:val="20"/>
              </w:rPr>
              <w:t>2.3</w:t>
            </w:r>
          </w:p>
        </w:tc>
      </w:tr>
      <w:tr w:rsidR="007E2C15" w:rsidRPr="00385671" w14:paraId="3CB15DF7" w14:textId="77777777" w:rsidTr="00A860AA">
        <w:trPr>
          <w:trHeight w:val="794"/>
          <w:jc w:val="center"/>
        </w:trPr>
        <w:tc>
          <w:tcPr>
            <w:tcW w:w="3681" w:type="dxa"/>
            <w:gridSpan w:val="2"/>
            <w:tcBorders>
              <w:top w:val="double" w:sz="4" w:space="0" w:color="auto"/>
              <w:right w:val="single" w:sz="4" w:space="0" w:color="auto"/>
            </w:tcBorders>
            <w:shd w:val="clear" w:color="auto" w:fill="auto"/>
            <w:noWrap/>
            <w:vAlign w:val="center"/>
            <w:hideMark/>
          </w:tcPr>
          <w:p w14:paraId="513CEA76" w14:textId="77777777" w:rsidR="00303542" w:rsidRPr="00155DFB" w:rsidRDefault="00303542" w:rsidP="007E2C15">
            <w:pPr>
              <w:pStyle w:val="TableTextSmall"/>
              <w:rPr>
                <w:b/>
                <w:bCs/>
                <w:sz w:val="18"/>
                <w:szCs w:val="20"/>
              </w:rPr>
            </w:pPr>
            <w:r w:rsidRPr="00155DFB">
              <w:rPr>
                <w:b/>
                <w:bCs/>
                <w:sz w:val="18"/>
                <w:szCs w:val="20"/>
              </w:rPr>
              <w:t>Difference between Highest and Lowest</w:t>
            </w:r>
          </w:p>
        </w:tc>
        <w:tc>
          <w:tcPr>
            <w:tcW w:w="1079" w:type="dxa"/>
            <w:tcBorders>
              <w:top w:val="double" w:sz="4" w:space="0" w:color="auto"/>
              <w:left w:val="nil"/>
              <w:right w:val="single" w:sz="4" w:space="0" w:color="auto"/>
            </w:tcBorders>
            <w:shd w:val="clear" w:color="auto" w:fill="auto"/>
            <w:noWrap/>
            <w:vAlign w:val="center"/>
            <w:hideMark/>
          </w:tcPr>
          <w:p w14:paraId="28FB80AB" w14:textId="77777777" w:rsidR="00303542" w:rsidRPr="00385671" w:rsidRDefault="00303542" w:rsidP="007E2C15">
            <w:pPr>
              <w:pStyle w:val="TableTextSmall"/>
              <w:jc w:val="center"/>
              <w:rPr>
                <w:sz w:val="18"/>
                <w:szCs w:val="20"/>
              </w:rPr>
            </w:pPr>
            <w:r w:rsidRPr="00385671">
              <w:rPr>
                <w:sz w:val="18"/>
                <w:szCs w:val="20"/>
              </w:rPr>
              <w:t>3.6</w:t>
            </w:r>
          </w:p>
        </w:tc>
        <w:tc>
          <w:tcPr>
            <w:tcW w:w="1080" w:type="dxa"/>
            <w:tcBorders>
              <w:top w:val="double" w:sz="4" w:space="0" w:color="auto"/>
              <w:left w:val="nil"/>
              <w:right w:val="single" w:sz="4" w:space="0" w:color="auto"/>
            </w:tcBorders>
            <w:shd w:val="clear" w:color="auto" w:fill="auto"/>
            <w:noWrap/>
            <w:vAlign w:val="center"/>
            <w:hideMark/>
          </w:tcPr>
          <w:p w14:paraId="5383E4C1" w14:textId="77777777" w:rsidR="00303542" w:rsidRPr="00385671" w:rsidRDefault="00303542" w:rsidP="007E2C15">
            <w:pPr>
              <w:pStyle w:val="TableTextSmall"/>
              <w:jc w:val="center"/>
              <w:rPr>
                <w:sz w:val="18"/>
                <w:szCs w:val="20"/>
              </w:rPr>
            </w:pPr>
            <w:r w:rsidRPr="00385671">
              <w:rPr>
                <w:sz w:val="18"/>
                <w:szCs w:val="20"/>
              </w:rPr>
              <w:t>2.6</w:t>
            </w:r>
          </w:p>
        </w:tc>
        <w:tc>
          <w:tcPr>
            <w:tcW w:w="1080" w:type="dxa"/>
            <w:tcBorders>
              <w:top w:val="double" w:sz="4" w:space="0" w:color="auto"/>
              <w:left w:val="nil"/>
            </w:tcBorders>
            <w:shd w:val="clear" w:color="auto" w:fill="auto"/>
            <w:noWrap/>
            <w:vAlign w:val="center"/>
            <w:hideMark/>
          </w:tcPr>
          <w:p w14:paraId="05EBA8A4" w14:textId="77777777" w:rsidR="00303542" w:rsidRPr="00385671" w:rsidRDefault="00303542" w:rsidP="007E2C15">
            <w:pPr>
              <w:pStyle w:val="TableTextSmall"/>
              <w:jc w:val="center"/>
              <w:rPr>
                <w:sz w:val="18"/>
                <w:szCs w:val="20"/>
              </w:rPr>
            </w:pPr>
            <w:r w:rsidRPr="00385671">
              <w:rPr>
                <w:sz w:val="18"/>
                <w:szCs w:val="20"/>
              </w:rPr>
              <w:t>0.9</w:t>
            </w:r>
          </w:p>
        </w:tc>
      </w:tr>
    </w:tbl>
    <w:p w14:paraId="18FCFE74" w14:textId="77777777" w:rsidR="00523C23" w:rsidRPr="00EC4FC8" w:rsidRDefault="00523C23" w:rsidP="00EC4FC8">
      <w:pPr>
        <w:sectPr w:rsidR="00523C23" w:rsidRPr="00EC4FC8" w:rsidSect="00B46214">
          <w:footerReference w:type="default" r:id="rId30"/>
          <w:pgSz w:w="16838" w:h="11906" w:orient="landscape" w:code="9"/>
          <w:pgMar w:top="1418" w:right="1134" w:bottom="1418" w:left="1134" w:header="425" w:footer="680" w:gutter="0"/>
          <w:cols w:num="2" w:space="709"/>
          <w:docGrid w:linePitch="360"/>
        </w:sectPr>
      </w:pPr>
      <w:bookmarkStart w:id="18" w:name="_Toc153355905"/>
      <w:bookmarkStart w:id="19" w:name="_Toc153362285"/>
      <w:bookmarkStart w:id="20" w:name="_Toc153355576"/>
      <w:bookmarkStart w:id="21" w:name="_Toc155358642"/>
      <w:bookmarkEnd w:id="18"/>
      <w:bookmarkEnd w:id="19"/>
    </w:p>
    <w:p w14:paraId="069D3B09" w14:textId="1EFBDAFE" w:rsidR="007B0256" w:rsidRPr="006F6800" w:rsidRDefault="006F6800" w:rsidP="00EC4FC8">
      <w:pPr>
        <w:pStyle w:val="Heading1"/>
      </w:pPr>
      <w:bookmarkStart w:id="22" w:name="_Toc160109472"/>
      <w:r w:rsidRPr="006F6800">
        <w:lastRenderedPageBreak/>
        <w:t xml:space="preserve">Young </w:t>
      </w:r>
      <w:r w:rsidR="00451DA6">
        <w:t>a</w:t>
      </w:r>
      <w:r w:rsidRPr="006F6800">
        <w:t>dults (18 to 21)</w:t>
      </w:r>
      <w:bookmarkEnd w:id="20"/>
      <w:bookmarkEnd w:id="21"/>
      <w:bookmarkEnd w:id="22"/>
    </w:p>
    <w:p w14:paraId="71E3AA1B" w14:textId="17E41D42" w:rsidR="00B04FCE" w:rsidRDefault="000C0110" w:rsidP="00814207">
      <w:r w:rsidRPr="009D7B6D">
        <w:rPr>
          <w:rFonts w:asciiTheme="minorHAnsi" w:hAnsi="Calibri"/>
          <w:color w:val="000000" w:themeColor="text1"/>
          <w:kern w:val="24"/>
        </w:rPr>
        <w:t xml:space="preserve">Many </w:t>
      </w:r>
      <w:r w:rsidR="00081E7D">
        <w:rPr>
          <w:rFonts w:asciiTheme="minorHAnsi" w:hAnsi="Calibri"/>
          <w:color w:val="000000" w:themeColor="text1"/>
          <w:kern w:val="24"/>
        </w:rPr>
        <w:t>young adults</w:t>
      </w:r>
      <w:r w:rsidR="00081E7D" w:rsidRPr="009D7B6D">
        <w:rPr>
          <w:rFonts w:asciiTheme="minorHAnsi" w:hAnsi="Calibri"/>
          <w:color w:val="000000" w:themeColor="text1"/>
          <w:kern w:val="24"/>
        </w:rPr>
        <w:t xml:space="preserve"> </w:t>
      </w:r>
      <w:r w:rsidR="006574D2" w:rsidRPr="009D7B6D">
        <w:rPr>
          <w:rFonts w:asciiTheme="minorHAnsi" w:hAnsi="Calibri"/>
          <w:color w:val="000000" w:themeColor="text1"/>
          <w:kern w:val="24"/>
        </w:rPr>
        <w:t xml:space="preserve">transition </w:t>
      </w:r>
      <w:r w:rsidRPr="009D7B6D">
        <w:rPr>
          <w:rFonts w:asciiTheme="minorHAnsi" w:hAnsi="Calibri"/>
          <w:color w:val="000000" w:themeColor="text1"/>
          <w:kern w:val="24"/>
        </w:rPr>
        <w:t xml:space="preserve">to further study or employment </w:t>
      </w:r>
      <w:r>
        <w:rPr>
          <w:rFonts w:asciiTheme="minorHAnsi" w:hAnsi="Calibri"/>
          <w:color w:val="000000" w:themeColor="text1"/>
          <w:kern w:val="24"/>
        </w:rPr>
        <w:t>between the</w:t>
      </w:r>
      <w:r w:rsidRPr="009D7B6D">
        <w:rPr>
          <w:rFonts w:asciiTheme="minorHAnsi" w:hAnsi="Calibri"/>
          <w:color w:val="000000" w:themeColor="text1"/>
          <w:kern w:val="24"/>
        </w:rPr>
        <w:t xml:space="preserve"> age </w:t>
      </w:r>
      <w:r>
        <w:rPr>
          <w:rFonts w:asciiTheme="minorHAnsi" w:hAnsi="Calibri"/>
          <w:color w:val="000000" w:themeColor="text1"/>
          <w:kern w:val="24"/>
        </w:rPr>
        <w:t xml:space="preserve">of </w:t>
      </w:r>
      <w:r w:rsidRPr="009D7B6D">
        <w:rPr>
          <w:rFonts w:asciiTheme="minorHAnsi" w:hAnsi="Calibri"/>
          <w:color w:val="000000" w:themeColor="text1"/>
          <w:kern w:val="24"/>
        </w:rPr>
        <w:t xml:space="preserve">18 </w:t>
      </w:r>
      <w:r>
        <w:rPr>
          <w:rFonts w:asciiTheme="minorHAnsi" w:hAnsi="Calibri"/>
          <w:color w:val="000000" w:themeColor="text1"/>
          <w:kern w:val="24"/>
        </w:rPr>
        <w:t>and</w:t>
      </w:r>
      <w:r w:rsidRPr="009D7B6D">
        <w:rPr>
          <w:rFonts w:asciiTheme="minorHAnsi" w:hAnsi="Calibri"/>
          <w:color w:val="000000" w:themeColor="text1"/>
          <w:kern w:val="24"/>
        </w:rPr>
        <w:t xml:space="preserve"> 21</w:t>
      </w:r>
      <w:r>
        <w:rPr>
          <w:rFonts w:asciiTheme="minorHAnsi" w:hAnsi="Calibri"/>
          <w:color w:val="000000" w:themeColor="text1"/>
          <w:kern w:val="24"/>
        </w:rPr>
        <w:t xml:space="preserve">. </w:t>
      </w:r>
      <w:r w:rsidRPr="009D7B6D">
        <w:rPr>
          <w:rFonts w:asciiTheme="minorHAnsi" w:hAnsiTheme="minorHAnsi" w:cstheme="minorHAnsi"/>
        </w:rPr>
        <w:t xml:space="preserve">Those </w:t>
      </w:r>
      <w:r>
        <w:rPr>
          <w:rFonts w:asciiTheme="minorHAnsi" w:hAnsiTheme="minorHAnsi" w:cstheme="minorHAnsi"/>
        </w:rPr>
        <w:t>on income support</w:t>
      </w:r>
      <w:r w:rsidRPr="009D7B6D">
        <w:rPr>
          <w:rFonts w:asciiTheme="minorHAnsi" w:hAnsiTheme="minorHAnsi" w:cstheme="minorHAnsi"/>
        </w:rPr>
        <w:t xml:space="preserve"> mainly receive studying or </w:t>
      </w:r>
      <w:r>
        <w:rPr>
          <w:rFonts w:asciiTheme="minorHAnsi" w:hAnsiTheme="minorHAnsi" w:cstheme="minorHAnsi"/>
        </w:rPr>
        <w:t>working age payments</w:t>
      </w:r>
      <w:r w:rsidR="00814207" w:rsidRPr="009D7B6D">
        <w:rPr>
          <w:rFonts w:asciiTheme="minorHAnsi" w:hAnsiTheme="minorHAnsi" w:cstheme="minorHAnsi"/>
        </w:rPr>
        <w:t xml:space="preserve">. </w:t>
      </w:r>
      <w:r w:rsidR="00275ADE" w:rsidRPr="009D7B6D">
        <w:rPr>
          <w:rFonts w:asciiTheme="minorHAnsi" w:hAnsiTheme="minorHAnsi" w:cstheme="minorHAnsi"/>
        </w:rPr>
        <w:t xml:space="preserve">There </w:t>
      </w:r>
      <w:r w:rsidR="00D405AC">
        <w:rPr>
          <w:rFonts w:asciiTheme="minorHAnsi" w:hAnsiTheme="minorHAnsi" w:cstheme="minorHAnsi"/>
        </w:rPr>
        <w:t xml:space="preserve">were </w:t>
      </w:r>
      <w:r w:rsidR="00275ADE" w:rsidRPr="009D7B6D">
        <w:rPr>
          <w:rFonts w:asciiTheme="minorHAnsi" w:hAnsiTheme="minorHAnsi" w:cstheme="minorHAnsi"/>
        </w:rPr>
        <w:t>1.23</w:t>
      </w:r>
      <w:r w:rsidR="00F40387">
        <w:rPr>
          <w:rFonts w:asciiTheme="minorHAnsi" w:hAnsiTheme="minorHAnsi" w:cstheme="minorHAnsi"/>
        </w:rPr>
        <w:t> million</w:t>
      </w:r>
      <w:r w:rsidR="00275ADE" w:rsidRPr="009D7B6D">
        <w:rPr>
          <w:rFonts w:asciiTheme="minorHAnsi" w:hAnsiTheme="minorHAnsi" w:cstheme="minorHAnsi"/>
        </w:rPr>
        <w:t xml:space="preserve"> people aged 18 to 21</w:t>
      </w:r>
      <w:r w:rsidR="00D405AC">
        <w:rPr>
          <w:rFonts w:asciiTheme="minorHAnsi" w:hAnsiTheme="minorHAnsi" w:cstheme="minorHAnsi"/>
        </w:rPr>
        <w:t xml:space="preserve"> </w:t>
      </w:r>
      <w:r w:rsidR="00C82A60">
        <w:rPr>
          <w:rFonts w:asciiTheme="minorHAnsi" w:hAnsiTheme="minorHAnsi" w:cstheme="minorHAnsi"/>
        </w:rPr>
        <w:t>on</w:t>
      </w:r>
      <w:r w:rsidR="00D405AC">
        <w:rPr>
          <w:rFonts w:asciiTheme="minorHAnsi" w:hAnsiTheme="minorHAnsi" w:cstheme="minorHAnsi"/>
        </w:rPr>
        <w:t xml:space="preserve"> 30</w:t>
      </w:r>
      <w:r w:rsidR="00E46C6A">
        <w:rPr>
          <w:rFonts w:asciiTheme="minorHAnsi" w:hAnsiTheme="minorHAnsi" w:cstheme="minorHAnsi"/>
        </w:rPr>
        <w:t> June </w:t>
      </w:r>
      <w:r w:rsidR="00D405AC">
        <w:rPr>
          <w:rFonts w:asciiTheme="minorHAnsi" w:hAnsiTheme="minorHAnsi" w:cstheme="minorHAnsi"/>
        </w:rPr>
        <w:t>2022</w:t>
      </w:r>
      <w:r w:rsidR="00AE5417" w:rsidRPr="009D7B6D">
        <w:rPr>
          <w:rFonts w:asciiTheme="minorHAnsi" w:hAnsiTheme="minorHAnsi" w:cstheme="minorHAnsi"/>
        </w:rPr>
        <w:t>,</w:t>
      </w:r>
      <w:r w:rsidR="00275ADE" w:rsidRPr="009D7B6D">
        <w:rPr>
          <w:rFonts w:asciiTheme="minorHAnsi" w:hAnsiTheme="minorHAnsi" w:cstheme="minorHAnsi"/>
        </w:rPr>
        <w:t xml:space="preserve"> </w:t>
      </w:r>
      <w:r w:rsidR="00D405AC">
        <w:rPr>
          <w:rFonts w:asciiTheme="minorHAnsi" w:hAnsiTheme="minorHAnsi" w:cstheme="minorHAnsi"/>
        </w:rPr>
        <w:t xml:space="preserve">making up </w:t>
      </w:r>
      <w:r w:rsidR="00275ADE" w:rsidRPr="009D7B6D">
        <w:rPr>
          <w:rFonts w:asciiTheme="minorHAnsi" w:hAnsiTheme="minorHAnsi" w:cstheme="minorHAnsi"/>
        </w:rPr>
        <w:t>5% of the Australian population.</w:t>
      </w:r>
    </w:p>
    <w:p w14:paraId="47DA709F" w14:textId="7F55AB1E" w:rsidR="00307825" w:rsidRDefault="00997FE4" w:rsidP="0064256A">
      <w:pPr>
        <w:pStyle w:val="FigureMainHeading"/>
        <w:spacing w:before="0"/>
      </w:pPr>
      <w:r w:rsidRPr="00A049E8">
        <w:t>Australian population</w:t>
      </w:r>
    </w:p>
    <w:p w14:paraId="36EC9B53" w14:textId="700A459A" w:rsidR="0064256A" w:rsidRPr="006120A0" w:rsidRDefault="0064256A" w:rsidP="00C53C90">
      <w:pPr>
        <w:spacing w:before="0"/>
      </w:pPr>
      <w:r>
        <w:rPr>
          <w:noProof/>
        </w:rPr>
        <w:drawing>
          <wp:inline distT="0" distB="0" distL="0" distR="0" wp14:anchorId="551D1BA1" wp14:editId="02854B06">
            <wp:extent cx="4400550" cy="365656"/>
            <wp:effectExtent l="0" t="0" r="0" b="0"/>
            <wp:docPr id="20" name="Chart 20" descr="This picture shows that the people in this subsection, that is, aged 18 to 21, make up 5% of the Australian population.">
              <a:extLst xmlns:a="http://schemas.openxmlformats.org/drawingml/2006/main">
                <a:ext uri="{FF2B5EF4-FFF2-40B4-BE49-F238E27FC236}">
                  <a16:creationId xmlns:a16="http://schemas.microsoft.com/office/drawing/2014/main" id="{00000000-0008-0000-0000-00003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6DB79E" w14:textId="1BC50DDE" w:rsidR="000C4911" w:rsidRPr="008207A5" w:rsidRDefault="00033422" w:rsidP="00C53C90">
      <w:pPr>
        <w:pStyle w:val="Heading2notnumbered"/>
        <w:spacing w:before="0"/>
      </w:pPr>
      <w:r>
        <w:t>16%</w:t>
      </w:r>
      <w:r w:rsidR="005D1880" w:rsidRPr="008207A5">
        <w:t xml:space="preserve"> </w:t>
      </w:r>
      <w:r w:rsidR="000C0110">
        <w:t>of</w:t>
      </w:r>
      <w:r w:rsidR="00081E7D">
        <w:t xml:space="preserve"> young people aged 18 to 21</w:t>
      </w:r>
      <w:r w:rsidR="00B63FD6">
        <w:t xml:space="preserve"> received </w:t>
      </w:r>
      <w:r w:rsidR="00081E7D">
        <w:t>an</w:t>
      </w:r>
      <w:r w:rsidR="00A722F2">
        <w:t xml:space="preserve"> </w:t>
      </w:r>
      <w:r w:rsidR="00B63FD6">
        <w:t xml:space="preserve">income support </w:t>
      </w:r>
      <w:r>
        <w:t xml:space="preserve">payment </w:t>
      </w:r>
      <w:r w:rsidR="00C82A60">
        <w:t>on</w:t>
      </w:r>
      <w:r w:rsidR="00CA4664">
        <w:t xml:space="preserve"> 30</w:t>
      </w:r>
      <w:r w:rsidR="00E46C6A">
        <w:t> June </w:t>
      </w:r>
      <w:r w:rsidR="00CA4664">
        <w:t>202</w:t>
      </w:r>
      <w:r w:rsidR="00A722F2">
        <w:t>2</w:t>
      </w:r>
      <w:r w:rsidR="00CA4664">
        <w:t>.</w:t>
      </w:r>
    </w:p>
    <w:p w14:paraId="4D57A5B3" w14:textId="778BD358" w:rsidR="00B04FCE" w:rsidRDefault="00C04991" w:rsidP="00A13641">
      <w:pPr>
        <w:rPr>
          <w:rFonts w:asciiTheme="minorHAnsi" w:hAnsi="Calibri"/>
          <w:color w:val="000000" w:themeColor="text1"/>
          <w:kern w:val="24"/>
        </w:rPr>
      </w:pPr>
      <w:r w:rsidRPr="00A13641">
        <w:rPr>
          <w:rFonts w:asciiTheme="minorHAnsi" w:hAnsi="Calibri"/>
          <w:color w:val="000000" w:themeColor="text1"/>
          <w:kern w:val="24"/>
        </w:rPr>
        <w:t xml:space="preserve">As </w:t>
      </w:r>
      <w:r w:rsidR="00017C40" w:rsidRPr="00A13641">
        <w:rPr>
          <w:rFonts w:asciiTheme="minorHAnsi" w:hAnsi="Calibri"/>
          <w:color w:val="000000" w:themeColor="text1"/>
          <w:kern w:val="24"/>
        </w:rPr>
        <w:fldChar w:fldCharType="begin"/>
      </w:r>
      <w:r w:rsidR="00017C40" w:rsidRPr="00A13641">
        <w:rPr>
          <w:rFonts w:asciiTheme="minorHAnsi" w:hAnsi="Calibri"/>
          <w:color w:val="000000" w:themeColor="text1"/>
          <w:kern w:val="24"/>
        </w:rPr>
        <w:instrText xml:space="preserve"> REF _Ref153279080 \h  \* MERGEFORMAT </w:instrText>
      </w:r>
      <w:r w:rsidR="00017C40" w:rsidRPr="00A13641">
        <w:rPr>
          <w:rFonts w:asciiTheme="minorHAnsi" w:hAnsi="Calibri"/>
          <w:color w:val="000000" w:themeColor="text1"/>
          <w:kern w:val="24"/>
        </w:rPr>
      </w:r>
      <w:r w:rsidR="00017C40" w:rsidRPr="00A13641">
        <w:rPr>
          <w:rFonts w:asciiTheme="minorHAnsi" w:hAnsi="Calibri"/>
          <w:color w:val="000000" w:themeColor="text1"/>
          <w:kern w:val="24"/>
        </w:rPr>
        <w:fldChar w:fldCharType="separate"/>
      </w:r>
      <w:r w:rsidR="00722C0A" w:rsidRPr="00722C0A">
        <w:rPr>
          <w:rFonts w:asciiTheme="minorHAnsi" w:hAnsi="Calibri"/>
          <w:color w:val="000000" w:themeColor="text1"/>
          <w:kern w:val="24"/>
        </w:rPr>
        <w:t>Figure</w:t>
      </w:r>
      <w:r w:rsidR="00722C0A" w:rsidRPr="00722C0A">
        <w:rPr>
          <w:rFonts w:asciiTheme="minorHAnsi" w:hAnsi="Calibri"/>
          <w:color w:val="000000" w:themeColor="text1"/>
          <w:kern w:val="24"/>
        </w:rPr>
        <w:t> </w:t>
      </w:r>
      <w:r w:rsidR="00722C0A" w:rsidRPr="00722C0A">
        <w:rPr>
          <w:rFonts w:asciiTheme="minorHAnsi" w:hAnsi="Calibri"/>
          <w:color w:val="000000" w:themeColor="text1"/>
          <w:kern w:val="24"/>
        </w:rPr>
        <w:t>2.1</w:t>
      </w:r>
      <w:r w:rsidR="00017C40" w:rsidRPr="00A13641">
        <w:rPr>
          <w:rFonts w:asciiTheme="minorHAnsi" w:hAnsi="Calibri"/>
          <w:color w:val="000000" w:themeColor="text1"/>
          <w:kern w:val="24"/>
        </w:rPr>
        <w:fldChar w:fldCharType="end"/>
      </w:r>
      <w:r w:rsidR="00017C40" w:rsidRPr="00A13641">
        <w:rPr>
          <w:rFonts w:asciiTheme="minorHAnsi" w:hAnsi="Calibri"/>
          <w:color w:val="000000" w:themeColor="text1"/>
          <w:kern w:val="24"/>
        </w:rPr>
        <w:t xml:space="preserve"> </w:t>
      </w:r>
      <w:r w:rsidRPr="00A13641">
        <w:rPr>
          <w:rFonts w:asciiTheme="minorHAnsi" w:hAnsi="Calibri"/>
          <w:color w:val="000000" w:themeColor="text1"/>
          <w:kern w:val="24"/>
        </w:rPr>
        <w:t>shows, m</w:t>
      </w:r>
      <w:r w:rsidR="00714736" w:rsidRPr="00A13641">
        <w:rPr>
          <w:rFonts w:asciiTheme="minorHAnsi" w:hAnsi="Calibri"/>
          <w:color w:val="000000" w:themeColor="text1"/>
          <w:kern w:val="24"/>
        </w:rPr>
        <w:t xml:space="preserve">ost </w:t>
      </w:r>
      <w:r w:rsidR="0023383C" w:rsidRPr="00A13641">
        <w:rPr>
          <w:rFonts w:asciiTheme="minorHAnsi" w:hAnsi="Calibri"/>
          <w:color w:val="000000" w:themeColor="text1"/>
          <w:kern w:val="24"/>
        </w:rPr>
        <w:t xml:space="preserve">were </w:t>
      </w:r>
      <w:r w:rsidR="00363427" w:rsidRPr="00A13641">
        <w:rPr>
          <w:rFonts w:asciiTheme="minorHAnsi" w:hAnsi="Calibri"/>
          <w:color w:val="000000" w:themeColor="text1"/>
          <w:kern w:val="24"/>
        </w:rPr>
        <w:t xml:space="preserve">receiving either </w:t>
      </w:r>
      <w:r w:rsidR="00BD6F6E" w:rsidRPr="00A13641">
        <w:rPr>
          <w:rFonts w:asciiTheme="minorHAnsi" w:hAnsi="Calibri"/>
          <w:color w:val="000000" w:themeColor="text1"/>
          <w:kern w:val="24"/>
        </w:rPr>
        <w:t>s</w:t>
      </w:r>
      <w:r w:rsidR="00C30C2A" w:rsidRPr="00A13641">
        <w:rPr>
          <w:rFonts w:asciiTheme="minorHAnsi" w:hAnsi="Calibri"/>
          <w:color w:val="000000" w:themeColor="text1"/>
          <w:kern w:val="24"/>
        </w:rPr>
        <w:t>tudy</w:t>
      </w:r>
      <w:r w:rsidR="00E120A2" w:rsidRPr="00A13641">
        <w:rPr>
          <w:rFonts w:asciiTheme="minorHAnsi" w:hAnsi="Calibri"/>
          <w:color w:val="000000" w:themeColor="text1"/>
          <w:kern w:val="24"/>
        </w:rPr>
        <w:t>ing</w:t>
      </w:r>
      <w:r w:rsidR="00A0028C" w:rsidRPr="00A13641">
        <w:rPr>
          <w:rFonts w:asciiTheme="minorHAnsi" w:hAnsi="Calibri"/>
          <w:color w:val="000000" w:themeColor="text1"/>
          <w:kern w:val="24"/>
        </w:rPr>
        <w:t xml:space="preserve"> </w:t>
      </w:r>
      <w:r w:rsidR="00BD6F6E" w:rsidRPr="00A13641">
        <w:rPr>
          <w:rFonts w:asciiTheme="minorHAnsi" w:hAnsi="Calibri"/>
          <w:color w:val="000000" w:themeColor="text1"/>
          <w:kern w:val="24"/>
        </w:rPr>
        <w:t>p</w:t>
      </w:r>
      <w:r w:rsidR="00D405AC" w:rsidRPr="00A13641">
        <w:rPr>
          <w:rFonts w:asciiTheme="minorHAnsi" w:hAnsi="Calibri"/>
          <w:color w:val="000000" w:themeColor="text1"/>
          <w:kern w:val="24"/>
        </w:rPr>
        <w:t xml:space="preserve">ayments </w:t>
      </w:r>
      <w:r w:rsidR="00A0028C" w:rsidRPr="00A13641">
        <w:rPr>
          <w:rFonts w:asciiTheme="minorHAnsi" w:hAnsi="Calibri"/>
          <w:color w:val="000000" w:themeColor="text1"/>
          <w:kern w:val="24"/>
        </w:rPr>
        <w:t>(Youth Allowance</w:t>
      </w:r>
      <w:r w:rsidR="00B63FD6" w:rsidRPr="00A13641">
        <w:rPr>
          <w:rFonts w:asciiTheme="minorHAnsi" w:hAnsi="Calibri"/>
          <w:color w:val="000000" w:themeColor="text1"/>
          <w:kern w:val="24"/>
        </w:rPr>
        <w:t xml:space="preserve"> Student</w:t>
      </w:r>
      <w:r w:rsidR="00D405AC" w:rsidRPr="00A13641">
        <w:rPr>
          <w:rFonts w:asciiTheme="minorHAnsi" w:hAnsi="Calibri"/>
          <w:color w:val="000000" w:themeColor="text1"/>
          <w:kern w:val="24"/>
        </w:rPr>
        <w:t xml:space="preserve"> </w:t>
      </w:r>
      <w:r w:rsidR="00D616DD" w:rsidRPr="00A13641">
        <w:rPr>
          <w:rFonts w:asciiTheme="minorHAnsi" w:hAnsi="Calibri"/>
          <w:color w:val="000000" w:themeColor="text1"/>
          <w:kern w:val="24"/>
        </w:rPr>
        <w:t>and</w:t>
      </w:r>
      <w:r w:rsidR="00D405AC" w:rsidRPr="00A13641">
        <w:rPr>
          <w:rFonts w:asciiTheme="minorHAnsi" w:hAnsi="Calibri"/>
          <w:color w:val="000000" w:themeColor="text1"/>
          <w:kern w:val="24"/>
        </w:rPr>
        <w:t xml:space="preserve"> ABSTUDY</w:t>
      </w:r>
      <w:r w:rsidR="00A0028C" w:rsidRPr="00A13641">
        <w:rPr>
          <w:rFonts w:asciiTheme="minorHAnsi" w:hAnsi="Calibri"/>
          <w:color w:val="000000" w:themeColor="text1"/>
          <w:kern w:val="24"/>
        </w:rPr>
        <w:t xml:space="preserve">) or </w:t>
      </w:r>
      <w:r w:rsidR="00BD6F6E" w:rsidRPr="00A13641">
        <w:rPr>
          <w:rFonts w:asciiTheme="minorHAnsi" w:hAnsi="Calibri"/>
          <w:color w:val="000000" w:themeColor="text1"/>
          <w:kern w:val="24"/>
        </w:rPr>
        <w:t>w</w:t>
      </w:r>
      <w:r w:rsidR="00E52171" w:rsidRPr="00A13641">
        <w:rPr>
          <w:rFonts w:asciiTheme="minorHAnsi" w:hAnsi="Calibri"/>
          <w:color w:val="000000" w:themeColor="text1"/>
          <w:kern w:val="24"/>
        </w:rPr>
        <w:t xml:space="preserve">orking </w:t>
      </w:r>
      <w:r w:rsidR="00BD6F6E" w:rsidRPr="00A13641">
        <w:rPr>
          <w:rFonts w:asciiTheme="minorHAnsi" w:hAnsi="Calibri"/>
          <w:color w:val="000000" w:themeColor="text1"/>
          <w:kern w:val="24"/>
        </w:rPr>
        <w:t>a</w:t>
      </w:r>
      <w:r w:rsidR="00E52171" w:rsidRPr="00A13641">
        <w:rPr>
          <w:rFonts w:asciiTheme="minorHAnsi" w:hAnsi="Calibri"/>
          <w:color w:val="000000" w:themeColor="text1"/>
          <w:kern w:val="24"/>
        </w:rPr>
        <w:t xml:space="preserve">ge </w:t>
      </w:r>
      <w:r w:rsidR="00BD6F6E" w:rsidRPr="00A13641">
        <w:rPr>
          <w:rFonts w:asciiTheme="minorHAnsi" w:hAnsi="Calibri"/>
          <w:color w:val="000000" w:themeColor="text1"/>
          <w:kern w:val="24"/>
        </w:rPr>
        <w:t>p</w:t>
      </w:r>
      <w:r w:rsidR="00E52171" w:rsidRPr="00A13641">
        <w:rPr>
          <w:rFonts w:asciiTheme="minorHAnsi" w:hAnsi="Calibri"/>
          <w:color w:val="000000" w:themeColor="text1"/>
          <w:kern w:val="24"/>
        </w:rPr>
        <w:t>ayments</w:t>
      </w:r>
      <w:r w:rsidR="00A0028C" w:rsidRPr="00A13641">
        <w:rPr>
          <w:rFonts w:asciiTheme="minorHAnsi" w:hAnsi="Calibri"/>
          <w:color w:val="000000" w:themeColor="text1"/>
          <w:kern w:val="24"/>
        </w:rPr>
        <w:t xml:space="preserve"> (Youth Allowance</w:t>
      </w:r>
      <w:r w:rsidR="00363427" w:rsidRPr="00A13641">
        <w:rPr>
          <w:rFonts w:asciiTheme="minorHAnsi" w:hAnsi="Calibri"/>
          <w:color w:val="000000" w:themeColor="text1"/>
          <w:kern w:val="24"/>
        </w:rPr>
        <w:t xml:space="preserve"> Other</w:t>
      </w:r>
      <w:r w:rsidR="00A0028C" w:rsidRPr="00A13641">
        <w:rPr>
          <w:rFonts w:asciiTheme="minorHAnsi" w:hAnsi="Calibri"/>
          <w:color w:val="000000" w:themeColor="text1"/>
          <w:kern w:val="24"/>
        </w:rPr>
        <w:t xml:space="preserve"> </w:t>
      </w:r>
      <w:r w:rsidR="00363427" w:rsidRPr="00A13641">
        <w:rPr>
          <w:rFonts w:asciiTheme="minorHAnsi" w:hAnsi="Calibri"/>
          <w:color w:val="000000" w:themeColor="text1"/>
          <w:kern w:val="24"/>
        </w:rPr>
        <w:t xml:space="preserve">or </w:t>
      </w:r>
      <w:r w:rsidR="00A0028C" w:rsidRPr="00A13641">
        <w:rPr>
          <w:rFonts w:asciiTheme="minorHAnsi" w:hAnsi="Calibri"/>
          <w:color w:val="000000" w:themeColor="text1"/>
          <w:kern w:val="24"/>
        </w:rPr>
        <w:t>Apprentice).</w:t>
      </w:r>
    </w:p>
    <w:p w14:paraId="733632B4" w14:textId="19FD5192" w:rsidR="00F322B6" w:rsidRDefault="007855DD" w:rsidP="005E332C">
      <w:pPr>
        <w:pStyle w:val="FigureMainHeading"/>
      </w:pPr>
      <w:bookmarkStart w:id="23" w:name="_Ref153279080"/>
      <w:r>
        <w:t>Figure </w:t>
      </w:r>
      <w:r w:rsidR="00B80D45">
        <w:fldChar w:fldCharType="begin"/>
      </w:r>
      <w:r w:rsidR="00B80D45">
        <w:instrText xml:space="preserve"> STYLEREF 1 \s </w:instrText>
      </w:r>
      <w:r w:rsidR="00B80D45">
        <w:fldChar w:fldCharType="separate"/>
      </w:r>
      <w:r w:rsidR="00722C0A">
        <w:rPr>
          <w:noProof/>
        </w:rPr>
        <w:t>2</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1</w:t>
      </w:r>
      <w:r w:rsidR="00B80D45">
        <w:rPr>
          <w:noProof/>
        </w:rPr>
        <w:fldChar w:fldCharType="end"/>
      </w:r>
      <w:bookmarkEnd w:id="23"/>
      <w:r w:rsidR="005E332C">
        <w:t>:</w:t>
      </w:r>
      <w:r w:rsidR="005E332C">
        <w:tab/>
      </w:r>
      <w:r w:rsidR="00A06FAA">
        <w:t xml:space="preserve">People </w:t>
      </w:r>
      <w:r w:rsidR="00A06FAA" w:rsidRPr="00A049E8">
        <w:t>age</w:t>
      </w:r>
      <w:r w:rsidR="00A06FAA">
        <w:t>d</w:t>
      </w:r>
      <w:r w:rsidR="00A06FAA" w:rsidRPr="00A049E8">
        <w:t xml:space="preserve"> 18 to 21 composition </w:t>
      </w:r>
      <w:r w:rsidR="00A06FAA">
        <w:t>at</w:t>
      </w:r>
      <w:r w:rsidR="00A06FAA" w:rsidRPr="00A049E8">
        <w:t xml:space="preserve"> </w:t>
      </w:r>
      <w:r w:rsidR="00017C40" w:rsidRPr="00A049E8">
        <w:t>30</w:t>
      </w:r>
      <w:r w:rsidR="00E46C6A">
        <w:t> June </w:t>
      </w:r>
      <w:r w:rsidR="00017C40" w:rsidRPr="00A049E8">
        <w:t>2022</w:t>
      </w:r>
    </w:p>
    <w:p w14:paraId="57FFBB1F" w14:textId="6A344B35" w:rsidR="004538BB" w:rsidRDefault="00B90E27" w:rsidP="00A06FAA">
      <w:pPr>
        <w:pStyle w:val="ChartGraphic"/>
      </w:pPr>
      <w:r>
        <w:rPr>
          <w:noProof/>
        </w:rPr>
        <w:drawing>
          <wp:inline distT="0" distB="0" distL="0" distR="0" wp14:anchorId="220A6030" wp14:editId="1A72757A">
            <wp:extent cx="4319905" cy="2127380"/>
            <wp:effectExtent l="0" t="0" r="4445" b="6350"/>
            <wp:docPr id="6" name="Chart 6" descr="This chart shows the proportion of young adults aged 18 to 21 receiving income support payments at 30 June 2022.&#10;&#10;84% of people aged 18 to 21 received no income support. Of the 16% who received income support, 8% received study payments, 6% received working age payments, and 3% received other income support.&#10;&#10;Most income support recipients in this age range receive studying payment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B29E0D3" w14:textId="02217561" w:rsidR="00D405AC" w:rsidRDefault="00A0028C" w:rsidP="00682B5E">
      <w:pPr>
        <w:spacing w:after="0"/>
        <w:rPr>
          <w:rFonts w:asciiTheme="minorHAnsi" w:eastAsiaTheme="majorEastAsia" w:hAnsiTheme="minorHAnsi" w:cstheme="minorHAnsi"/>
          <w:bCs/>
          <w:color w:val="000000" w:themeColor="text1"/>
          <w:szCs w:val="21"/>
        </w:rPr>
      </w:pPr>
      <w:r w:rsidRPr="009D7B6D">
        <w:rPr>
          <w:rFonts w:asciiTheme="minorHAnsi" w:eastAsiaTheme="majorEastAsia" w:hAnsiTheme="minorHAnsi" w:cstheme="minorHAnsi"/>
          <w:bCs/>
          <w:color w:val="000000" w:themeColor="text1"/>
          <w:szCs w:val="21"/>
        </w:rPr>
        <w:t xml:space="preserve">Of </w:t>
      </w:r>
      <w:r w:rsidR="00333AB2">
        <w:rPr>
          <w:rFonts w:asciiTheme="minorHAnsi" w:eastAsiaTheme="majorEastAsia" w:hAnsiTheme="minorHAnsi" w:cstheme="minorHAnsi"/>
          <w:bCs/>
          <w:color w:val="000000" w:themeColor="text1"/>
          <w:szCs w:val="21"/>
        </w:rPr>
        <w:t>approximately</w:t>
      </w:r>
      <w:r w:rsidRPr="009D7B6D">
        <w:rPr>
          <w:rFonts w:asciiTheme="minorHAnsi" w:eastAsiaTheme="majorEastAsia" w:hAnsiTheme="minorHAnsi" w:cstheme="minorHAnsi"/>
          <w:bCs/>
          <w:color w:val="000000" w:themeColor="text1"/>
          <w:szCs w:val="21"/>
        </w:rPr>
        <w:t xml:space="preserve"> </w:t>
      </w:r>
      <w:r w:rsidR="00B808DD" w:rsidRPr="009D7B6D">
        <w:rPr>
          <w:rFonts w:asciiTheme="minorHAnsi" w:eastAsiaTheme="majorEastAsia" w:hAnsiTheme="minorHAnsi" w:cstheme="minorHAnsi"/>
          <w:bCs/>
          <w:color w:val="000000" w:themeColor="text1"/>
          <w:szCs w:val="21"/>
        </w:rPr>
        <w:t>9</w:t>
      </w:r>
      <w:r w:rsidR="00B808DD">
        <w:rPr>
          <w:rFonts w:asciiTheme="minorHAnsi" w:eastAsiaTheme="majorEastAsia" w:hAnsiTheme="minorHAnsi" w:cstheme="minorHAnsi"/>
          <w:bCs/>
          <w:color w:val="000000" w:themeColor="text1"/>
          <w:szCs w:val="21"/>
        </w:rPr>
        <w:t>3</w:t>
      </w:r>
      <w:r w:rsidR="00D405AC">
        <w:rPr>
          <w:rFonts w:asciiTheme="minorHAnsi" w:eastAsiaTheme="majorEastAsia" w:hAnsiTheme="minorHAnsi" w:cstheme="minorHAnsi"/>
          <w:bCs/>
          <w:color w:val="000000" w:themeColor="text1"/>
          <w:szCs w:val="21"/>
        </w:rPr>
        <w:t xml:space="preserve">,000 </w:t>
      </w:r>
      <w:r w:rsidR="00E82E63">
        <w:rPr>
          <w:rFonts w:asciiTheme="minorHAnsi" w:eastAsiaTheme="majorEastAsia" w:hAnsiTheme="minorHAnsi" w:cstheme="minorHAnsi"/>
          <w:bCs/>
          <w:color w:val="000000" w:themeColor="text1"/>
          <w:szCs w:val="21"/>
        </w:rPr>
        <w:t xml:space="preserve">people </w:t>
      </w:r>
      <w:r w:rsidR="007A2E33">
        <w:rPr>
          <w:rFonts w:asciiTheme="minorHAnsi" w:eastAsiaTheme="majorEastAsia" w:hAnsiTheme="minorHAnsi" w:cstheme="minorHAnsi"/>
          <w:bCs/>
          <w:color w:val="000000" w:themeColor="text1"/>
          <w:szCs w:val="21"/>
        </w:rPr>
        <w:t xml:space="preserve">aged </w:t>
      </w:r>
      <w:r w:rsidR="00FD7934">
        <w:rPr>
          <w:rFonts w:asciiTheme="minorHAnsi" w:eastAsiaTheme="majorEastAsia" w:hAnsiTheme="minorHAnsi" w:cstheme="minorHAnsi"/>
          <w:bCs/>
          <w:color w:val="000000" w:themeColor="text1"/>
          <w:szCs w:val="21"/>
        </w:rPr>
        <w:t>18</w:t>
      </w:r>
      <w:r w:rsidR="00BB2D39">
        <w:rPr>
          <w:rFonts w:asciiTheme="minorHAnsi" w:eastAsiaTheme="majorEastAsia" w:hAnsiTheme="minorHAnsi" w:cstheme="minorHAnsi"/>
          <w:bCs/>
          <w:color w:val="000000" w:themeColor="text1"/>
          <w:szCs w:val="21"/>
        </w:rPr>
        <w:t xml:space="preserve"> to </w:t>
      </w:r>
      <w:r w:rsidR="00FD7934" w:rsidRPr="00714736">
        <w:rPr>
          <w:rFonts w:asciiTheme="minorHAnsi" w:eastAsiaTheme="majorEastAsia" w:hAnsiTheme="minorHAnsi" w:cstheme="minorHAnsi"/>
          <w:bCs/>
          <w:color w:val="000000" w:themeColor="text1"/>
          <w:szCs w:val="21"/>
        </w:rPr>
        <w:t>21</w:t>
      </w:r>
      <w:r w:rsidR="00202AD6">
        <w:rPr>
          <w:rFonts w:asciiTheme="minorHAnsi" w:eastAsiaTheme="majorEastAsia" w:hAnsiTheme="minorHAnsi" w:cstheme="minorHAnsi"/>
          <w:bCs/>
          <w:color w:val="000000" w:themeColor="text1"/>
          <w:szCs w:val="21"/>
        </w:rPr>
        <w:t xml:space="preserve"> </w:t>
      </w:r>
      <w:r w:rsidRPr="009D7B6D">
        <w:rPr>
          <w:rFonts w:asciiTheme="minorHAnsi" w:eastAsiaTheme="majorEastAsia" w:hAnsiTheme="minorHAnsi" w:cstheme="minorHAnsi"/>
          <w:bCs/>
          <w:color w:val="000000" w:themeColor="text1"/>
          <w:szCs w:val="21"/>
        </w:rPr>
        <w:t>on studying payment</w:t>
      </w:r>
      <w:r w:rsidR="00FD7934">
        <w:rPr>
          <w:rFonts w:asciiTheme="minorHAnsi" w:eastAsiaTheme="majorEastAsia" w:hAnsiTheme="minorHAnsi" w:cstheme="minorHAnsi"/>
          <w:bCs/>
          <w:color w:val="000000" w:themeColor="text1"/>
          <w:szCs w:val="21"/>
        </w:rPr>
        <w:t>:</w:t>
      </w:r>
    </w:p>
    <w:p w14:paraId="0E6EC503" w14:textId="77777777" w:rsidR="00B04FCE" w:rsidRDefault="00D405AC" w:rsidP="00A06FAA">
      <w:pPr>
        <w:pStyle w:val="Bullet"/>
        <w:rPr>
          <w:rFonts w:eastAsiaTheme="majorEastAsia"/>
        </w:rPr>
      </w:pPr>
      <w:r w:rsidRPr="00652977">
        <w:rPr>
          <w:rFonts w:eastAsiaTheme="majorEastAsia"/>
        </w:rPr>
        <w:t>78</w:t>
      </w:r>
      <w:r>
        <w:rPr>
          <w:rFonts w:eastAsiaTheme="majorEastAsia"/>
        </w:rPr>
        <w:t>,000</w:t>
      </w:r>
      <w:r w:rsidR="00A722F2">
        <w:rPr>
          <w:rFonts w:eastAsiaTheme="majorEastAsia"/>
        </w:rPr>
        <w:t xml:space="preserve"> (84%)</w:t>
      </w:r>
      <w:r w:rsidR="00E120A2" w:rsidRPr="00652977">
        <w:rPr>
          <w:rFonts w:eastAsiaTheme="majorEastAsia"/>
        </w:rPr>
        <w:t xml:space="preserve"> were</w:t>
      </w:r>
      <w:r w:rsidR="00A0028C" w:rsidRPr="00652977">
        <w:rPr>
          <w:rFonts w:eastAsiaTheme="majorEastAsia"/>
        </w:rPr>
        <w:t xml:space="preserve"> in </w:t>
      </w:r>
      <w:r>
        <w:rPr>
          <w:rFonts w:eastAsiaTheme="majorEastAsia"/>
        </w:rPr>
        <w:t>h</w:t>
      </w:r>
      <w:r w:rsidR="00A0028C" w:rsidRPr="00652977">
        <w:rPr>
          <w:rFonts w:eastAsiaTheme="majorEastAsia"/>
        </w:rPr>
        <w:t xml:space="preserve">igher </w:t>
      </w:r>
      <w:r>
        <w:rPr>
          <w:rFonts w:eastAsiaTheme="majorEastAsia"/>
        </w:rPr>
        <w:t>e</w:t>
      </w:r>
      <w:r w:rsidR="00A0028C" w:rsidRPr="00652977">
        <w:rPr>
          <w:rFonts w:eastAsiaTheme="majorEastAsia"/>
        </w:rPr>
        <w:t>ducation,</w:t>
      </w:r>
    </w:p>
    <w:p w14:paraId="7D190343" w14:textId="77777777" w:rsidR="00B04FCE" w:rsidRDefault="00E120A2" w:rsidP="00A06FAA">
      <w:pPr>
        <w:pStyle w:val="Bullet"/>
        <w:rPr>
          <w:rFonts w:eastAsiaTheme="majorEastAsia"/>
        </w:rPr>
      </w:pPr>
      <w:r w:rsidRPr="00652977">
        <w:rPr>
          <w:rFonts w:eastAsiaTheme="majorEastAsia"/>
        </w:rPr>
        <w:t>9</w:t>
      </w:r>
      <w:r w:rsidR="00D405AC">
        <w:rPr>
          <w:rFonts w:eastAsiaTheme="majorEastAsia"/>
        </w:rPr>
        <w:t>,000</w:t>
      </w:r>
      <w:r w:rsidRPr="00652977">
        <w:rPr>
          <w:rFonts w:eastAsiaTheme="majorEastAsia"/>
        </w:rPr>
        <w:t xml:space="preserve"> </w:t>
      </w:r>
      <w:r w:rsidR="00A722F2">
        <w:rPr>
          <w:rFonts w:eastAsiaTheme="majorEastAsia"/>
        </w:rPr>
        <w:t xml:space="preserve">(10%) </w:t>
      </w:r>
      <w:r w:rsidRPr="00652977">
        <w:rPr>
          <w:rFonts w:eastAsiaTheme="majorEastAsia"/>
        </w:rPr>
        <w:t>were</w:t>
      </w:r>
      <w:r w:rsidR="00A0028C" w:rsidRPr="00652977">
        <w:rPr>
          <w:rFonts w:eastAsiaTheme="majorEastAsia"/>
        </w:rPr>
        <w:t xml:space="preserve"> in </w:t>
      </w:r>
      <w:r w:rsidR="00992DE8">
        <w:rPr>
          <w:rFonts w:eastAsiaTheme="majorEastAsia"/>
        </w:rPr>
        <w:t>V</w:t>
      </w:r>
      <w:r w:rsidR="00A0028C" w:rsidRPr="00652977">
        <w:rPr>
          <w:rFonts w:eastAsiaTheme="majorEastAsia"/>
        </w:rPr>
        <w:t xml:space="preserve">ocational </w:t>
      </w:r>
      <w:r w:rsidR="00992DE8">
        <w:rPr>
          <w:rFonts w:eastAsiaTheme="majorEastAsia"/>
        </w:rPr>
        <w:t>E</w:t>
      </w:r>
      <w:r w:rsidR="00A0028C" w:rsidRPr="00652977">
        <w:rPr>
          <w:rFonts w:eastAsiaTheme="majorEastAsia"/>
        </w:rPr>
        <w:t>ducation and</w:t>
      </w:r>
      <w:r w:rsidR="00C30C2A" w:rsidRPr="00652977">
        <w:rPr>
          <w:rFonts w:eastAsiaTheme="majorEastAsia"/>
        </w:rPr>
        <w:t xml:space="preserve"> </w:t>
      </w:r>
      <w:r w:rsidR="00992DE8">
        <w:rPr>
          <w:rFonts w:eastAsiaTheme="majorEastAsia"/>
        </w:rPr>
        <w:t>T</w:t>
      </w:r>
      <w:r w:rsidR="00C30C2A" w:rsidRPr="00652977">
        <w:rPr>
          <w:rFonts w:eastAsiaTheme="majorEastAsia"/>
        </w:rPr>
        <w:t>raining (VET), and</w:t>
      </w:r>
    </w:p>
    <w:p w14:paraId="30739500" w14:textId="05324BE6" w:rsidR="00CE1FFE" w:rsidRPr="00CE1FFE" w:rsidRDefault="00E120A2" w:rsidP="00137BAD">
      <w:pPr>
        <w:pStyle w:val="Bullet"/>
        <w:rPr>
          <w:rFonts w:eastAsiaTheme="majorEastAsia"/>
        </w:rPr>
      </w:pPr>
      <w:r w:rsidRPr="00652977">
        <w:rPr>
          <w:rFonts w:eastAsiaTheme="majorEastAsia"/>
        </w:rPr>
        <w:t>5</w:t>
      </w:r>
      <w:r w:rsidR="00D405AC">
        <w:rPr>
          <w:rFonts w:eastAsiaTheme="majorEastAsia"/>
        </w:rPr>
        <w:t>,000</w:t>
      </w:r>
      <w:r w:rsidR="00A722F2">
        <w:rPr>
          <w:rFonts w:eastAsiaTheme="majorEastAsia"/>
        </w:rPr>
        <w:t xml:space="preserve"> (6%)</w:t>
      </w:r>
      <w:r w:rsidR="00C30C2A" w:rsidRPr="00652977">
        <w:rPr>
          <w:rFonts w:eastAsiaTheme="majorEastAsia"/>
        </w:rPr>
        <w:t xml:space="preserve"> </w:t>
      </w:r>
      <w:r w:rsidRPr="00652977">
        <w:rPr>
          <w:rFonts w:eastAsiaTheme="majorEastAsia"/>
        </w:rPr>
        <w:t>were</w:t>
      </w:r>
      <w:r w:rsidR="00C30C2A" w:rsidRPr="00652977">
        <w:rPr>
          <w:rFonts w:eastAsiaTheme="majorEastAsia"/>
        </w:rPr>
        <w:t xml:space="preserve"> in </w:t>
      </w:r>
      <w:r w:rsidR="00D405AC">
        <w:rPr>
          <w:rFonts w:eastAsiaTheme="majorEastAsia"/>
        </w:rPr>
        <w:t>s</w:t>
      </w:r>
      <w:r w:rsidR="00A0028C" w:rsidRPr="00714736">
        <w:rPr>
          <w:rFonts w:eastAsiaTheme="majorEastAsia"/>
        </w:rPr>
        <w:t>chool.</w:t>
      </w:r>
    </w:p>
    <w:p w14:paraId="6C8CFBF3" w14:textId="1ADA43A6" w:rsidR="00682B5E" w:rsidRDefault="00A0028C">
      <w:pPr>
        <w:rPr>
          <w:rFonts w:asciiTheme="minorHAnsi" w:eastAsiaTheme="majorEastAsia" w:hAnsiTheme="minorHAnsi" w:cstheme="minorHAnsi"/>
          <w:bCs/>
          <w:color w:val="000000" w:themeColor="text1"/>
          <w:szCs w:val="21"/>
        </w:rPr>
      </w:pPr>
      <w:r w:rsidRPr="00FB03F6">
        <w:rPr>
          <w:rFonts w:asciiTheme="minorHAnsi" w:eastAsiaTheme="majorEastAsia" w:hAnsiTheme="minorHAnsi" w:cstheme="minorHAnsi"/>
          <w:color w:val="000000" w:themeColor="text1"/>
          <w:szCs w:val="21"/>
        </w:rPr>
        <w:t xml:space="preserve">Higher Education and VET </w:t>
      </w:r>
      <w:r w:rsidRPr="00714736">
        <w:rPr>
          <w:rFonts w:asciiTheme="minorHAnsi" w:eastAsiaTheme="majorEastAsia" w:hAnsiTheme="minorHAnsi" w:cstheme="minorHAnsi"/>
          <w:bCs/>
          <w:color w:val="000000" w:themeColor="text1"/>
          <w:szCs w:val="21"/>
        </w:rPr>
        <w:t>students</w:t>
      </w:r>
      <w:r w:rsidR="00D405AC">
        <w:rPr>
          <w:rFonts w:asciiTheme="minorHAnsi" w:eastAsiaTheme="majorEastAsia" w:hAnsiTheme="minorHAnsi" w:cstheme="minorHAnsi"/>
          <w:bCs/>
          <w:color w:val="000000" w:themeColor="text1"/>
          <w:szCs w:val="21"/>
        </w:rPr>
        <w:t xml:space="preserve"> receiving income support</w:t>
      </w:r>
      <w:r w:rsidRPr="008C11B1">
        <w:rPr>
          <w:rFonts w:asciiTheme="minorHAnsi" w:eastAsiaTheme="majorEastAsia" w:hAnsiTheme="minorHAnsi" w:cstheme="minorHAnsi"/>
          <w:bCs/>
          <w:color w:val="000000" w:themeColor="text1"/>
          <w:szCs w:val="21"/>
        </w:rPr>
        <w:t xml:space="preserve"> </w:t>
      </w:r>
      <w:r w:rsidR="00E120A2" w:rsidRPr="008C11B1">
        <w:rPr>
          <w:rFonts w:asciiTheme="minorHAnsi" w:eastAsiaTheme="majorEastAsia" w:hAnsiTheme="minorHAnsi" w:cstheme="minorHAnsi"/>
          <w:bCs/>
          <w:color w:val="000000" w:themeColor="text1"/>
          <w:szCs w:val="21"/>
        </w:rPr>
        <w:t>were</w:t>
      </w:r>
      <w:r w:rsidRPr="008C11B1">
        <w:rPr>
          <w:rFonts w:asciiTheme="minorHAnsi" w:eastAsiaTheme="majorEastAsia" w:hAnsiTheme="minorHAnsi" w:cstheme="minorHAnsi"/>
          <w:bCs/>
          <w:color w:val="000000" w:themeColor="text1"/>
          <w:szCs w:val="21"/>
        </w:rPr>
        <w:t xml:space="preserve"> evenly distributed across the 18</w:t>
      </w:r>
      <w:r w:rsidR="0071439E">
        <w:rPr>
          <w:rFonts w:asciiTheme="minorHAnsi" w:eastAsiaTheme="majorEastAsia" w:hAnsiTheme="minorHAnsi" w:cstheme="minorHAnsi"/>
          <w:bCs/>
          <w:color w:val="000000" w:themeColor="text1"/>
          <w:szCs w:val="21"/>
        </w:rPr>
        <w:t xml:space="preserve"> to </w:t>
      </w:r>
      <w:r w:rsidRPr="008C11B1">
        <w:rPr>
          <w:rFonts w:asciiTheme="minorHAnsi" w:eastAsiaTheme="majorEastAsia" w:hAnsiTheme="minorHAnsi" w:cstheme="minorHAnsi"/>
          <w:bCs/>
          <w:color w:val="000000" w:themeColor="text1"/>
          <w:szCs w:val="21"/>
        </w:rPr>
        <w:t>21 age range</w:t>
      </w:r>
      <w:r w:rsidR="000C0110">
        <w:rPr>
          <w:rFonts w:asciiTheme="minorHAnsi" w:eastAsiaTheme="majorEastAsia" w:hAnsiTheme="minorHAnsi" w:cstheme="minorHAnsi"/>
          <w:bCs/>
          <w:color w:val="000000" w:themeColor="text1"/>
          <w:szCs w:val="21"/>
        </w:rPr>
        <w:t>.</w:t>
      </w:r>
      <w:r w:rsidRPr="008C11B1">
        <w:rPr>
          <w:rFonts w:asciiTheme="minorHAnsi" w:eastAsiaTheme="majorEastAsia" w:hAnsiTheme="minorHAnsi" w:cstheme="minorHAnsi"/>
          <w:bCs/>
          <w:color w:val="000000" w:themeColor="text1"/>
          <w:szCs w:val="21"/>
        </w:rPr>
        <w:t xml:space="preserve"> </w:t>
      </w:r>
      <w:r w:rsidR="000C0110">
        <w:rPr>
          <w:rFonts w:asciiTheme="minorHAnsi" w:eastAsiaTheme="majorEastAsia" w:hAnsiTheme="minorHAnsi" w:cstheme="minorHAnsi"/>
          <w:bCs/>
          <w:color w:val="000000" w:themeColor="text1"/>
          <w:szCs w:val="21"/>
        </w:rPr>
        <w:t>S</w:t>
      </w:r>
      <w:r w:rsidRPr="008C11B1">
        <w:rPr>
          <w:rFonts w:asciiTheme="minorHAnsi" w:eastAsiaTheme="majorEastAsia" w:hAnsiTheme="minorHAnsi" w:cstheme="minorHAnsi"/>
          <w:bCs/>
          <w:color w:val="000000" w:themeColor="text1"/>
          <w:szCs w:val="21"/>
        </w:rPr>
        <w:t>chool students</w:t>
      </w:r>
      <w:r w:rsidR="00D405AC">
        <w:rPr>
          <w:rFonts w:asciiTheme="minorHAnsi" w:eastAsiaTheme="majorEastAsia" w:hAnsiTheme="minorHAnsi" w:cstheme="minorHAnsi"/>
          <w:bCs/>
          <w:color w:val="000000" w:themeColor="text1"/>
          <w:szCs w:val="21"/>
        </w:rPr>
        <w:t xml:space="preserve"> receiving studying payments </w:t>
      </w:r>
      <w:r w:rsidR="00D405AC" w:rsidRPr="00D405AC">
        <w:rPr>
          <w:rFonts w:asciiTheme="minorHAnsi" w:eastAsiaTheme="majorEastAsia" w:hAnsiTheme="minorHAnsi" w:cstheme="minorHAnsi"/>
          <w:bCs/>
          <w:color w:val="000000" w:themeColor="text1"/>
          <w:szCs w:val="21"/>
        </w:rPr>
        <w:t>were</w:t>
      </w:r>
      <w:r w:rsidRPr="008C11B1">
        <w:rPr>
          <w:rFonts w:asciiTheme="minorHAnsi" w:eastAsiaTheme="majorEastAsia" w:hAnsiTheme="minorHAnsi" w:cstheme="minorHAnsi"/>
          <w:bCs/>
          <w:color w:val="000000" w:themeColor="text1"/>
          <w:szCs w:val="21"/>
        </w:rPr>
        <w:t xml:space="preserve"> </w:t>
      </w:r>
      <w:r w:rsidR="00D405AC">
        <w:rPr>
          <w:rFonts w:asciiTheme="minorHAnsi" w:eastAsiaTheme="majorEastAsia" w:hAnsiTheme="minorHAnsi" w:cstheme="minorHAnsi"/>
          <w:bCs/>
          <w:color w:val="000000" w:themeColor="text1"/>
          <w:szCs w:val="21"/>
        </w:rPr>
        <w:t>mostly younger</w:t>
      </w:r>
      <w:r w:rsidRPr="00D663F2">
        <w:rPr>
          <w:rFonts w:asciiTheme="minorHAnsi" w:eastAsiaTheme="majorEastAsia" w:hAnsiTheme="minorHAnsi" w:cstheme="minorHAnsi"/>
          <w:bCs/>
          <w:color w:val="000000" w:themeColor="text1"/>
          <w:szCs w:val="21"/>
        </w:rPr>
        <w:t>, with</w:t>
      </w:r>
      <w:r w:rsidR="008F2033" w:rsidRPr="00D663F2">
        <w:rPr>
          <w:rFonts w:asciiTheme="minorHAnsi" w:eastAsiaTheme="majorEastAsia" w:hAnsiTheme="minorHAnsi" w:cstheme="minorHAnsi"/>
          <w:bCs/>
          <w:color w:val="000000" w:themeColor="text1"/>
          <w:szCs w:val="21"/>
        </w:rPr>
        <w:t xml:space="preserve"> </w:t>
      </w:r>
      <w:r w:rsidRPr="00D663F2">
        <w:rPr>
          <w:rFonts w:asciiTheme="minorHAnsi" w:eastAsiaTheme="majorEastAsia" w:hAnsiTheme="minorHAnsi" w:cstheme="minorHAnsi"/>
          <w:bCs/>
          <w:color w:val="000000" w:themeColor="text1"/>
          <w:szCs w:val="21"/>
        </w:rPr>
        <w:t>63</w:t>
      </w:r>
      <w:r w:rsidR="00122559" w:rsidRPr="00D663F2">
        <w:rPr>
          <w:rFonts w:asciiTheme="minorHAnsi" w:eastAsiaTheme="majorEastAsia" w:hAnsiTheme="minorHAnsi" w:cstheme="minorHAnsi"/>
          <w:bCs/>
          <w:color w:val="000000" w:themeColor="text1"/>
          <w:szCs w:val="21"/>
        </w:rPr>
        <w:t xml:space="preserve">% </w:t>
      </w:r>
      <w:r w:rsidRPr="00D663F2">
        <w:rPr>
          <w:rFonts w:asciiTheme="minorHAnsi" w:eastAsiaTheme="majorEastAsia" w:hAnsiTheme="minorHAnsi" w:cstheme="minorHAnsi"/>
          <w:bCs/>
          <w:color w:val="000000" w:themeColor="text1"/>
          <w:szCs w:val="21"/>
        </w:rPr>
        <w:t>aged 18.</w:t>
      </w:r>
    </w:p>
    <w:p w14:paraId="45AE8280" w14:textId="2CE14FA5" w:rsidR="000C0110" w:rsidRPr="009D7B6D" w:rsidRDefault="000C0110" w:rsidP="000C0110">
      <w:pPr>
        <w:spacing w:after="0"/>
        <w:rPr>
          <w:rFonts w:asciiTheme="minorHAnsi" w:eastAsiaTheme="majorEastAsia" w:hAnsiTheme="minorHAnsi" w:cstheme="minorHAnsi"/>
          <w:bCs/>
          <w:color w:val="000000" w:themeColor="text1"/>
          <w:szCs w:val="21"/>
        </w:rPr>
      </w:pPr>
      <w:r w:rsidRPr="009D7B6D">
        <w:rPr>
          <w:rFonts w:asciiTheme="minorHAnsi" w:eastAsiaTheme="majorEastAsia" w:hAnsiTheme="minorHAnsi" w:cstheme="minorHAnsi"/>
          <w:bCs/>
          <w:color w:val="000000" w:themeColor="text1"/>
          <w:szCs w:val="21"/>
        </w:rPr>
        <w:t xml:space="preserve">Most </w:t>
      </w:r>
      <w:r>
        <w:rPr>
          <w:rFonts w:asciiTheme="minorHAnsi" w:eastAsiaTheme="majorEastAsia" w:hAnsiTheme="minorHAnsi" w:cstheme="minorHAnsi"/>
          <w:bCs/>
          <w:color w:val="000000" w:themeColor="text1"/>
          <w:szCs w:val="21"/>
        </w:rPr>
        <w:t>young adults</w:t>
      </w:r>
      <w:r w:rsidRPr="009D7B6D">
        <w:rPr>
          <w:rFonts w:asciiTheme="minorHAnsi" w:eastAsiaTheme="majorEastAsia" w:hAnsiTheme="minorHAnsi" w:cstheme="minorHAnsi"/>
          <w:bCs/>
          <w:color w:val="000000" w:themeColor="text1"/>
          <w:szCs w:val="21"/>
        </w:rPr>
        <w:t xml:space="preserve"> </w:t>
      </w:r>
      <w:r>
        <w:rPr>
          <w:rFonts w:asciiTheme="minorHAnsi" w:eastAsiaTheme="majorEastAsia" w:hAnsiTheme="minorHAnsi" w:cstheme="minorHAnsi"/>
          <w:bCs/>
          <w:color w:val="000000" w:themeColor="text1"/>
          <w:szCs w:val="21"/>
        </w:rPr>
        <w:t>receiving</w:t>
      </w:r>
      <w:r w:rsidRPr="009D7B6D">
        <w:rPr>
          <w:rFonts w:asciiTheme="minorHAnsi" w:eastAsiaTheme="majorEastAsia" w:hAnsiTheme="minorHAnsi" w:cstheme="minorHAnsi"/>
          <w:bCs/>
          <w:color w:val="000000" w:themeColor="text1"/>
          <w:szCs w:val="21"/>
        </w:rPr>
        <w:t xml:space="preserve"> </w:t>
      </w:r>
      <w:r>
        <w:rPr>
          <w:rFonts w:asciiTheme="minorHAnsi" w:eastAsiaTheme="majorEastAsia" w:hAnsiTheme="minorHAnsi" w:cstheme="minorHAnsi"/>
          <w:bCs/>
          <w:color w:val="000000" w:themeColor="text1"/>
          <w:szCs w:val="21"/>
        </w:rPr>
        <w:t>o</w:t>
      </w:r>
      <w:r w:rsidRPr="009D7B6D">
        <w:rPr>
          <w:rFonts w:asciiTheme="minorHAnsi" w:eastAsiaTheme="majorEastAsia" w:hAnsiTheme="minorHAnsi" w:cstheme="minorHAnsi"/>
          <w:bCs/>
          <w:color w:val="000000" w:themeColor="text1"/>
          <w:szCs w:val="21"/>
        </w:rPr>
        <w:t xml:space="preserve">ther </w:t>
      </w:r>
      <w:r>
        <w:rPr>
          <w:rFonts w:asciiTheme="minorHAnsi" w:eastAsiaTheme="majorEastAsia" w:hAnsiTheme="minorHAnsi" w:cstheme="minorHAnsi"/>
          <w:bCs/>
          <w:color w:val="000000" w:themeColor="text1"/>
          <w:szCs w:val="21"/>
        </w:rPr>
        <w:t>forms of income support</w:t>
      </w:r>
      <w:r w:rsidRPr="009D7B6D">
        <w:rPr>
          <w:rFonts w:asciiTheme="minorHAnsi" w:eastAsiaTheme="majorEastAsia" w:hAnsiTheme="minorHAnsi" w:cstheme="minorHAnsi"/>
          <w:bCs/>
          <w:color w:val="000000" w:themeColor="text1"/>
          <w:szCs w:val="21"/>
        </w:rPr>
        <w:t xml:space="preserve"> were </w:t>
      </w:r>
      <w:r>
        <w:rPr>
          <w:rFonts w:asciiTheme="minorHAnsi" w:eastAsiaTheme="majorEastAsia" w:hAnsiTheme="minorHAnsi" w:cstheme="minorHAnsi"/>
          <w:bCs/>
          <w:color w:val="000000" w:themeColor="text1"/>
          <w:szCs w:val="21"/>
        </w:rPr>
        <w:t>receiving</w:t>
      </w:r>
      <w:r w:rsidRPr="009D7B6D">
        <w:rPr>
          <w:rFonts w:asciiTheme="minorHAnsi" w:eastAsiaTheme="majorEastAsia" w:hAnsiTheme="minorHAnsi" w:cstheme="minorHAnsi"/>
          <w:bCs/>
          <w:color w:val="000000" w:themeColor="text1"/>
          <w:szCs w:val="21"/>
        </w:rPr>
        <w:t xml:space="preserve"> </w:t>
      </w:r>
      <w:r>
        <w:rPr>
          <w:rFonts w:asciiTheme="minorHAnsi" w:eastAsiaTheme="majorEastAsia" w:hAnsiTheme="minorHAnsi" w:cstheme="minorHAnsi"/>
          <w:bCs/>
          <w:color w:val="000000" w:themeColor="text1"/>
          <w:szCs w:val="21"/>
        </w:rPr>
        <w:t xml:space="preserve">Disability Support Pension </w:t>
      </w:r>
      <w:r w:rsidRPr="009D7B6D">
        <w:rPr>
          <w:rFonts w:asciiTheme="minorHAnsi" w:eastAsiaTheme="majorEastAsia" w:hAnsiTheme="minorHAnsi" w:cstheme="minorHAnsi"/>
          <w:bCs/>
          <w:color w:val="000000" w:themeColor="text1"/>
          <w:szCs w:val="21"/>
        </w:rPr>
        <w:t>(</w:t>
      </w:r>
      <w:r w:rsidR="00A81094">
        <w:rPr>
          <w:rFonts w:asciiTheme="minorHAnsi" w:eastAsiaTheme="majorEastAsia" w:hAnsiTheme="minorHAnsi" w:cstheme="minorHAnsi"/>
          <w:bCs/>
          <w:color w:val="000000" w:themeColor="text1"/>
          <w:szCs w:val="21"/>
        </w:rPr>
        <w:t xml:space="preserve">DSP) </w:t>
      </w:r>
      <w:r w:rsidRPr="009D7B6D">
        <w:rPr>
          <w:rFonts w:asciiTheme="minorHAnsi" w:eastAsiaTheme="majorEastAsia" w:hAnsiTheme="minorHAnsi" w:cstheme="minorHAnsi"/>
          <w:bCs/>
          <w:color w:val="000000" w:themeColor="text1"/>
          <w:szCs w:val="21"/>
        </w:rPr>
        <w:t xml:space="preserve">(60%) or Parenting Payment (32%). </w:t>
      </w:r>
      <w:r>
        <w:rPr>
          <w:rFonts w:asciiTheme="minorHAnsi" w:eastAsiaTheme="majorEastAsia" w:hAnsiTheme="minorHAnsi" w:cstheme="minorHAnsi"/>
          <w:bCs/>
          <w:color w:val="000000" w:themeColor="text1"/>
          <w:szCs w:val="21"/>
        </w:rPr>
        <w:t>These groups are considered further in the In</w:t>
      </w:r>
      <w:r w:rsidR="00B04FCE">
        <w:rPr>
          <w:rFonts w:asciiTheme="minorHAnsi" w:eastAsiaTheme="majorEastAsia" w:hAnsiTheme="minorHAnsi" w:cstheme="minorHAnsi"/>
          <w:bCs/>
          <w:color w:val="000000" w:themeColor="text1"/>
          <w:szCs w:val="21"/>
        </w:rPr>
        <w:noBreakHyphen/>
      </w:r>
      <w:r>
        <w:rPr>
          <w:rFonts w:asciiTheme="minorHAnsi" w:eastAsiaTheme="majorEastAsia" w:hAnsiTheme="minorHAnsi" w:cstheme="minorHAnsi"/>
          <w:bCs/>
          <w:color w:val="000000" w:themeColor="text1"/>
          <w:szCs w:val="21"/>
        </w:rPr>
        <w:t>Depth Focus section later in this report.</w:t>
      </w:r>
    </w:p>
    <w:p w14:paraId="1DB92AD4" w14:textId="74204DF9" w:rsidR="008F2033" w:rsidRPr="00F07C76" w:rsidRDefault="008F2033" w:rsidP="00905C52">
      <w:pPr>
        <w:pStyle w:val="Heading2notnumbered"/>
        <w:rPr>
          <w:rFonts w:eastAsiaTheme="majorEastAsia"/>
        </w:rPr>
      </w:pPr>
      <w:r w:rsidRPr="00F07C76">
        <w:rPr>
          <w:rFonts w:eastAsiaTheme="majorEastAsia"/>
        </w:rPr>
        <w:t>People aged 18</w:t>
      </w:r>
      <w:r w:rsidR="0071439E">
        <w:rPr>
          <w:rFonts w:eastAsiaTheme="majorEastAsia"/>
        </w:rPr>
        <w:t xml:space="preserve"> to </w:t>
      </w:r>
      <w:r w:rsidRPr="00F07C76">
        <w:rPr>
          <w:rFonts w:eastAsiaTheme="majorEastAsia"/>
        </w:rPr>
        <w:t>21</w:t>
      </w:r>
      <w:r w:rsidR="00E46C6A">
        <w:rPr>
          <w:rFonts w:eastAsiaTheme="majorEastAsia"/>
        </w:rPr>
        <w:t> year</w:t>
      </w:r>
      <w:r w:rsidRPr="00F07C76">
        <w:rPr>
          <w:rFonts w:eastAsiaTheme="majorEastAsia"/>
        </w:rPr>
        <w:t xml:space="preserve">s old who spent </w:t>
      </w:r>
      <w:r w:rsidR="000C0110">
        <w:rPr>
          <w:rFonts w:eastAsiaTheme="majorEastAsia"/>
        </w:rPr>
        <w:t xml:space="preserve">more than </w:t>
      </w:r>
      <w:r w:rsidRPr="00F07C76">
        <w:rPr>
          <w:rFonts w:eastAsiaTheme="majorEastAsia"/>
        </w:rPr>
        <w:t xml:space="preserve">50% of their childhood with a parent </w:t>
      </w:r>
      <w:r w:rsidR="00033422" w:rsidRPr="00F07C76">
        <w:rPr>
          <w:rFonts w:eastAsiaTheme="majorEastAsia"/>
        </w:rPr>
        <w:t xml:space="preserve">receiving </w:t>
      </w:r>
      <w:r w:rsidRPr="00F07C76">
        <w:rPr>
          <w:rFonts w:eastAsiaTheme="majorEastAsia"/>
        </w:rPr>
        <w:t xml:space="preserve">income support </w:t>
      </w:r>
      <w:r w:rsidR="000C0110">
        <w:rPr>
          <w:rFonts w:eastAsiaTheme="majorEastAsia"/>
        </w:rPr>
        <w:t>are</w:t>
      </w:r>
      <w:r w:rsidR="000C0110" w:rsidRPr="00F07C76">
        <w:rPr>
          <w:rFonts w:eastAsiaTheme="majorEastAsia"/>
        </w:rPr>
        <w:t xml:space="preserve"> </w:t>
      </w:r>
      <w:r w:rsidRPr="00F07C76">
        <w:rPr>
          <w:rFonts w:eastAsiaTheme="majorEastAsia"/>
        </w:rPr>
        <w:t>4.</w:t>
      </w:r>
      <w:r w:rsidR="003F17CB">
        <w:rPr>
          <w:rFonts w:eastAsiaTheme="majorEastAsia"/>
        </w:rPr>
        <w:t>7</w:t>
      </w:r>
      <w:r w:rsidR="00F40387">
        <w:rPr>
          <w:rFonts w:eastAsiaTheme="majorEastAsia"/>
        </w:rPr>
        <w:t> times</w:t>
      </w:r>
      <w:r w:rsidRPr="00F07C76">
        <w:rPr>
          <w:rFonts w:eastAsiaTheme="majorEastAsia"/>
        </w:rPr>
        <w:t xml:space="preserve"> more likely to receive income support themselves, compared to those whose parents </w:t>
      </w:r>
      <w:r w:rsidR="000C0110">
        <w:rPr>
          <w:rFonts w:eastAsiaTheme="majorEastAsia"/>
        </w:rPr>
        <w:t>did not</w:t>
      </w:r>
      <w:r w:rsidR="000C0110" w:rsidRPr="00F07C76">
        <w:rPr>
          <w:rFonts w:eastAsiaTheme="majorEastAsia"/>
        </w:rPr>
        <w:t xml:space="preserve"> </w:t>
      </w:r>
      <w:r w:rsidRPr="00F07C76">
        <w:rPr>
          <w:rFonts w:eastAsiaTheme="majorEastAsia"/>
        </w:rPr>
        <w:t>receive income support.</w:t>
      </w:r>
    </w:p>
    <w:p w14:paraId="41BD4D24" w14:textId="140CD8DF" w:rsidR="00B04FCE" w:rsidRDefault="00EC4860" w:rsidP="00DD051B">
      <w:pPr>
        <w:rPr>
          <w:rFonts w:asciiTheme="minorHAnsi" w:eastAsiaTheme="majorEastAsia" w:hAnsiTheme="minorHAnsi" w:cstheme="minorHAnsi"/>
          <w:b/>
          <w:bCs/>
          <w:color w:val="000000" w:themeColor="text1"/>
          <w:szCs w:val="21"/>
        </w:rPr>
      </w:pPr>
      <w:r w:rsidRPr="008A4A48">
        <w:rPr>
          <w:rFonts w:asciiTheme="minorHAnsi" w:hAnsiTheme="minorHAnsi" w:cstheme="minorHAnsi"/>
          <w:b/>
          <w:bCs/>
          <w:lang w:val="en-US"/>
        </w:rPr>
        <w:fldChar w:fldCharType="begin"/>
      </w:r>
      <w:r w:rsidRPr="008A4A48">
        <w:rPr>
          <w:rFonts w:asciiTheme="minorHAnsi" w:hAnsiTheme="minorHAnsi" w:cstheme="minorHAnsi"/>
        </w:rPr>
        <w:instrText xml:space="preserve"> REF _Ref153436639 \h </w:instrText>
      </w:r>
      <w:r w:rsidR="008A4A48" w:rsidRPr="008A4A48">
        <w:rPr>
          <w:rFonts w:asciiTheme="minorHAnsi" w:hAnsiTheme="minorHAnsi" w:cstheme="minorHAnsi"/>
          <w:b/>
          <w:bCs/>
          <w:lang w:val="en-US"/>
        </w:rPr>
        <w:instrText xml:space="preserve"> \* MERGEFORMAT </w:instrText>
      </w:r>
      <w:r w:rsidRPr="008A4A48">
        <w:rPr>
          <w:rFonts w:asciiTheme="minorHAnsi" w:hAnsiTheme="minorHAnsi" w:cstheme="minorHAnsi"/>
          <w:b/>
          <w:bCs/>
          <w:lang w:val="en-US"/>
        </w:rPr>
      </w:r>
      <w:r w:rsidRPr="008A4A48">
        <w:rPr>
          <w:rFonts w:asciiTheme="minorHAnsi" w:hAnsiTheme="minorHAnsi" w:cstheme="minorHAnsi"/>
          <w:b/>
          <w:bCs/>
          <w:lang w:val="en-US"/>
        </w:rPr>
        <w:fldChar w:fldCharType="separate"/>
      </w:r>
      <w:r w:rsidR="00722C0A" w:rsidRPr="00722C0A">
        <w:rPr>
          <w:rFonts w:asciiTheme="minorHAnsi" w:hAnsiTheme="minorHAnsi" w:cstheme="minorHAnsi"/>
        </w:rPr>
        <w:t>Figure 2.2</w:t>
      </w:r>
      <w:r w:rsidRPr="008A4A48">
        <w:rPr>
          <w:rFonts w:asciiTheme="minorHAnsi" w:hAnsiTheme="minorHAnsi" w:cstheme="minorHAnsi"/>
          <w:b/>
          <w:bCs/>
          <w:lang w:val="en-US"/>
        </w:rPr>
        <w:fldChar w:fldCharType="end"/>
      </w:r>
      <w:r>
        <w:rPr>
          <w:rFonts w:asciiTheme="minorHAnsi" w:hAnsiTheme="minorHAnsi" w:cstheme="minorHAnsi"/>
          <w:b/>
          <w:bCs/>
          <w:lang w:val="en-US"/>
        </w:rPr>
        <w:t xml:space="preserve"> </w:t>
      </w:r>
      <w:r w:rsidR="000C0110">
        <w:rPr>
          <w:rFonts w:asciiTheme="minorHAnsi" w:hAnsiTheme="minorHAnsi" w:cstheme="minorHAnsi"/>
          <w:szCs w:val="21"/>
        </w:rPr>
        <w:t xml:space="preserve">shows 68% of young adults who </w:t>
      </w:r>
      <w:r w:rsidR="000C0110" w:rsidRPr="00FD3BB7">
        <w:rPr>
          <w:rFonts w:asciiTheme="minorHAnsi" w:hAnsiTheme="minorHAnsi" w:cstheme="minorHAnsi"/>
          <w:szCs w:val="21"/>
        </w:rPr>
        <w:t>spent more than half of their childhood in</w:t>
      </w:r>
      <w:r w:rsidR="000C0110">
        <w:rPr>
          <w:rFonts w:asciiTheme="minorHAnsi" w:hAnsiTheme="minorHAnsi" w:cstheme="minorHAnsi"/>
          <w:szCs w:val="21"/>
        </w:rPr>
        <w:t xml:space="preserve"> a </w:t>
      </w:r>
      <w:r w:rsidR="000C0110" w:rsidRPr="00FD3BB7">
        <w:rPr>
          <w:rFonts w:asciiTheme="minorHAnsi" w:hAnsiTheme="minorHAnsi" w:cstheme="minorHAnsi"/>
          <w:szCs w:val="21"/>
        </w:rPr>
        <w:t xml:space="preserve">household with a parent receiving </w:t>
      </w:r>
      <w:r w:rsidR="000C0110">
        <w:rPr>
          <w:rFonts w:asciiTheme="minorHAnsi" w:hAnsiTheme="minorHAnsi" w:cstheme="minorHAnsi"/>
          <w:szCs w:val="21"/>
        </w:rPr>
        <w:t>income support started to receive income support themselves</w:t>
      </w:r>
      <w:r w:rsidR="00033A3A">
        <w:rPr>
          <w:rFonts w:asciiTheme="minorHAnsi" w:hAnsiTheme="minorHAnsi" w:cstheme="minorHAnsi"/>
          <w:szCs w:val="21"/>
        </w:rPr>
        <w:t xml:space="preserve"> at 30</w:t>
      </w:r>
      <w:r w:rsidR="00E46C6A">
        <w:rPr>
          <w:rFonts w:asciiTheme="minorHAnsi" w:hAnsiTheme="minorHAnsi" w:cstheme="minorHAnsi"/>
          <w:szCs w:val="21"/>
        </w:rPr>
        <w:t> June </w:t>
      </w:r>
      <w:r w:rsidR="00033A3A">
        <w:rPr>
          <w:rFonts w:asciiTheme="minorHAnsi" w:hAnsiTheme="minorHAnsi" w:cstheme="minorHAnsi"/>
          <w:szCs w:val="21"/>
        </w:rPr>
        <w:t>2022</w:t>
      </w:r>
      <w:r w:rsidR="000C0110">
        <w:rPr>
          <w:rFonts w:asciiTheme="minorHAnsi" w:hAnsiTheme="minorHAnsi" w:cstheme="minorHAnsi"/>
          <w:szCs w:val="21"/>
        </w:rPr>
        <w:t>. By contrast, the majority of young adults</w:t>
      </w:r>
      <w:r w:rsidR="000C0110" w:rsidRPr="009D7B6D">
        <w:rPr>
          <w:rFonts w:asciiTheme="minorHAnsi" w:hAnsiTheme="minorHAnsi" w:cstheme="minorHAnsi"/>
          <w:szCs w:val="21"/>
        </w:rPr>
        <w:t xml:space="preserve"> </w:t>
      </w:r>
      <w:r w:rsidR="000C0110">
        <w:rPr>
          <w:rFonts w:asciiTheme="minorHAnsi" w:hAnsiTheme="minorHAnsi" w:cstheme="minorHAnsi"/>
          <w:szCs w:val="21"/>
        </w:rPr>
        <w:t>(86%) who grew up in a household with a parent or guardian not on income support were also not receiving income support themselves at 30</w:t>
      </w:r>
      <w:r w:rsidR="00E46C6A">
        <w:rPr>
          <w:rFonts w:asciiTheme="minorHAnsi" w:hAnsiTheme="minorHAnsi" w:cstheme="minorHAnsi"/>
          <w:szCs w:val="21"/>
        </w:rPr>
        <w:t> June </w:t>
      </w:r>
      <w:r w:rsidR="000C0110">
        <w:rPr>
          <w:rFonts w:asciiTheme="minorHAnsi" w:hAnsiTheme="minorHAnsi" w:cstheme="minorHAnsi"/>
          <w:szCs w:val="21"/>
        </w:rPr>
        <w:t>2022.</w:t>
      </w:r>
    </w:p>
    <w:p w14:paraId="29B26275" w14:textId="5BE252E8" w:rsidR="00F322B6" w:rsidRDefault="007855DD" w:rsidP="005E332C">
      <w:pPr>
        <w:pStyle w:val="FigureMainHeading"/>
      </w:pPr>
      <w:bookmarkStart w:id="24" w:name="_Ref153436639"/>
      <w:r>
        <w:lastRenderedPageBreak/>
        <w:t>Figure </w:t>
      </w:r>
      <w:r w:rsidR="00B80D45">
        <w:fldChar w:fldCharType="begin"/>
      </w:r>
      <w:r w:rsidR="00B80D45">
        <w:instrText xml:space="preserve"> STYLEREF 1 \s </w:instrText>
      </w:r>
      <w:r w:rsidR="00B80D45">
        <w:fldChar w:fldCharType="separate"/>
      </w:r>
      <w:r w:rsidR="00722C0A">
        <w:rPr>
          <w:noProof/>
        </w:rPr>
        <w:t>2</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2</w:t>
      </w:r>
      <w:r w:rsidR="00B80D45">
        <w:rPr>
          <w:noProof/>
        </w:rPr>
        <w:fldChar w:fldCharType="end"/>
      </w:r>
      <w:bookmarkEnd w:id="24"/>
      <w:r w:rsidR="005E332C">
        <w:t>:</w:t>
      </w:r>
      <w:r w:rsidR="005E332C">
        <w:tab/>
      </w:r>
      <w:r w:rsidR="00B1169A">
        <w:t xml:space="preserve">Proportion </w:t>
      </w:r>
      <w:r w:rsidR="00A06FAA">
        <w:t>of people aged 18 to 21 who have received income support by 30</w:t>
      </w:r>
      <w:r w:rsidR="00E46C6A">
        <w:t> June </w:t>
      </w:r>
      <w:r w:rsidR="00A06FAA">
        <w:t>2022</w:t>
      </w:r>
    </w:p>
    <w:p w14:paraId="4B28D742" w14:textId="0121CFD7" w:rsidR="00B04FCE" w:rsidRPr="00435B78" w:rsidRDefault="00281244" w:rsidP="00A06FAA">
      <w:pPr>
        <w:pStyle w:val="ChartGraphic"/>
      </w:pPr>
      <w:r>
        <w:rPr>
          <w:noProof/>
        </w:rPr>
        <w:drawing>
          <wp:inline distT="0" distB="0" distL="0" distR="0" wp14:anchorId="258053B4" wp14:editId="0A0D22EC">
            <wp:extent cx="4400550" cy="2453951"/>
            <wp:effectExtent l="0" t="0" r="0" b="3810"/>
            <wp:docPr id="23" name="Chart 23" descr="This chart shows the percentage of people aged 18 to 21 who have or have not received income support as at 30 June 2022, split by the percentage of childhood at least one parent or guardian received income support.&#10;&#10;68% of people aged 18 to 21, who had 50% to 100% of their childhood where at least one parent or guardian received income support, have used income support themselves, compared to 40% of those who had less than 50% of their childhood, and 14% of those who had none of their childhood with at least one parent or guardian receiving income support.&#10;&#10;This shows the positive correlation between a parent or guardian's use of income support and their child's own income support usage.">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D64E744" w14:textId="65AABBB7" w:rsidR="00B04FCE" w:rsidRDefault="005A243A" w:rsidP="00905C52">
      <w:pPr>
        <w:pStyle w:val="Heading2notnumbered"/>
      </w:pPr>
      <w:r>
        <w:t xml:space="preserve">Receiving studying payments </w:t>
      </w:r>
      <w:r w:rsidR="008E252C">
        <w:t xml:space="preserve">for higher education </w:t>
      </w:r>
      <w:r>
        <w:t>is associated with lower income support use</w:t>
      </w:r>
      <w:r w:rsidR="00A93576">
        <w:t xml:space="preserve"> later in life.</w:t>
      </w:r>
      <w:r w:rsidR="00B4164D" w:rsidRPr="00B4164D">
        <w:rPr>
          <w:noProof/>
          <w:color w:val="000000"/>
          <w:lang w:eastAsia="ja-JP"/>
        </w:rPr>
        <w:t xml:space="preserve"> </w:t>
      </w:r>
    </w:p>
    <w:p w14:paraId="644BBDFB" w14:textId="10A9112D" w:rsidR="00B04FCE" w:rsidRDefault="00290E26" w:rsidP="00180D2E">
      <w:pPr>
        <w:rPr>
          <w:rFonts w:asciiTheme="minorHAnsi" w:hAnsiTheme="minorHAnsi" w:cstheme="minorHAnsi"/>
          <w:color w:val="000000" w:themeColor="text1"/>
          <w:szCs w:val="21"/>
        </w:rPr>
      </w:pPr>
      <w:r>
        <w:rPr>
          <w:rFonts w:asciiTheme="minorHAnsi" w:hAnsiTheme="minorHAnsi" w:cstheme="minorHAnsi"/>
          <w:color w:val="000000" w:themeColor="text1"/>
          <w:szCs w:val="21"/>
        </w:rPr>
        <w:t xml:space="preserve">While </w:t>
      </w:r>
      <w:r w:rsidR="0065078F" w:rsidRPr="00AF2227">
        <w:rPr>
          <w:rFonts w:asciiTheme="minorHAnsi" w:hAnsiTheme="minorHAnsi" w:cstheme="minorHAnsi"/>
        </w:rPr>
        <w:fldChar w:fldCharType="begin"/>
      </w:r>
      <w:r w:rsidR="0065078F" w:rsidRPr="00AF2227">
        <w:rPr>
          <w:rFonts w:asciiTheme="minorHAnsi" w:hAnsiTheme="minorHAnsi" w:cstheme="minorHAnsi"/>
          <w:color w:val="000000" w:themeColor="text1"/>
        </w:rPr>
        <w:instrText xml:space="preserve"> REF _Ref153436300 \h </w:instrText>
      </w:r>
      <w:r w:rsidR="00AF2227" w:rsidRPr="00AF2227">
        <w:rPr>
          <w:rFonts w:asciiTheme="minorHAnsi" w:hAnsiTheme="minorHAnsi" w:cstheme="minorHAnsi"/>
        </w:rPr>
        <w:instrText xml:space="preserve"> \* MERGEFORMAT </w:instrText>
      </w:r>
      <w:r w:rsidR="0065078F" w:rsidRPr="00AF2227">
        <w:rPr>
          <w:rFonts w:asciiTheme="minorHAnsi" w:hAnsiTheme="minorHAnsi" w:cstheme="minorHAnsi"/>
        </w:rPr>
      </w:r>
      <w:r w:rsidR="0065078F" w:rsidRPr="00AF2227">
        <w:rPr>
          <w:rFonts w:asciiTheme="minorHAnsi" w:hAnsiTheme="minorHAnsi" w:cstheme="minorHAnsi"/>
        </w:rPr>
        <w:fldChar w:fldCharType="separate"/>
      </w:r>
      <w:r w:rsidR="00722C0A" w:rsidRPr="00722C0A">
        <w:rPr>
          <w:rFonts w:asciiTheme="minorHAnsi" w:hAnsiTheme="minorHAnsi" w:cstheme="minorHAnsi"/>
        </w:rPr>
        <w:t>Figure 2.3</w:t>
      </w:r>
      <w:r w:rsidR="0065078F" w:rsidRPr="00AF2227">
        <w:rPr>
          <w:rFonts w:asciiTheme="minorHAnsi" w:hAnsiTheme="minorHAnsi" w:cstheme="minorHAnsi"/>
        </w:rPr>
        <w:fldChar w:fldCharType="end"/>
      </w:r>
      <w:r w:rsidR="0065078F">
        <w:rPr>
          <w:rFonts w:asciiTheme="minorHAnsi" w:hAnsiTheme="minorHAnsi" w:cstheme="minorHAnsi"/>
        </w:rPr>
        <w:t xml:space="preserve"> </w:t>
      </w:r>
      <w:r>
        <w:rPr>
          <w:rFonts w:asciiTheme="minorHAnsi" w:hAnsiTheme="minorHAnsi" w:cstheme="minorHAnsi"/>
          <w:color w:val="000000" w:themeColor="text1"/>
          <w:szCs w:val="21"/>
        </w:rPr>
        <w:t xml:space="preserve">shows </w:t>
      </w:r>
      <w:r w:rsidR="00426138" w:rsidRPr="009D7B6D">
        <w:rPr>
          <w:rFonts w:asciiTheme="minorHAnsi" w:hAnsiTheme="minorHAnsi" w:cstheme="minorHAnsi"/>
          <w:color w:val="000000" w:themeColor="text1"/>
          <w:szCs w:val="21"/>
        </w:rPr>
        <w:t xml:space="preserve">the average </w:t>
      </w:r>
      <w:r w:rsidR="00A72F5E">
        <w:rPr>
          <w:rFonts w:asciiTheme="minorHAnsi" w:hAnsiTheme="minorHAnsi" w:cstheme="minorHAnsi"/>
          <w:color w:val="000000" w:themeColor="text1"/>
          <w:szCs w:val="21"/>
        </w:rPr>
        <w:t xml:space="preserve">length of </w:t>
      </w:r>
      <w:r w:rsidR="002935B2">
        <w:rPr>
          <w:rFonts w:asciiTheme="minorHAnsi" w:hAnsiTheme="minorHAnsi" w:cstheme="minorHAnsi"/>
          <w:color w:val="000000" w:themeColor="text1"/>
          <w:szCs w:val="21"/>
        </w:rPr>
        <w:t>time</w:t>
      </w:r>
      <w:r w:rsidR="00426138" w:rsidRPr="009D7B6D">
        <w:rPr>
          <w:rFonts w:asciiTheme="minorHAnsi" w:hAnsiTheme="minorHAnsi" w:cstheme="minorHAnsi"/>
          <w:color w:val="000000" w:themeColor="text1"/>
          <w:szCs w:val="21"/>
        </w:rPr>
        <w:t xml:space="preserve"> </w:t>
      </w:r>
      <w:r w:rsidR="002935B2">
        <w:rPr>
          <w:rFonts w:asciiTheme="minorHAnsi" w:hAnsiTheme="minorHAnsi" w:cstheme="minorHAnsi"/>
          <w:color w:val="000000" w:themeColor="text1"/>
          <w:szCs w:val="21"/>
        </w:rPr>
        <w:t>receiving</w:t>
      </w:r>
      <w:r w:rsidR="00426138" w:rsidRPr="009D7B6D">
        <w:rPr>
          <w:rFonts w:asciiTheme="minorHAnsi" w:hAnsiTheme="minorHAnsi" w:cstheme="minorHAnsi"/>
          <w:color w:val="000000" w:themeColor="text1"/>
          <w:szCs w:val="21"/>
        </w:rPr>
        <w:t xml:space="preserve"> studying payments is projected to be higher for those in </w:t>
      </w:r>
      <w:r w:rsidR="00221886">
        <w:rPr>
          <w:rFonts w:asciiTheme="minorHAnsi" w:hAnsiTheme="minorHAnsi" w:cstheme="minorHAnsi"/>
          <w:color w:val="000000" w:themeColor="text1"/>
          <w:szCs w:val="21"/>
        </w:rPr>
        <w:t>h</w:t>
      </w:r>
      <w:r w:rsidR="00426138" w:rsidRPr="009D7B6D">
        <w:rPr>
          <w:rFonts w:asciiTheme="minorHAnsi" w:hAnsiTheme="minorHAnsi" w:cstheme="minorHAnsi"/>
          <w:color w:val="000000" w:themeColor="text1"/>
          <w:szCs w:val="21"/>
        </w:rPr>
        <w:t xml:space="preserve">igher </w:t>
      </w:r>
      <w:r w:rsidR="00221886">
        <w:rPr>
          <w:rFonts w:asciiTheme="minorHAnsi" w:hAnsiTheme="minorHAnsi" w:cstheme="minorHAnsi"/>
          <w:color w:val="000000" w:themeColor="text1"/>
          <w:szCs w:val="21"/>
        </w:rPr>
        <w:t>e</w:t>
      </w:r>
      <w:r w:rsidR="00426138" w:rsidRPr="009D7B6D">
        <w:rPr>
          <w:rFonts w:asciiTheme="minorHAnsi" w:hAnsiTheme="minorHAnsi" w:cstheme="minorHAnsi"/>
          <w:color w:val="000000" w:themeColor="text1"/>
          <w:szCs w:val="21"/>
        </w:rPr>
        <w:t xml:space="preserve">ducation than </w:t>
      </w:r>
      <w:r>
        <w:rPr>
          <w:rFonts w:asciiTheme="minorHAnsi" w:hAnsiTheme="minorHAnsi" w:cstheme="minorHAnsi"/>
          <w:color w:val="000000" w:themeColor="text1"/>
          <w:szCs w:val="21"/>
        </w:rPr>
        <w:t xml:space="preserve">for </w:t>
      </w:r>
      <w:r w:rsidR="00426138" w:rsidRPr="009D7B6D">
        <w:rPr>
          <w:rFonts w:asciiTheme="minorHAnsi" w:hAnsiTheme="minorHAnsi" w:cstheme="minorHAnsi"/>
          <w:color w:val="000000" w:themeColor="text1"/>
          <w:szCs w:val="21"/>
        </w:rPr>
        <w:t xml:space="preserve">those in VET, the average projected </w:t>
      </w:r>
      <w:r w:rsidR="002935B2">
        <w:rPr>
          <w:rFonts w:asciiTheme="minorHAnsi" w:hAnsiTheme="minorHAnsi" w:cstheme="minorHAnsi"/>
          <w:color w:val="000000" w:themeColor="text1"/>
          <w:szCs w:val="21"/>
        </w:rPr>
        <w:t>time</w:t>
      </w:r>
      <w:r w:rsidR="00426138" w:rsidRPr="009D7B6D">
        <w:rPr>
          <w:rFonts w:asciiTheme="minorHAnsi" w:hAnsiTheme="minorHAnsi" w:cstheme="minorHAnsi"/>
          <w:color w:val="000000" w:themeColor="text1"/>
          <w:szCs w:val="21"/>
        </w:rPr>
        <w:t xml:space="preserve"> </w:t>
      </w:r>
      <w:r w:rsidR="00163AC9">
        <w:rPr>
          <w:rFonts w:asciiTheme="minorHAnsi" w:hAnsiTheme="minorHAnsi" w:cstheme="minorHAnsi"/>
          <w:color w:val="000000" w:themeColor="text1"/>
          <w:szCs w:val="21"/>
        </w:rPr>
        <w:t xml:space="preserve">receiving </w:t>
      </w:r>
      <w:r w:rsidR="00BD6F6E">
        <w:rPr>
          <w:rFonts w:asciiTheme="minorHAnsi" w:hAnsiTheme="minorHAnsi" w:cstheme="minorHAnsi"/>
          <w:color w:val="000000" w:themeColor="text1"/>
          <w:szCs w:val="21"/>
        </w:rPr>
        <w:t>w</w:t>
      </w:r>
      <w:r w:rsidR="00163AC9">
        <w:rPr>
          <w:rFonts w:asciiTheme="minorHAnsi" w:hAnsiTheme="minorHAnsi" w:cstheme="minorHAnsi"/>
          <w:color w:val="000000" w:themeColor="text1"/>
          <w:szCs w:val="21"/>
        </w:rPr>
        <w:t xml:space="preserve">orking </w:t>
      </w:r>
      <w:r w:rsidR="00BD6F6E">
        <w:rPr>
          <w:rFonts w:asciiTheme="minorHAnsi" w:hAnsiTheme="minorHAnsi" w:cstheme="minorHAnsi"/>
          <w:color w:val="000000" w:themeColor="text1"/>
          <w:szCs w:val="21"/>
        </w:rPr>
        <w:t>a</w:t>
      </w:r>
      <w:r w:rsidR="00163AC9">
        <w:rPr>
          <w:rFonts w:asciiTheme="minorHAnsi" w:hAnsiTheme="minorHAnsi" w:cstheme="minorHAnsi"/>
          <w:color w:val="000000" w:themeColor="text1"/>
          <w:szCs w:val="21"/>
        </w:rPr>
        <w:t xml:space="preserve">ge </w:t>
      </w:r>
      <w:r w:rsidR="00BD6F6E">
        <w:rPr>
          <w:rFonts w:asciiTheme="minorHAnsi" w:hAnsiTheme="minorHAnsi" w:cstheme="minorHAnsi"/>
          <w:color w:val="000000" w:themeColor="text1"/>
          <w:szCs w:val="21"/>
        </w:rPr>
        <w:t>p</w:t>
      </w:r>
      <w:r w:rsidR="00163AC9">
        <w:rPr>
          <w:rFonts w:asciiTheme="minorHAnsi" w:hAnsiTheme="minorHAnsi" w:cstheme="minorHAnsi"/>
          <w:color w:val="000000" w:themeColor="text1"/>
          <w:szCs w:val="21"/>
        </w:rPr>
        <w:t>ayment</w:t>
      </w:r>
      <w:r>
        <w:rPr>
          <w:rFonts w:asciiTheme="minorHAnsi" w:hAnsiTheme="minorHAnsi" w:cstheme="minorHAnsi"/>
          <w:color w:val="000000" w:themeColor="text1"/>
          <w:szCs w:val="21"/>
        </w:rPr>
        <w:t>s</w:t>
      </w:r>
      <w:r w:rsidR="00163AC9">
        <w:rPr>
          <w:rFonts w:asciiTheme="minorHAnsi" w:hAnsiTheme="minorHAnsi" w:cstheme="minorHAnsi"/>
          <w:color w:val="000000" w:themeColor="text1"/>
          <w:szCs w:val="21"/>
        </w:rPr>
        <w:t xml:space="preserve"> and other non</w:t>
      </w:r>
      <w:r w:rsidR="00B04FCE">
        <w:rPr>
          <w:rFonts w:asciiTheme="minorHAnsi" w:hAnsiTheme="minorHAnsi" w:cstheme="minorHAnsi"/>
          <w:color w:val="000000" w:themeColor="text1"/>
          <w:szCs w:val="21"/>
        </w:rPr>
        <w:noBreakHyphen/>
      </w:r>
      <w:r w:rsidR="00163AC9">
        <w:rPr>
          <w:rFonts w:asciiTheme="minorHAnsi" w:hAnsiTheme="minorHAnsi" w:cstheme="minorHAnsi"/>
          <w:color w:val="000000" w:themeColor="text1"/>
          <w:szCs w:val="21"/>
        </w:rPr>
        <w:t>studying income support</w:t>
      </w:r>
      <w:r w:rsidR="00426138" w:rsidRPr="009D7B6D">
        <w:rPr>
          <w:rFonts w:asciiTheme="minorHAnsi" w:hAnsiTheme="minorHAnsi" w:cstheme="minorHAnsi"/>
          <w:color w:val="000000" w:themeColor="text1"/>
          <w:szCs w:val="21"/>
        </w:rPr>
        <w:t xml:space="preserve"> is lower.</w:t>
      </w:r>
      <w:r w:rsidR="00E2549B">
        <w:rPr>
          <w:rFonts w:asciiTheme="minorHAnsi" w:hAnsiTheme="minorHAnsi" w:cstheme="minorHAnsi"/>
          <w:color w:val="000000" w:themeColor="text1"/>
          <w:szCs w:val="21"/>
        </w:rPr>
        <w:t xml:space="preserve"> </w:t>
      </w:r>
      <w:r w:rsidR="00E2549B" w:rsidRPr="009D7B6D">
        <w:rPr>
          <w:rFonts w:asciiTheme="minorHAnsi" w:hAnsiTheme="minorHAnsi" w:cstheme="minorHAnsi"/>
          <w:color w:val="000000" w:themeColor="text1"/>
          <w:szCs w:val="21"/>
        </w:rPr>
        <w:t xml:space="preserve">The </w:t>
      </w:r>
      <w:r>
        <w:rPr>
          <w:rFonts w:asciiTheme="minorHAnsi" w:hAnsiTheme="minorHAnsi" w:cstheme="minorHAnsi"/>
          <w:color w:val="000000" w:themeColor="text1"/>
          <w:szCs w:val="21"/>
        </w:rPr>
        <w:t>lengthier</w:t>
      </w:r>
      <w:r w:rsidR="00E2549B" w:rsidRPr="009D7B6D">
        <w:rPr>
          <w:rFonts w:asciiTheme="minorHAnsi" w:hAnsiTheme="minorHAnsi" w:cstheme="minorHAnsi"/>
          <w:color w:val="000000" w:themeColor="text1"/>
          <w:szCs w:val="21"/>
        </w:rPr>
        <w:t xml:space="preserve"> </w:t>
      </w:r>
      <w:r w:rsidR="002935B2">
        <w:rPr>
          <w:rFonts w:asciiTheme="minorHAnsi" w:hAnsiTheme="minorHAnsi" w:cstheme="minorHAnsi"/>
          <w:color w:val="000000" w:themeColor="text1"/>
          <w:szCs w:val="21"/>
        </w:rPr>
        <w:t>time</w:t>
      </w:r>
      <w:r w:rsidR="00E2549B" w:rsidRPr="009D7B6D">
        <w:rPr>
          <w:rFonts w:asciiTheme="minorHAnsi" w:hAnsiTheme="minorHAnsi" w:cstheme="minorHAnsi"/>
          <w:color w:val="000000" w:themeColor="text1"/>
          <w:szCs w:val="21"/>
        </w:rPr>
        <w:t xml:space="preserve"> </w:t>
      </w:r>
      <w:r w:rsidR="002935B2">
        <w:rPr>
          <w:rFonts w:asciiTheme="minorHAnsi" w:hAnsiTheme="minorHAnsi" w:cstheme="minorHAnsi"/>
          <w:color w:val="000000" w:themeColor="text1"/>
          <w:szCs w:val="21"/>
        </w:rPr>
        <w:t>receiving</w:t>
      </w:r>
      <w:r w:rsidR="00E2549B" w:rsidRPr="009D7B6D">
        <w:rPr>
          <w:rFonts w:asciiTheme="minorHAnsi" w:hAnsiTheme="minorHAnsi" w:cstheme="minorHAnsi"/>
          <w:color w:val="000000" w:themeColor="text1"/>
          <w:szCs w:val="21"/>
        </w:rPr>
        <w:t xml:space="preserve"> studying payments for higher education </w:t>
      </w:r>
      <w:r>
        <w:rPr>
          <w:rFonts w:asciiTheme="minorHAnsi" w:hAnsiTheme="minorHAnsi" w:cstheme="minorHAnsi"/>
          <w:color w:val="000000" w:themeColor="text1"/>
          <w:szCs w:val="21"/>
        </w:rPr>
        <w:t xml:space="preserve">most </w:t>
      </w:r>
      <w:r w:rsidR="00E578A2">
        <w:rPr>
          <w:rFonts w:asciiTheme="minorHAnsi" w:hAnsiTheme="minorHAnsi" w:cstheme="minorHAnsi"/>
          <w:color w:val="000000" w:themeColor="text1"/>
          <w:szCs w:val="21"/>
        </w:rPr>
        <w:t>likely reflects</w:t>
      </w:r>
      <w:r w:rsidR="00E2549B" w:rsidRPr="009D7B6D">
        <w:rPr>
          <w:rFonts w:asciiTheme="minorHAnsi" w:hAnsiTheme="minorHAnsi" w:cstheme="minorHAnsi"/>
          <w:color w:val="000000" w:themeColor="text1"/>
          <w:szCs w:val="21"/>
        </w:rPr>
        <w:t xml:space="preserve"> the longer time </w:t>
      </w:r>
      <w:r>
        <w:rPr>
          <w:rFonts w:asciiTheme="minorHAnsi" w:hAnsiTheme="minorHAnsi" w:cstheme="minorHAnsi"/>
          <w:color w:val="000000" w:themeColor="text1"/>
          <w:szCs w:val="21"/>
        </w:rPr>
        <w:t>needed to complete this level of study</w:t>
      </w:r>
      <w:r w:rsidR="00E2549B" w:rsidRPr="009D7B6D">
        <w:rPr>
          <w:rFonts w:asciiTheme="minorHAnsi" w:hAnsiTheme="minorHAnsi" w:cstheme="minorHAnsi"/>
          <w:color w:val="000000" w:themeColor="text1"/>
          <w:szCs w:val="21"/>
        </w:rPr>
        <w:t>.</w:t>
      </w:r>
    </w:p>
    <w:p w14:paraId="2C2C0CF7" w14:textId="05724221" w:rsidR="00CF12C4" w:rsidRPr="00A13641" w:rsidRDefault="007855DD" w:rsidP="005E332C">
      <w:pPr>
        <w:pStyle w:val="FigureMainHeading"/>
      </w:pPr>
      <w:bookmarkStart w:id="25" w:name="_Ref153436300"/>
      <w:r>
        <w:t>Figure </w:t>
      </w:r>
      <w:r w:rsidR="00B80D45">
        <w:fldChar w:fldCharType="begin"/>
      </w:r>
      <w:r w:rsidR="00B80D45">
        <w:instrText xml:space="preserve"> STYLEREF 1 \s </w:instrText>
      </w:r>
      <w:r w:rsidR="00B80D45">
        <w:fldChar w:fldCharType="separate"/>
      </w:r>
      <w:r w:rsidR="00722C0A">
        <w:rPr>
          <w:noProof/>
        </w:rPr>
        <w:t>2</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3</w:t>
      </w:r>
      <w:r w:rsidR="00B80D45">
        <w:rPr>
          <w:noProof/>
        </w:rPr>
        <w:fldChar w:fldCharType="end"/>
      </w:r>
      <w:bookmarkEnd w:id="25"/>
      <w:r w:rsidR="005E332C">
        <w:t>:</w:t>
      </w:r>
      <w:r w:rsidR="005E332C">
        <w:tab/>
      </w:r>
      <w:r w:rsidR="00CF12C4" w:rsidRPr="00A049E8">
        <w:t xml:space="preserve">Average projected </w:t>
      </w:r>
      <w:r w:rsidR="00CF12C4">
        <w:t>time receiving income support</w:t>
      </w:r>
      <w:r w:rsidR="00CF12C4" w:rsidRPr="00A049E8">
        <w:t xml:space="preserve"> for people aged 18 to 21 over the next 5</w:t>
      </w:r>
      <w:r w:rsidR="00E46C6A">
        <w:t> year</w:t>
      </w:r>
      <w:r w:rsidR="00CF12C4" w:rsidRPr="00A049E8">
        <w:t>s</w:t>
      </w:r>
    </w:p>
    <w:p w14:paraId="43AE0ADC" w14:textId="57972EC0" w:rsidR="00B04FCE" w:rsidRDefault="00174DFE" w:rsidP="00A06FAA">
      <w:pPr>
        <w:pStyle w:val="ChartGraphic"/>
        <w:rPr>
          <w:noProof/>
        </w:rPr>
      </w:pPr>
      <w:r>
        <w:rPr>
          <w:noProof/>
        </w:rPr>
        <w:drawing>
          <wp:inline distT="0" distB="0" distL="0" distR="0" wp14:anchorId="6BCC9110" wp14:editId="1E7D4014">
            <wp:extent cx="4357370" cy="2994660"/>
            <wp:effectExtent l="0" t="0" r="5080" b="0"/>
            <wp:docPr id="227" name="Chart 227" descr="This chart shows the average projected time receiving income support for people aged 18 to 21 over the next 5 years, split by:&#10;&#10;- Those on working age payments: 2.6 years&#10;- Those on studying payments at school: 2.5 years&#10;- Those on studying payments for VET: 2 years&#10;- Those on studying payments for Higher Education: 2 years&#10;- Those not on income support: 0.3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4F5133" w14:textId="4B864774" w:rsidR="008E252C" w:rsidRPr="003525FA" w:rsidRDefault="00FD3C80" w:rsidP="00385671">
      <w:pPr>
        <w:pStyle w:val="Heading2notnumbered"/>
      </w:pPr>
      <w:r>
        <w:t xml:space="preserve">Over their working life, </w:t>
      </w:r>
      <w:bookmarkStart w:id="26" w:name="_Hlk155773662"/>
      <w:r>
        <w:t>y</w:t>
      </w:r>
      <w:r w:rsidR="00290E26">
        <w:t xml:space="preserve">oung adults </w:t>
      </w:r>
      <w:r w:rsidR="008E252C">
        <w:t>receiving working age payments are projected to spend 3.9</w:t>
      </w:r>
      <w:r w:rsidR="00F40387">
        <w:t> times</w:t>
      </w:r>
      <w:r w:rsidR="00204041">
        <w:t xml:space="preserve"> </w:t>
      </w:r>
      <w:r w:rsidR="008E252C">
        <w:t>long</w:t>
      </w:r>
      <w:r w:rsidR="00290E26">
        <w:t>er</w:t>
      </w:r>
      <w:r w:rsidR="008E252C">
        <w:t xml:space="preserve"> </w:t>
      </w:r>
      <w:r w:rsidR="00AC28F8">
        <w:t>(4.</w:t>
      </w:r>
      <w:r w:rsidR="00DD11DD">
        <w:t>6</w:t>
      </w:r>
      <w:r w:rsidR="007855DD">
        <w:t> more</w:t>
      </w:r>
      <w:r w:rsidR="00DD11DD">
        <w:t xml:space="preserve"> years</w:t>
      </w:r>
      <w:r w:rsidR="00AC28F8">
        <w:t xml:space="preserve">) </w:t>
      </w:r>
      <w:r w:rsidR="006D0065">
        <w:t xml:space="preserve">on working age </w:t>
      </w:r>
      <w:r w:rsidR="00231122">
        <w:t xml:space="preserve">payments </w:t>
      </w:r>
      <w:r w:rsidR="00231122" w:rsidDel="002C50F3">
        <w:t>than</w:t>
      </w:r>
      <w:r w:rsidR="008E252C">
        <w:t xml:space="preserve"> those receiving higher education </w:t>
      </w:r>
      <w:r w:rsidR="008E252C" w:rsidRPr="00344BF7">
        <w:t>paymen</w:t>
      </w:r>
      <w:r w:rsidR="008E252C">
        <w:t>ts</w:t>
      </w:r>
      <w:bookmarkEnd w:id="26"/>
      <w:r w:rsidR="008E252C">
        <w:t>, and 6.3</w:t>
      </w:r>
      <w:r w:rsidR="00F40387">
        <w:t> times</w:t>
      </w:r>
      <w:r w:rsidR="00204041">
        <w:t xml:space="preserve"> </w:t>
      </w:r>
      <w:r w:rsidR="00290E26">
        <w:t>longer</w:t>
      </w:r>
      <w:r w:rsidR="005C4203">
        <w:t xml:space="preserve"> (5.2</w:t>
      </w:r>
      <w:r w:rsidR="007855DD">
        <w:t> more</w:t>
      </w:r>
      <w:r w:rsidR="00DD11DD">
        <w:t xml:space="preserve"> years</w:t>
      </w:r>
      <w:r w:rsidR="005C4203">
        <w:t>)</w:t>
      </w:r>
      <w:r w:rsidR="00290E26">
        <w:t xml:space="preserve"> than</w:t>
      </w:r>
      <w:r w:rsidR="008E252C">
        <w:t xml:space="preserve"> those not receiving an</w:t>
      </w:r>
      <w:r w:rsidR="00992DE8">
        <w:t xml:space="preserve"> income support</w:t>
      </w:r>
      <w:r w:rsidR="008E252C">
        <w:t xml:space="preserve"> payment.</w:t>
      </w:r>
    </w:p>
    <w:p w14:paraId="69A097AA" w14:textId="3B87BE23" w:rsidR="00B04FCE" w:rsidRPr="0077323F" w:rsidRDefault="00DE23CF" w:rsidP="00682B5E">
      <w:r w:rsidRPr="002D0C79">
        <w:rPr>
          <w:rFonts w:asciiTheme="minorHAnsi" w:hAnsiTheme="minorHAnsi" w:cstheme="minorHAnsi"/>
          <w:color w:val="000000" w:themeColor="text1"/>
        </w:rPr>
        <w:fldChar w:fldCharType="begin"/>
      </w:r>
      <w:r w:rsidRPr="002D0C79">
        <w:rPr>
          <w:rFonts w:asciiTheme="minorHAnsi" w:hAnsiTheme="minorHAnsi" w:cstheme="minorHAnsi"/>
          <w:color w:val="000000" w:themeColor="text1"/>
        </w:rPr>
        <w:instrText xml:space="preserve"> REF _Ref153436041 \h </w:instrText>
      </w:r>
      <w:r w:rsidR="002D0C79" w:rsidRPr="002D0C79">
        <w:rPr>
          <w:rFonts w:asciiTheme="minorHAnsi" w:hAnsiTheme="minorHAnsi" w:cstheme="minorHAnsi"/>
          <w:color w:val="000000" w:themeColor="text1"/>
        </w:rPr>
        <w:instrText xml:space="preserve"> \* MERGEFORMAT </w:instrText>
      </w:r>
      <w:r w:rsidRPr="002D0C79">
        <w:rPr>
          <w:rFonts w:asciiTheme="minorHAnsi" w:hAnsiTheme="minorHAnsi" w:cstheme="minorHAnsi"/>
          <w:color w:val="000000" w:themeColor="text1"/>
        </w:rPr>
      </w:r>
      <w:r w:rsidRPr="002D0C79">
        <w:rPr>
          <w:rFonts w:asciiTheme="minorHAnsi" w:hAnsiTheme="minorHAnsi" w:cstheme="minorHAnsi"/>
          <w:color w:val="000000" w:themeColor="text1"/>
        </w:rPr>
        <w:fldChar w:fldCharType="separate"/>
      </w:r>
      <w:r w:rsidR="00722C0A" w:rsidRPr="00722C0A">
        <w:rPr>
          <w:rFonts w:asciiTheme="minorHAnsi" w:hAnsiTheme="minorHAnsi" w:cstheme="minorHAnsi"/>
        </w:rPr>
        <w:t>Figure 2.4</w:t>
      </w:r>
      <w:r w:rsidRPr="002D0C79">
        <w:rPr>
          <w:rFonts w:asciiTheme="minorHAnsi" w:hAnsiTheme="minorHAnsi" w:cstheme="minorHAnsi"/>
          <w:color w:val="000000" w:themeColor="text1"/>
        </w:rPr>
        <w:fldChar w:fldCharType="end"/>
      </w:r>
      <w:r>
        <w:rPr>
          <w:rFonts w:asciiTheme="minorHAnsi" w:hAnsiTheme="minorHAnsi" w:cstheme="minorHAnsi"/>
          <w:color w:val="000000" w:themeColor="text1"/>
        </w:rPr>
        <w:t xml:space="preserve"> </w:t>
      </w:r>
      <w:r w:rsidR="002F7B3D">
        <w:rPr>
          <w:rFonts w:asciiTheme="minorHAnsi" w:hAnsiTheme="minorHAnsi" w:cstheme="minorHAnsi"/>
          <w:color w:val="000000" w:themeColor="text1"/>
        </w:rPr>
        <w:t xml:space="preserve">shows </w:t>
      </w:r>
      <w:r w:rsidR="00914C0E">
        <w:rPr>
          <w:rFonts w:asciiTheme="minorHAnsi" w:hAnsiTheme="minorHAnsi" w:cstheme="minorHAnsi"/>
          <w:color w:val="000000" w:themeColor="text1"/>
        </w:rPr>
        <w:t xml:space="preserve">young adults </w:t>
      </w:r>
      <w:r w:rsidR="00682B5E">
        <w:rPr>
          <w:rFonts w:asciiTheme="minorHAnsi" w:hAnsiTheme="minorHAnsi" w:cstheme="minorHAnsi"/>
          <w:color w:val="000000" w:themeColor="text1"/>
        </w:rPr>
        <w:t xml:space="preserve">receiving working age payments are </w:t>
      </w:r>
      <w:r w:rsidR="002F7B3D">
        <w:rPr>
          <w:rFonts w:asciiTheme="minorHAnsi" w:hAnsiTheme="minorHAnsi" w:cstheme="minorHAnsi"/>
          <w:color w:val="000000" w:themeColor="text1"/>
        </w:rPr>
        <w:t xml:space="preserve">also </w:t>
      </w:r>
      <w:r w:rsidR="00682B5E">
        <w:rPr>
          <w:rFonts w:asciiTheme="minorHAnsi" w:hAnsiTheme="minorHAnsi" w:cstheme="minorHAnsi"/>
          <w:color w:val="000000" w:themeColor="text1"/>
        </w:rPr>
        <w:t>projected to spend 2.4</w:t>
      </w:r>
      <w:r w:rsidR="00F40387">
        <w:rPr>
          <w:rFonts w:asciiTheme="minorHAnsi" w:hAnsiTheme="minorHAnsi" w:cstheme="minorHAnsi"/>
          <w:color w:val="000000" w:themeColor="text1"/>
        </w:rPr>
        <w:t> times</w:t>
      </w:r>
      <w:r w:rsidR="00682B5E">
        <w:rPr>
          <w:rFonts w:asciiTheme="minorHAnsi" w:hAnsiTheme="minorHAnsi" w:cstheme="minorHAnsi"/>
          <w:color w:val="000000" w:themeColor="text1"/>
        </w:rPr>
        <w:t xml:space="preserve"> </w:t>
      </w:r>
      <w:r w:rsidR="00FD3C80">
        <w:rPr>
          <w:rFonts w:asciiTheme="minorHAnsi" w:hAnsiTheme="minorHAnsi" w:cstheme="minorHAnsi"/>
          <w:color w:val="000000" w:themeColor="text1"/>
        </w:rPr>
        <w:t>longer</w:t>
      </w:r>
      <w:r w:rsidR="00682B5E">
        <w:rPr>
          <w:rFonts w:asciiTheme="minorHAnsi" w:hAnsiTheme="minorHAnsi" w:cstheme="minorHAnsi"/>
          <w:color w:val="000000" w:themeColor="text1"/>
        </w:rPr>
        <w:t xml:space="preserve"> </w:t>
      </w:r>
      <w:r w:rsidR="005C4203">
        <w:rPr>
          <w:rFonts w:asciiTheme="minorHAnsi" w:hAnsiTheme="minorHAnsi" w:cstheme="minorHAnsi"/>
          <w:color w:val="000000" w:themeColor="text1"/>
        </w:rPr>
        <w:t>(7.3</w:t>
      </w:r>
      <w:r w:rsidR="007855DD">
        <w:rPr>
          <w:rFonts w:asciiTheme="minorHAnsi" w:hAnsiTheme="minorHAnsi" w:cstheme="minorHAnsi"/>
          <w:color w:val="000000" w:themeColor="text1"/>
        </w:rPr>
        <w:t> more</w:t>
      </w:r>
      <w:r w:rsidR="00DD11DD">
        <w:rPr>
          <w:rFonts w:asciiTheme="minorHAnsi" w:hAnsiTheme="minorHAnsi" w:cstheme="minorHAnsi"/>
          <w:color w:val="000000" w:themeColor="text1"/>
        </w:rPr>
        <w:t xml:space="preserve"> years</w:t>
      </w:r>
      <w:r w:rsidR="005C4203">
        <w:rPr>
          <w:rFonts w:asciiTheme="minorHAnsi" w:hAnsiTheme="minorHAnsi" w:cstheme="minorHAnsi"/>
          <w:color w:val="000000" w:themeColor="text1"/>
        </w:rPr>
        <w:t xml:space="preserve">) </w:t>
      </w:r>
      <w:r w:rsidR="00682B5E">
        <w:rPr>
          <w:rFonts w:asciiTheme="minorHAnsi" w:hAnsiTheme="minorHAnsi" w:cstheme="minorHAnsi"/>
          <w:color w:val="000000" w:themeColor="text1"/>
        </w:rPr>
        <w:t xml:space="preserve">receiving income support on average </w:t>
      </w:r>
      <w:r w:rsidR="00942D67">
        <w:rPr>
          <w:rFonts w:asciiTheme="minorHAnsi" w:hAnsiTheme="minorHAnsi" w:cstheme="minorHAnsi"/>
          <w:color w:val="000000" w:themeColor="text1"/>
        </w:rPr>
        <w:t>(12.6</w:t>
      </w:r>
      <w:r w:rsidR="00E46C6A">
        <w:rPr>
          <w:rFonts w:asciiTheme="minorHAnsi" w:hAnsiTheme="minorHAnsi" w:cstheme="minorHAnsi"/>
          <w:color w:val="000000" w:themeColor="text1"/>
        </w:rPr>
        <w:t> year</w:t>
      </w:r>
      <w:r w:rsidR="00942D67">
        <w:rPr>
          <w:rFonts w:asciiTheme="minorHAnsi" w:hAnsiTheme="minorHAnsi" w:cstheme="minorHAnsi"/>
          <w:color w:val="000000" w:themeColor="text1"/>
        </w:rPr>
        <w:t xml:space="preserve">s) </w:t>
      </w:r>
      <w:r w:rsidR="00FD3C80">
        <w:rPr>
          <w:rFonts w:asciiTheme="minorHAnsi" w:hAnsiTheme="minorHAnsi" w:cstheme="minorHAnsi"/>
          <w:color w:val="000000" w:themeColor="text1"/>
        </w:rPr>
        <w:t>than</w:t>
      </w:r>
      <w:r w:rsidR="00682B5E">
        <w:rPr>
          <w:rFonts w:asciiTheme="minorHAnsi" w:hAnsiTheme="minorHAnsi" w:cstheme="minorHAnsi"/>
          <w:color w:val="000000" w:themeColor="text1"/>
        </w:rPr>
        <w:t xml:space="preserve"> those receiving higher education payments</w:t>
      </w:r>
      <w:r w:rsidR="00942D67">
        <w:rPr>
          <w:rFonts w:asciiTheme="minorHAnsi" w:hAnsiTheme="minorHAnsi" w:cstheme="minorHAnsi"/>
          <w:color w:val="000000" w:themeColor="text1"/>
        </w:rPr>
        <w:t xml:space="preserve"> (5.3</w:t>
      </w:r>
      <w:r w:rsidR="00DD11DD">
        <w:rPr>
          <w:rFonts w:asciiTheme="minorHAnsi" w:hAnsiTheme="minorHAnsi" w:cstheme="minorHAnsi"/>
          <w:color w:val="000000" w:themeColor="text1"/>
        </w:rPr>
        <w:t xml:space="preserve"> </w:t>
      </w:r>
      <w:r w:rsidR="00942D67">
        <w:rPr>
          <w:rFonts w:asciiTheme="minorHAnsi" w:hAnsiTheme="minorHAnsi" w:cstheme="minorHAnsi"/>
          <w:color w:val="000000" w:themeColor="text1"/>
        </w:rPr>
        <w:t>years)</w:t>
      </w:r>
      <w:r w:rsidR="00682B5E">
        <w:rPr>
          <w:rFonts w:asciiTheme="minorHAnsi" w:hAnsiTheme="minorHAnsi" w:cstheme="minorHAnsi"/>
          <w:color w:val="000000" w:themeColor="text1"/>
        </w:rPr>
        <w:t>, and 4.9</w:t>
      </w:r>
      <w:r w:rsidR="00F40387">
        <w:rPr>
          <w:rFonts w:asciiTheme="minorHAnsi" w:hAnsiTheme="minorHAnsi" w:cstheme="minorHAnsi"/>
          <w:color w:val="000000" w:themeColor="text1"/>
        </w:rPr>
        <w:t> times</w:t>
      </w:r>
      <w:r w:rsidR="002719B2">
        <w:rPr>
          <w:rFonts w:asciiTheme="minorHAnsi" w:hAnsiTheme="minorHAnsi" w:cstheme="minorHAnsi"/>
          <w:color w:val="000000" w:themeColor="text1"/>
        </w:rPr>
        <w:t xml:space="preserve"> </w:t>
      </w:r>
      <w:r w:rsidR="00FD3C80">
        <w:rPr>
          <w:rFonts w:asciiTheme="minorHAnsi" w:hAnsiTheme="minorHAnsi" w:cstheme="minorHAnsi"/>
          <w:color w:val="000000" w:themeColor="text1"/>
        </w:rPr>
        <w:t>longer</w:t>
      </w:r>
      <w:r w:rsidR="002719B2">
        <w:rPr>
          <w:rFonts w:asciiTheme="minorHAnsi" w:hAnsiTheme="minorHAnsi" w:cstheme="minorHAnsi"/>
          <w:color w:val="000000" w:themeColor="text1"/>
        </w:rPr>
        <w:t xml:space="preserve"> </w:t>
      </w:r>
      <w:r w:rsidR="005C4203">
        <w:rPr>
          <w:rFonts w:asciiTheme="minorHAnsi" w:hAnsiTheme="minorHAnsi" w:cstheme="minorHAnsi"/>
          <w:color w:val="000000" w:themeColor="text1"/>
        </w:rPr>
        <w:t>(10</w:t>
      </w:r>
      <w:r w:rsidR="007855DD">
        <w:rPr>
          <w:rFonts w:asciiTheme="minorHAnsi" w:hAnsiTheme="minorHAnsi" w:cstheme="minorHAnsi"/>
          <w:color w:val="000000" w:themeColor="text1"/>
        </w:rPr>
        <w:t> more</w:t>
      </w:r>
      <w:r w:rsidR="00DD11DD">
        <w:rPr>
          <w:rFonts w:asciiTheme="minorHAnsi" w:hAnsiTheme="minorHAnsi" w:cstheme="minorHAnsi"/>
          <w:color w:val="000000" w:themeColor="text1"/>
        </w:rPr>
        <w:t xml:space="preserve"> years</w:t>
      </w:r>
      <w:r w:rsidR="005C4203">
        <w:rPr>
          <w:rFonts w:asciiTheme="minorHAnsi" w:hAnsiTheme="minorHAnsi" w:cstheme="minorHAnsi"/>
          <w:color w:val="000000" w:themeColor="text1"/>
        </w:rPr>
        <w:t xml:space="preserve">) </w:t>
      </w:r>
      <w:r w:rsidR="00FD3C80">
        <w:rPr>
          <w:rFonts w:asciiTheme="minorHAnsi" w:hAnsiTheme="minorHAnsi" w:cstheme="minorHAnsi"/>
          <w:color w:val="000000" w:themeColor="text1"/>
        </w:rPr>
        <w:t>than</w:t>
      </w:r>
      <w:r w:rsidR="00682B5E">
        <w:rPr>
          <w:rFonts w:asciiTheme="minorHAnsi" w:hAnsiTheme="minorHAnsi" w:cstheme="minorHAnsi"/>
          <w:color w:val="000000" w:themeColor="text1"/>
        </w:rPr>
        <w:t xml:space="preserve"> those </w:t>
      </w:r>
      <w:r w:rsidR="002F7B3D">
        <w:rPr>
          <w:rFonts w:asciiTheme="minorHAnsi" w:hAnsiTheme="minorHAnsi" w:cstheme="minorHAnsi"/>
          <w:color w:val="000000" w:themeColor="text1"/>
        </w:rPr>
        <w:t>not receiving</w:t>
      </w:r>
      <w:r w:rsidR="00682B5E">
        <w:rPr>
          <w:rFonts w:asciiTheme="minorHAnsi" w:hAnsiTheme="minorHAnsi" w:cstheme="minorHAnsi"/>
          <w:color w:val="000000" w:themeColor="text1"/>
        </w:rPr>
        <w:t xml:space="preserve"> an</w:t>
      </w:r>
      <w:r w:rsidR="00992DE8">
        <w:rPr>
          <w:rFonts w:asciiTheme="minorHAnsi" w:hAnsiTheme="minorHAnsi" w:cstheme="minorHAnsi"/>
          <w:color w:val="000000" w:themeColor="text1"/>
        </w:rPr>
        <w:t xml:space="preserve"> income support</w:t>
      </w:r>
      <w:r w:rsidR="00682B5E">
        <w:rPr>
          <w:rFonts w:asciiTheme="minorHAnsi" w:hAnsiTheme="minorHAnsi" w:cstheme="minorHAnsi"/>
          <w:color w:val="000000" w:themeColor="text1"/>
        </w:rPr>
        <w:t xml:space="preserve"> payment</w:t>
      </w:r>
      <w:r w:rsidR="00942D67">
        <w:rPr>
          <w:rFonts w:asciiTheme="minorHAnsi" w:hAnsiTheme="minorHAnsi" w:cstheme="minorHAnsi"/>
          <w:color w:val="000000" w:themeColor="text1"/>
        </w:rPr>
        <w:t xml:space="preserve"> (2.6</w:t>
      </w:r>
      <w:r w:rsidR="00E46C6A">
        <w:rPr>
          <w:rFonts w:asciiTheme="minorHAnsi" w:hAnsiTheme="minorHAnsi" w:cstheme="minorHAnsi"/>
          <w:color w:val="000000" w:themeColor="text1"/>
        </w:rPr>
        <w:t> year</w:t>
      </w:r>
      <w:r w:rsidR="00942D67">
        <w:rPr>
          <w:rFonts w:asciiTheme="minorHAnsi" w:hAnsiTheme="minorHAnsi" w:cstheme="minorHAnsi"/>
          <w:color w:val="000000" w:themeColor="text1"/>
        </w:rPr>
        <w:t>s)</w:t>
      </w:r>
      <w:r w:rsidR="00682B5E">
        <w:rPr>
          <w:rFonts w:asciiTheme="minorHAnsi" w:hAnsiTheme="minorHAnsi" w:cstheme="minorHAnsi"/>
          <w:color w:val="000000" w:themeColor="text1"/>
        </w:rPr>
        <w:t>.</w:t>
      </w:r>
      <w:r w:rsidR="002F7B3D">
        <w:rPr>
          <w:rFonts w:asciiTheme="minorHAnsi" w:hAnsiTheme="minorHAnsi" w:cstheme="minorHAnsi"/>
          <w:color w:val="000000" w:themeColor="text1"/>
        </w:rPr>
        <w:t xml:space="preserve"> </w:t>
      </w:r>
      <w:r w:rsidR="002F7B3D">
        <w:rPr>
          <w:rFonts w:asciiTheme="minorHAnsi" w:hAnsiTheme="minorHAnsi" w:cstheme="minorHAnsi"/>
          <w:color w:val="000000" w:themeColor="text1"/>
          <w:szCs w:val="21"/>
        </w:rPr>
        <w:t>Note people not receiving income support may be employed or studying but do not require studying payment support.</w:t>
      </w:r>
    </w:p>
    <w:p w14:paraId="49D0B766" w14:textId="767534A7" w:rsidR="00A2298C" w:rsidRPr="00A13641" w:rsidRDefault="007855DD" w:rsidP="005E332C">
      <w:pPr>
        <w:pStyle w:val="FigureMainHeading"/>
      </w:pPr>
      <w:bookmarkStart w:id="27" w:name="_Ref153436041"/>
      <w:r>
        <w:lastRenderedPageBreak/>
        <w:t>Figure </w:t>
      </w:r>
      <w:r w:rsidR="00B80D45">
        <w:fldChar w:fldCharType="begin"/>
      </w:r>
      <w:r w:rsidR="00B80D45">
        <w:instrText xml:space="preserve"> STYLEREF 1 \s </w:instrText>
      </w:r>
      <w:r w:rsidR="00B80D45">
        <w:fldChar w:fldCharType="separate"/>
      </w:r>
      <w:r w:rsidR="00722C0A">
        <w:rPr>
          <w:noProof/>
        </w:rPr>
        <w:t>2</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4</w:t>
      </w:r>
      <w:r w:rsidR="00B80D45">
        <w:rPr>
          <w:noProof/>
        </w:rPr>
        <w:fldChar w:fldCharType="end"/>
      </w:r>
      <w:bookmarkEnd w:id="27"/>
      <w:r w:rsidR="005E332C">
        <w:t>:</w:t>
      </w:r>
      <w:r w:rsidR="005E332C">
        <w:tab/>
      </w:r>
      <w:r w:rsidR="00A06FAA">
        <w:t>Average projected</w:t>
      </w:r>
      <w:r w:rsidR="00A06FAA" w:rsidRPr="002F7B3D">
        <w:t xml:space="preserve"> time </w:t>
      </w:r>
      <w:r w:rsidR="00A06FAA">
        <w:t>receiving</w:t>
      </w:r>
      <w:r w:rsidR="00A06FAA" w:rsidRPr="002F7B3D">
        <w:t xml:space="preserve"> income support before retirement age for people aged 18 to 21</w:t>
      </w:r>
    </w:p>
    <w:p w14:paraId="5F416CFC" w14:textId="38CC7A6D" w:rsidR="00B04FCE" w:rsidRDefault="0066114D" w:rsidP="00A06FAA">
      <w:pPr>
        <w:pStyle w:val="ChartGraphic"/>
        <w:rPr>
          <w:noProof/>
        </w:rPr>
      </w:pPr>
      <w:r>
        <w:rPr>
          <w:noProof/>
        </w:rPr>
        <w:drawing>
          <wp:inline distT="0" distB="0" distL="0" distR="0" wp14:anchorId="0F83DB2A" wp14:editId="0666E18B">
            <wp:extent cx="4319905" cy="3358515"/>
            <wp:effectExtent l="0" t="0" r="4445" b="0"/>
            <wp:docPr id="233" name="Chart 233" descr="This chart shows the average projected time receiving a) working age payments and b) total income support for people aged 18 to 21 over their pre-retirement lifetime, split by:&#10;&#10;- Those on working age payments: a) 6.2 years, b) 12.6 years&#10;- Those on studying payments at school: a) 3.8 years, b) 9.9 years&#10;- Those on studying payments for VET: a) 2.6 years, b) 7.2 years&#10;- Those on studying payments for Higher Education: a) 1.6 years, b) 5.3 years&#10;- Those not on income support: a) 1 year, b) 2.6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845A16" w14:textId="091BB698" w:rsidR="00B04FCE" w:rsidRDefault="00FD3C80" w:rsidP="00905C52">
      <w:pPr>
        <w:pStyle w:val="Heading2notnumbered"/>
      </w:pPr>
      <w:r>
        <w:t>Young adults receiving working age payments are projected to spend 10</w:t>
      </w:r>
      <w:r w:rsidR="00E46C6A">
        <w:t> year</w:t>
      </w:r>
      <w:r>
        <w:t>s longer on income support on average, compared to those not on income support</w:t>
      </w:r>
      <w:r w:rsidR="002914EC" w:rsidRPr="00C61200">
        <w:t>.</w:t>
      </w:r>
    </w:p>
    <w:p w14:paraId="25A928CF" w14:textId="0B13F869" w:rsidR="00B04FCE" w:rsidRDefault="00BA68D5" w:rsidP="00180D2E">
      <w:pPr>
        <w:rPr>
          <w:rFonts w:asciiTheme="minorHAnsi" w:hAnsiTheme="minorHAnsi" w:cstheme="minorHAnsi"/>
          <w:color w:val="000000" w:themeColor="text1"/>
          <w:szCs w:val="21"/>
        </w:rPr>
      </w:pPr>
      <w:r>
        <w:rPr>
          <w:rFonts w:asciiTheme="minorHAnsi" w:hAnsiTheme="minorHAnsi" w:cstheme="minorHAnsi"/>
          <w:color w:val="000000" w:themeColor="text1"/>
          <w:szCs w:val="21"/>
        </w:rPr>
        <w:fldChar w:fldCharType="begin"/>
      </w:r>
      <w:r>
        <w:rPr>
          <w:rFonts w:asciiTheme="minorHAnsi" w:hAnsiTheme="minorHAnsi" w:cstheme="minorHAnsi"/>
          <w:color w:val="000000" w:themeColor="text1"/>
          <w:szCs w:val="21"/>
        </w:rPr>
        <w:instrText xml:space="preserve"> REF _Ref153284711 \h  \* MERGEFORMAT </w:instrText>
      </w:r>
      <w:r>
        <w:rPr>
          <w:rFonts w:asciiTheme="minorHAnsi" w:hAnsiTheme="minorHAnsi" w:cstheme="minorHAnsi"/>
          <w:color w:val="000000" w:themeColor="text1"/>
          <w:szCs w:val="21"/>
        </w:rPr>
      </w:r>
      <w:r>
        <w:rPr>
          <w:rFonts w:asciiTheme="minorHAnsi" w:hAnsiTheme="minorHAnsi" w:cstheme="minorHAnsi"/>
          <w:color w:val="000000" w:themeColor="text1"/>
          <w:szCs w:val="21"/>
        </w:rPr>
        <w:fldChar w:fldCharType="separate"/>
      </w:r>
      <w:r w:rsidR="00722C0A" w:rsidRPr="00722C0A">
        <w:rPr>
          <w:rFonts w:asciiTheme="minorHAnsi" w:hAnsiTheme="minorHAnsi" w:cstheme="minorHAnsi"/>
          <w:color w:val="000000" w:themeColor="text1"/>
          <w:szCs w:val="21"/>
        </w:rPr>
        <w:t>Figure 2.5</w:t>
      </w:r>
      <w:r>
        <w:rPr>
          <w:rFonts w:asciiTheme="minorHAnsi" w:hAnsiTheme="minorHAnsi" w:cstheme="minorHAnsi"/>
          <w:color w:val="000000" w:themeColor="text1"/>
          <w:szCs w:val="21"/>
        </w:rPr>
        <w:fldChar w:fldCharType="end"/>
      </w:r>
      <w:r>
        <w:rPr>
          <w:rFonts w:asciiTheme="minorHAnsi" w:hAnsiTheme="minorHAnsi" w:cstheme="minorHAnsi"/>
          <w:color w:val="000000" w:themeColor="text1"/>
          <w:szCs w:val="21"/>
        </w:rPr>
        <w:t xml:space="preserve"> </w:t>
      </w:r>
      <w:r w:rsidR="002C7A46">
        <w:rPr>
          <w:rFonts w:asciiTheme="minorHAnsi" w:hAnsiTheme="minorHAnsi" w:cstheme="minorHAnsi"/>
          <w:color w:val="000000" w:themeColor="text1"/>
          <w:szCs w:val="21"/>
        </w:rPr>
        <w:t>shows y</w:t>
      </w:r>
      <w:r w:rsidR="00FD3C80">
        <w:rPr>
          <w:rFonts w:asciiTheme="minorHAnsi" w:hAnsiTheme="minorHAnsi" w:cstheme="minorHAnsi"/>
          <w:color w:val="000000" w:themeColor="text1"/>
          <w:szCs w:val="21"/>
        </w:rPr>
        <w:t>oung adults</w:t>
      </w:r>
      <w:r w:rsidR="00FD3C80" w:rsidRPr="009D7B6D">
        <w:rPr>
          <w:rFonts w:asciiTheme="minorHAnsi" w:hAnsiTheme="minorHAnsi" w:cstheme="minorHAnsi"/>
          <w:color w:val="000000" w:themeColor="text1"/>
          <w:szCs w:val="21"/>
        </w:rPr>
        <w:t xml:space="preserve"> </w:t>
      </w:r>
      <w:r w:rsidR="00180D2E" w:rsidRPr="009D7B6D">
        <w:rPr>
          <w:rFonts w:asciiTheme="minorHAnsi" w:hAnsiTheme="minorHAnsi" w:cstheme="minorHAnsi"/>
          <w:color w:val="000000" w:themeColor="text1"/>
          <w:szCs w:val="21"/>
        </w:rPr>
        <w:t xml:space="preserve">on </w:t>
      </w:r>
      <w:r w:rsidR="00C2276E" w:rsidRPr="009D7B6D">
        <w:rPr>
          <w:rFonts w:asciiTheme="minorHAnsi" w:hAnsiTheme="minorHAnsi" w:cstheme="minorHAnsi"/>
          <w:color w:val="000000" w:themeColor="text1"/>
          <w:szCs w:val="21"/>
        </w:rPr>
        <w:t>working age</w:t>
      </w:r>
      <w:r w:rsidR="00180D2E" w:rsidRPr="009D7B6D">
        <w:rPr>
          <w:rFonts w:asciiTheme="minorHAnsi" w:hAnsiTheme="minorHAnsi" w:cstheme="minorHAnsi"/>
          <w:color w:val="000000" w:themeColor="text1"/>
          <w:szCs w:val="21"/>
        </w:rPr>
        <w:t xml:space="preserve"> payment</w:t>
      </w:r>
      <w:r w:rsidR="00FD3C80">
        <w:rPr>
          <w:rFonts w:asciiTheme="minorHAnsi" w:hAnsiTheme="minorHAnsi" w:cstheme="minorHAnsi"/>
          <w:color w:val="000000" w:themeColor="text1"/>
          <w:szCs w:val="21"/>
        </w:rPr>
        <w:t>s</w:t>
      </w:r>
      <w:r w:rsidR="00180D2E" w:rsidRPr="009D7B6D">
        <w:rPr>
          <w:rFonts w:asciiTheme="minorHAnsi" w:hAnsiTheme="minorHAnsi" w:cstheme="minorHAnsi"/>
          <w:color w:val="000000" w:themeColor="text1"/>
          <w:szCs w:val="21"/>
        </w:rPr>
        <w:t xml:space="preserve"> </w:t>
      </w:r>
      <w:r w:rsidR="00FD3C80">
        <w:rPr>
          <w:rFonts w:asciiTheme="minorHAnsi" w:hAnsiTheme="minorHAnsi" w:cstheme="minorHAnsi"/>
          <w:color w:val="000000" w:themeColor="text1"/>
          <w:szCs w:val="21"/>
        </w:rPr>
        <w:t>at 30</w:t>
      </w:r>
      <w:r w:rsidR="00E46C6A">
        <w:rPr>
          <w:rFonts w:asciiTheme="minorHAnsi" w:hAnsiTheme="minorHAnsi" w:cstheme="minorHAnsi"/>
          <w:color w:val="000000" w:themeColor="text1"/>
          <w:szCs w:val="21"/>
        </w:rPr>
        <w:t> June </w:t>
      </w:r>
      <w:r w:rsidR="00FD3C80">
        <w:rPr>
          <w:rFonts w:asciiTheme="minorHAnsi" w:hAnsiTheme="minorHAnsi" w:cstheme="minorHAnsi"/>
          <w:color w:val="000000" w:themeColor="text1"/>
          <w:szCs w:val="21"/>
        </w:rPr>
        <w:t>2022</w:t>
      </w:r>
      <w:r w:rsidR="00180D2E" w:rsidRPr="009D7B6D">
        <w:rPr>
          <w:rFonts w:asciiTheme="minorHAnsi" w:hAnsiTheme="minorHAnsi" w:cstheme="minorHAnsi"/>
          <w:color w:val="000000" w:themeColor="text1"/>
          <w:szCs w:val="21"/>
        </w:rPr>
        <w:t xml:space="preserve"> have the highest average </w:t>
      </w:r>
      <w:r w:rsidR="001976B0">
        <w:rPr>
          <w:rFonts w:asciiTheme="minorHAnsi" w:hAnsiTheme="minorHAnsi" w:cstheme="minorHAnsi"/>
          <w:color w:val="000000" w:themeColor="text1"/>
          <w:szCs w:val="21"/>
        </w:rPr>
        <w:t>L</w:t>
      </w:r>
      <w:r w:rsidR="00180D2E" w:rsidRPr="009D7B6D">
        <w:rPr>
          <w:rFonts w:asciiTheme="minorHAnsi" w:hAnsiTheme="minorHAnsi" w:cstheme="minorHAnsi"/>
          <w:color w:val="000000" w:themeColor="text1"/>
          <w:szCs w:val="21"/>
        </w:rPr>
        <w:t xml:space="preserve">ifetime </w:t>
      </w:r>
      <w:r w:rsidR="001976B0">
        <w:rPr>
          <w:rFonts w:asciiTheme="minorHAnsi" w:hAnsiTheme="minorHAnsi" w:cstheme="minorHAnsi"/>
          <w:color w:val="000000" w:themeColor="text1"/>
          <w:szCs w:val="21"/>
        </w:rPr>
        <w:t>C</w:t>
      </w:r>
      <w:r w:rsidR="00180D2E" w:rsidRPr="009D7B6D">
        <w:rPr>
          <w:rFonts w:asciiTheme="minorHAnsi" w:hAnsiTheme="minorHAnsi" w:cstheme="minorHAnsi"/>
          <w:color w:val="000000" w:themeColor="text1"/>
          <w:szCs w:val="21"/>
        </w:rPr>
        <w:t>ost</w:t>
      </w:r>
      <w:r w:rsidR="005B5624" w:rsidRPr="009D7B6D">
        <w:rPr>
          <w:rFonts w:asciiTheme="minorHAnsi" w:hAnsiTheme="minorHAnsi" w:cstheme="minorHAnsi"/>
          <w:color w:val="000000" w:themeColor="text1"/>
          <w:szCs w:val="21"/>
        </w:rPr>
        <w:t xml:space="preserve"> of $402,000</w:t>
      </w:r>
      <w:r w:rsidR="00180D2E" w:rsidRPr="009D7B6D">
        <w:rPr>
          <w:rFonts w:asciiTheme="minorHAnsi" w:hAnsiTheme="minorHAnsi" w:cstheme="minorHAnsi"/>
          <w:color w:val="000000" w:themeColor="text1"/>
          <w:szCs w:val="21"/>
        </w:rPr>
        <w:t xml:space="preserve">, </w:t>
      </w:r>
      <w:r w:rsidR="00FD3C80">
        <w:rPr>
          <w:rFonts w:asciiTheme="minorHAnsi" w:hAnsiTheme="minorHAnsi" w:cstheme="minorHAnsi"/>
          <w:color w:val="000000" w:themeColor="text1"/>
          <w:szCs w:val="21"/>
        </w:rPr>
        <w:t xml:space="preserve">when compared to those on studying payments or not on income support. The cost is higher for this group </w:t>
      </w:r>
      <w:r w:rsidR="00180D2E" w:rsidRPr="009D7B6D">
        <w:rPr>
          <w:rFonts w:asciiTheme="minorHAnsi" w:hAnsiTheme="minorHAnsi" w:cstheme="minorHAnsi"/>
          <w:color w:val="000000" w:themeColor="text1"/>
          <w:szCs w:val="21"/>
        </w:rPr>
        <w:t xml:space="preserve">as they are projected to spend </w:t>
      </w:r>
      <w:r w:rsidR="00F8513F">
        <w:rPr>
          <w:rFonts w:asciiTheme="minorHAnsi" w:hAnsiTheme="minorHAnsi" w:cstheme="minorHAnsi"/>
          <w:color w:val="000000" w:themeColor="text1"/>
          <w:szCs w:val="21"/>
        </w:rPr>
        <w:t xml:space="preserve">up to </w:t>
      </w:r>
      <w:r w:rsidR="00D2712A" w:rsidRPr="009D7B6D">
        <w:rPr>
          <w:rFonts w:asciiTheme="minorHAnsi" w:hAnsiTheme="minorHAnsi" w:cstheme="minorHAnsi"/>
          <w:color w:val="000000" w:themeColor="text1"/>
          <w:szCs w:val="21"/>
        </w:rPr>
        <w:t>10</w:t>
      </w:r>
      <w:r w:rsidR="00E46C6A">
        <w:rPr>
          <w:rFonts w:asciiTheme="minorHAnsi" w:hAnsiTheme="minorHAnsi" w:cstheme="minorHAnsi"/>
          <w:color w:val="000000" w:themeColor="text1"/>
          <w:szCs w:val="21"/>
        </w:rPr>
        <w:t> year</w:t>
      </w:r>
      <w:r w:rsidR="00D2712A" w:rsidRPr="009D7B6D">
        <w:rPr>
          <w:rFonts w:asciiTheme="minorHAnsi" w:hAnsiTheme="minorHAnsi" w:cstheme="minorHAnsi"/>
          <w:color w:val="000000" w:themeColor="text1"/>
          <w:szCs w:val="21"/>
        </w:rPr>
        <w:t xml:space="preserve">s longer </w:t>
      </w:r>
      <w:r w:rsidR="006A49EB">
        <w:rPr>
          <w:rFonts w:asciiTheme="minorHAnsi" w:hAnsiTheme="minorHAnsi" w:cstheme="minorHAnsi"/>
          <w:color w:val="000000" w:themeColor="text1"/>
          <w:szCs w:val="21"/>
        </w:rPr>
        <w:t>receiving</w:t>
      </w:r>
      <w:r w:rsidR="00D2712A" w:rsidRPr="009D7B6D">
        <w:rPr>
          <w:rFonts w:asciiTheme="minorHAnsi" w:hAnsiTheme="minorHAnsi" w:cstheme="minorHAnsi"/>
          <w:color w:val="000000" w:themeColor="text1"/>
          <w:szCs w:val="21"/>
        </w:rPr>
        <w:t xml:space="preserve"> </w:t>
      </w:r>
      <w:r w:rsidR="00180D2E" w:rsidRPr="009D7B6D">
        <w:rPr>
          <w:rFonts w:asciiTheme="minorHAnsi" w:hAnsiTheme="minorHAnsi" w:cstheme="minorHAnsi"/>
          <w:color w:val="000000" w:themeColor="text1"/>
          <w:szCs w:val="21"/>
        </w:rPr>
        <w:t>income support</w:t>
      </w:r>
      <w:r w:rsidR="00D2712A" w:rsidRPr="009D7B6D">
        <w:rPr>
          <w:rFonts w:asciiTheme="minorHAnsi" w:hAnsiTheme="minorHAnsi" w:cstheme="minorHAnsi"/>
          <w:color w:val="000000" w:themeColor="text1"/>
          <w:szCs w:val="21"/>
        </w:rPr>
        <w:t xml:space="preserve"> on average, compared to people </w:t>
      </w:r>
      <w:r w:rsidR="00241EF2">
        <w:rPr>
          <w:rFonts w:asciiTheme="minorHAnsi" w:hAnsiTheme="minorHAnsi" w:cstheme="minorHAnsi"/>
          <w:color w:val="000000" w:themeColor="text1"/>
          <w:szCs w:val="21"/>
        </w:rPr>
        <w:t>receiving</w:t>
      </w:r>
      <w:r w:rsidR="00D2712A" w:rsidRPr="009D7B6D">
        <w:rPr>
          <w:rFonts w:asciiTheme="minorHAnsi" w:hAnsiTheme="minorHAnsi" w:cstheme="minorHAnsi"/>
          <w:color w:val="000000" w:themeColor="text1"/>
          <w:szCs w:val="21"/>
        </w:rPr>
        <w:t xml:space="preserve"> </w:t>
      </w:r>
      <w:r w:rsidR="005D65FC">
        <w:rPr>
          <w:rFonts w:asciiTheme="minorHAnsi" w:hAnsiTheme="minorHAnsi" w:cstheme="minorHAnsi"/>
          <w:color w:val="000000" w:themeColor="text1"/>
          <w:szCs w:val="21"/>
        </w:rPr>
        <w:t>studying payments</w:t>
      </w:r>
      <w:r w:rsidR="00D2712A" w:rsidRPr="009D7B6D">
        <w:rPr>
          <w:rFonts w:asciiTheme="minorHAnsi" w:hAnsiTheme="minorHAnsi" w:cstheme="minorHAnsi"/>
          <w:color w:val="000000" w:themeColor="text1"/>
          <w:szCs w:val="21"/>
        </w:rPr>
        <w:t xml:space="preserve"> or not </w:t>
      </w:r>
      <w:r w:rsidR="00241EF2">
        <w:rPr>
          <w:rFonts w:asciiTheme="minorHAnsi" w:hAnsiTheme="minorHAnsi" w:cstheme="minorHAnsi"/>
          <w:color w:val="000000" w:themeColor="text1"/>
          <w:szCs w:val="21"/>
        </w:rPr>
        <w:t>receiving</w:t>
      </w:r>
      <w:r w:rsidR="00D2712A" w:rsidRPr="009D7B6D">
        <w:rPr>
          <w:rFonts w:asciiTheme="minorHAnsi" w:hAnsiTheme="minorHAnsi" w:cstheme="minorHAnsi"/>
          <w:color w:val="000000" w:themeColor="text1"/>
          <w:szCs w:val="21"/>
        </w:rPr>
        <w:t xml:space="preserve"> income support</w:t>
      </w:r>
      <w:r w:rsidR="00180D2E" w:rsidRPr="009D7B6D">
        <w:rPr>
          <w:rFonts w:asciiTheme="minorHAnsi" w:hAnsiTheme="minorHAnsi" w:cstheme="minorHAnsi"/>
          <w:color w:val="000000" w:themeColor="text1"/>
          <w:szCs w:val="21"/>
        </w:rPr>
        <w:t>.</w:t>
      </w:r>
    </w:p>
    <w:p w14:paraId="467CBE51" w14:textId="77777777" w:rsidR="00B04FCE" w:rsidRDefault="00E578A2" w:rsidP="00180D2E">
      <w:pPr>
        <w:rPr>
          <w:noProof/>
        </w:rPr>
      </w:pPr>
      <w:r>
        <w:rPr>
          <w:rFonts w:asciiTheme="minorHAnsi" w:hAnsiTheme="minorHAnsi" w:cstheme="minorHAnsi"/>
          <w:color w:val="000000" w:themeColor="text1"/>
          <w:szCs w:val="21"/>
        </w:rPr>
        <w:t xml:space="preserve">Note the longer </w:t>
      </w:r>
      <w:r w:rsidR="005D65FC">
        <w:rPr>
          <w:rFonts w:asciiTheme="minorHAnsi" w:hAnsiTheme="minorHAnsi" w:cstheme="minorHAnsi"/>
          <w:color w:val="000000" w:themeColor="text1"/>
          <w:szCs w:val="21"/>
        </w:rPr>
        <w:t>projected time</w:t>
      </w:r>
      <w:r>
        <w:rPr>
          <w:rFonts w:asciiTheme="minorHAnsi" w:hAnsiTheme="minorHAnsi" w:cstheme="minorHAnsi"/>
          <w:color w:val="000000" w:themeColor="text1"/>
          <w:szCs w:val="21"/>
        </w:rPr>
        <w:t xml:space="preserve"> receiving income support</w:t>
      </w:r>
      <w:r w:rsidR="00402E6A">
        <w:rPr>
          <w:rFonts w:asciiTheme="minorHAnsi" w:hAnsiTheme="minorHAnsi" w:cstheme="minorHAnsi"/>
          <w:color w:val="000000" w:themeColor="text1"/>
          <w:szCs w:val="21"/>
        </w:rPr>
        <w:t xml:space="preserve"> and associated higher average </w:t>
      </w:r>
      <w:r w:rsidR="001976B0">
        <w:rPr>
          <w:rFonts w:asciiTheme="minorHAnsi" w:hAnsiTheme="minorHAnsi" w:cstheme="minorHAnsi"/>
          <w:color w:val="000000" w:themeColor="text1"/>
          <w:szCs w:val="21"/>
        </w:rPr>
        <w:t>L</w:t>
      </w:r>
      <w:r w:rsidR="00402E6A">
        <w:rPr>
          <w:rFonts w:asciiTheme="minorHAnsi" w:hAnsiTheme="minorHAnsi" w:cstheme="minorHAnsi"/>
          <w:color w:val="000000" w:themeColor="text1"/>
          <w:szCs w:val="21"/>
        </w:rPr>
        <w:t xml:space="preserve">ifetime </w:t>
      </w:r>
      <w:r w:rsidR="001976B0">
        <w:rPr>
          <w:rFonts w:asciiTheme="minorHAnsi" w:hAnsiTheme="minorHAnsi" w:cstheme="minorHAnsi"/>
          <w:color w:val="000000" w:themeColor="text1"/>
          <w:szCs w:val="21"/>
        </w:rPr>
        <w:t>C</w:t>
      </w:r>
      <w:r w:rsidR="00402E6A">
        <w:rPr>
          <w:rFonts w:asciiTheme="minorHAnsi" w:hAnsiTheme="minorHAnsi" w:cstheme="minorHAnsi"/>
          <w:color w:val="000000" w:themeColor="text1"/>
          <w:szCs w:val="21"/>
        </w:rPr>
        <w:t xml:space="preserve">ost for </w:t>
      </w:r>
      <w:r w:rsidR="00974E99">
        <w:rPr>
          <w:rFonts w:asciiTheme="minorHAnsi" w:hAnsiTheme="minorHAnsi" w:cstheme="minorHAnsi"/>
          <w:color w:val="000000" w:themeColor="text1"/>
          <w:szCs w:val="21"/>
        </w:rPr>
        <w:t xml:space="preserve">people receiving </w:t>
      </w:r>
      <w:r w:rsidR="00F73A50">
        <w:rPr>
          <w:rFonts w:asciiTheme="minorHAnsi" w:hAnsiTheme="minorHAnsi" w:cstheme="minorHAnsi"/>
          <w:color w:val="000000" w:themeColor="text1"/>
          <w:szCs w:val="21"/>
        </w:rPr>
        <w:t>s</w:t>
      </w:r>
      <w:r w:rsidR="00402E6A">
        <w:rPr>
          <w:rFonts w:asciiTheme="minorHAnsi" w:hAnsiTheme="minorHAnsi" w:cstheme="minorHAnsi"/>
          <w:color w:val="000000" w:themeColor="text1"/>
          <w:szCs w:val="21"/>
        </w:rPr>
        <w:t>tudy</w:t>
      </w:r>
      <w:r w:rsidR="005D65FC">
        <w:rPr>
          <w:rFonts w:asciiTheme="minorHAnsi" w:hAnsiTheme="minorHAnsi" w:cstheme="minorHAnsi"/>
          <w:color w:val="000000" w:themeColor="text1"/>
          <w:szCs w:val="21"/>
        </w:rPr>
        <w:t>ing</w:t>
      </w:r>
      <w:r w:rsidR="00402E6A">
        <w:rPr>
          <w:rFonts w:asciiTheme="minorHAnsi" w:hAnsiTheme="minorHAnsi" w:cstheme="minorHAnsi"/>
          <w:color w:val="000000" w:themeColor="text1"/>
          <w:szCs w:val="21"/>
        </w:rPr>
        <w:t xml:space="preserve"> </w:t>
      </w:r>
      <w:r w:rsidR="00F73A50">
        <w:rPr>
          <w:rFonts w:asciiTheme="minorHAnsi" w:hAnsiTheme="minorHAnsi" w:cstheme="minorHAnsi"/>
          <w:color w:val="000000" w:themeColor="text1"/>
          <w:szCs w:val="21"/>
        </w:rPr>
        <w:t>p</w:t>
      </w:r>
      <w:r w:rsidR="00402E6A">
        <w:rPr>
          <w:rFonts w:asciiTheme="minorHAnsi" w:hAnsiTheme="minorHAnsi" w:cstheme="minorHAnsi"/>
          <w:color w:val="000000" w:themeColor="text1"/>
          <w:szCs w:val="21"/>
        </w:rPr>
        <w:t>ayment</w:t>
      </w:r>
      <w:r w:rsidR="00974E99">
        <w:rPr>
          <w:rFonts w:asciiTheme="minorHAnsi" w:hAnsiTheme="minorHAnsi" w:cstheme="minorHAnsi"/>
          <w:color w:val="000000" w:themeColor="text1"/>
          <w:szCs w:val="21"/>
        </w:rPr>
        <w:t>s</w:t>
      </w:r>
      <w:r w:rsidR="00402E6A">
        <w:rPr>
          <w:rFonts w:asciiTheme="minorHAnsi" w:hAnsiTheme="minorHAnsi" w:cstheme="minorHAnsi"/>
          <w:color w:val="000000" w:themeColor="text1"/>
          <w:szCs w:val="21"/>
        </w:rPr>
        <w:t xml:space="preserve"> </w:t>
      </w:r>
      <w:r w:rsidR="00974E99">
        <w:rPr>
          <w:rFonts w:asciiTheme="minorHAnsi" w:hAnsiTheme="minorHAnsi" w:cstheme="minorHAnsi"/>
          <w:color w:val="000000" w:themeColor="text1"/>
          <w:szCs w:val="21"/>
        </w:rPr>
        <w:t>who are</w:t>
      </w:r>
      <w:r w:rsidR="00402E6A">
        <w:rPr>
          <w:rFonts w:asciiTheme="minorHAnsi" w:hAnsiTheme="minorHAnsi" w:cstheme="minorHAnsi"/>
          <w:color w:val="000000" w:themeColor="text1"/>
          <w:szCs w:val="21"/>
        </w:rPr>
        <w:t xml:space="preserve"> in school is due in part to their younger age</w:t>
      </w:r>
      <w:r w:rsidR="005D65FC">
        <w:rPr>
          <w:rFonts w:asciiTheme="minorHAnsi" w:hAnsiTheme="minorHAnsi" w:cstheme="minorHAnsi"/>
          <w:color w:val="000000" w:themeColor="text1"/>
          <w:szCs w:val="21"/>
        </w:rPr>
        <w:t xml:space="preserve"> and, therefore, longer potential lifetime receiving payments</w:t>
      </w:r>
      <w:r w:rsidR="00402E6A">
        <w:rPr>
          <w:rFonts w:asciiTheme="minorHAnsi" w:hAnsiTheme="minorHAnsi" w:cstheme="minorHAnsi"/>
          <w:color w:val="000000" w:themeColor="text1"/>
          <w:szCs w:val="21"/>
        </w:rPr>
        <w:t>.</w:t>
      </w:r>
    </w:p>
    <w:p w14:paraId="6486F4DE" w14:textId="74A8CB2E" w:rsidR="00B04FCE" w:rsidRDefault="007855DD" w:rsidP="005E332C">
      <w:pPr>
        <w:pStyle w:val="FigureMainHeading"/>
      </w:pPr>
      <w:bookmarkStart w:id="28" w:name="_Ref153284711"/>
      <w:r>
        <w:t>Figure </w:t>
      </w:r>
      <w:r w:rsidR="00B80D45">
        <w:fldChar w:fldCharType="begin"/>
      </w:r>
      <w:r w:rsidR="00B80D45">
        <w:instrText xml:space="preserve"> STYLEREF 1 \s </w:instrText>
      </w:r>
      <w:r w:rsidR="00B80D45">
        <w:fldChar w:fldCharType="separate"/>
      </w:r>
      <w:r w:rsidR="00722C0A">
        <w:rPr>
          <w:noProof/>
        </w:rPr>
        <w:t>2</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5</w:t>
      </w:r>
      <w:r w:rsidR="00B80D45">
        <w:rPr>
          <w:noProof/>
        </w:rPr>
        <w:fldChar w:fldCharType="end"/>
      </w:r>
      <w:bookmarkEnd w:id="28"/>
      <w:r w:rsidR="005E332C">
        <w:t>:</w:t>
      </w:r>
      <w:r w:rsidR="005E332C">
        <w:tab/>
      </w:r>
      <w:r w:rsidR="00BA68D5" w:rsidRPr="00A049E8">
        <w:t xml:space="preserve">Average </w:t>
      </w:r>
      <w:r w:rsidR="005D439A">
        <w:t>p</w:t>
      </w:r>
      <w:r w:rsidR="00BA68D5" w:rsidRPr="00A049E8">
        <w:t>rojected lifetime cost fo</w:t>
      </w:r>
      <w:r w:rsidR="00BA68D5">
        <w:t>r people aged 18 to 21</w:t>
      </w:r>
    </w:p>
    <w:p w14:paraId="139840AB" w14:textId="43DF31D1" w:rsidR="00F57383" w:rsidRDefault="00956A2E" w:rsidP="00A06FAA">
      <w:pPr>
        <w:pStyle w:val="ChartGraphic"/>
      </w:pPr>
      <w:r>
        <w:rPr>
          <w:noProof/>
        </w:rPr>
        <w:drawing>
          <wp:inline distT="0" distB="0" distL="0" distR="0" wp14:anchorId="4418302A" wp14:editId="0E58B19C">
            <wp:extent cx="4319905" cy="2247900"/>
            <wp:effectExtent l="0" t="0" r="4445" b="0"/>
            <wp:docPr id="318" name="Chart 318" descr="This chart shows the average projected lifetime cost for people aged 18 to 21, split by:&#10;&#10;- Those on working age payments: $402,000&#10;- Those on studying payments at school: $366,000&#10;- Those on studying payments for VET: $307,000&#10;- Those on studying payments for Higher Education: $251,000&#10;- Those not on income support: $185,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68626BF" w14:textId="008732DE" w:rsidR="00523C23" w:rsidRPr="00EC4FC8" w:rsidRDefault="00F57383" w:rsidP="00EE6F22">
      <w:pPr>
        <w:pStyle w:val="Note"/>
      </w:pPr>
      <w:r w:rsidRPr="00F57383">
        <w:t xml:space="preserve">* Lifetime </w:t>
      </w:r>
      <w:r w:rsidR="008D1C3B">
        <w:t>C</w:t>
      </w:r>
      <w:r w:rsidRPr="00F57383">
        <w:t xml:space="preserve">ost projections include </w:t>
      </w:r>
      <w:r w:rsidR="005D65FC">
        <w:t>A</w:t>
      </w:r>
      <w:r w:rsidRPr="00F57383">
        <w:t xml:space="preserve">ge </w:t>
      </w:r>
      <w:r w:rsidR="005D65FC">
        <w:t>P</w:t>
      </w:r>
      <w:r w:rsidRPr="00F57383">
        <w:t>ension</w:t>
      </w:r>
      <w:bookmarkStart w:id="29" w:name="_Toc153355577"/>
      <w:bookmarkStart w:id="30" w:name="_Toc155358643"/>
    </w:p>
    <w:p w14:paraId="2365FE53" w14:textId="77777777" w:rsidR="00EC4FC8" w:rsidRPr="00EC4FC8" w:rsidRDefault="00EC4FC8" w:rsidP="00EC4FC8">
      <w:pPr>
        <w:sectPr w:rsidR="00EC4FC8" w:rsidRPr="00EC4FC8" w:rsidSect="00B46214">
          <w:footerReference w:type="default" r:id="rId37"/>
          <w:pgSz w:w="16838" w:h="11906" w:orient="landscape" w:code="9"/>
          <w:pgMar w:top="1418" w:right="1134" w:bottom="1418" w:left="1134" w:header="425" w:footer="680" w:gutter="0"/>
          <w:cols w:num="2" w:space="709"/>
          <w:docGrid w:linePitch="360"/>
        </w:sectPr>
      </w:pPr>
    </w:p>
    <w:p w14:paraId="2C36CD82" w14:textId="77777777" w:rsidR="00B04FCE" w:rsidRDefault="001942EA" w:rsidP="00EC4FC8">
      <w:pPr>
        <w:pStyle w:val="Heading1"/>
      </w:pPr>
      <w:bookmarkStart w:id="31" w:name="_Toc160109473"/>
      <w:r>
        <w:lastRenderedPageBreak/>
        <w:t>Transition to work</w:t>
      </w:r>
      <w:r w:rsidR="00814207" w:rsidRPr="0045062D">
        <w:t xml:space="preserve"> </w:t>
      </w:r>
      <w:r>
        <w:t>(</w:t>
      </w:r>
      <w:r w:rsidR="00814207" w:rsidRPr="0045062D">
        <w:t xml:space="preserve">22 to </w:t>
      </w:r>
      <w:r w:rsidR="002346A5" w:rsidRPr="0045062D">
        <w:t>25</w:t>
      </w:r>
      <w:r>
        <w:t>)</w:t>
      </w:r>
      <w:bookmarkEnd w:id="29"/>
      <w:bookmarkEnd w:id="30"/>
      <w:bookmarkEnd w:id="31"/>
    </w:p>
    <w:p w14:paraId="5E795A20" w14:textId="079F36BE" w:rsidR="00B04FCE" w:rsidRDefault="002644E4" w:rsidP="00430894">
      <w:r w:rsidRPr="00D52F35">
        <w:rPr>
          <w:rFonts w:eastAsiaTheme="majorEastAsia"/>
        </w:rPr>
        <w:t>Age 22 to 25 is a time of growing independence for many young people. From</w:t>
      </w:r>
      <w:r w:rsidR="00D01768">
        <w:rPr>
          <w:rFonts w:eastAsiaTheme="majorEastAsia"/>
        </w:rPr>
        <w:t xml:space="preserve"> age </w:t>
      </w:r>
      <w:r w:rsidRPr="00D52F35">
        <w:rPr>
          <w:rFonts w:eastAsiaTheme="majorEastAsia"/>
        </w:rPr>
        <w:t xml:space="preserve">22, the parental income test no longer </w:t>
      </w:r>
      <w:r w:rsidR="005E674E" w:rsidRPr="00D52F35">
        <w:rPr>
          <w:rFonts w:eastAsiaTheme="majorEastAsia"/>
        </w:rPr>
        <w:t>applies,</w:t>
      </w:r>
      <w:r w:rsidRPr="00D52F35">
        <w:rPr>
          <w:rFonts w:eastAsiaTheme="majorEastAsia"/>
        </w:rPr>
        <w:t xml:space="preserve"> and young people become eligible for </w:t>
      </w:r>
      <w:r w:rsidR="005E332C">
        <w:rPr>
          <w:rFonts w:eastAsiaTheme="majorEastAsia"/>
        </w:rPr>
        <w:t>JobSeeker Payment</w:t>
      </w:r>
      <w:r w:rsidRPr="00D52F35">
        <w:rPr>
          <w:rFonts w:eastAsiaTheme="majorEastAsia"/>
        </w:rPr>
        <w:t>.</w:t>
      </w:r>
      <w:r w:rsidRPr="00D52F35">
        <w:rPr>
          <w:kern w:val="24"/>
          <w:szCs w:val="22"/>
        </w:rPr>
        <w:t xml:space="preserve"> </w:t>
      </w:r>
      <w:r w:rsidR="002346A5" w:rsidRPr="00D52F35">
        <w:rPr>
          <w:rFonts w:hAnsi="Calibri"/>
          <w:kern w:val="24"/>
        </w:rPr>
        <w:t xml:space="preserve">There </w:t>
      </w:r>
      <w:r w:rsidR="00B93985" w:rsidRPr="00D52F35">
        <w:rPr>
          <w:rFonts w:hAnsi="Calibri"/>
          <w:kern w:val="24"/>
        </w:rPr>
        <w:t xml:space="preserve">were </w:t>
      </w:r>
      <w:r w:rsidR="002346A5" w:rsidRPr="00D52F35">
        <w:rPr>
          <w:rFonts w:hAnsi="Calibri"/>
          <w:kern w:val="24"/>
        </w:rPr>
        <w:t>1.</w:t>
      </w:r>
      <w:r w:rsidR="00E3677F" w:rsidRPr="00D52F35">
        <w:rPr>
          <w:rFonts w:hAnsi="Calibri"/>
          <w:kern w:val="24"/>
        </w:rPr>
        <w:t>35</w:t>
      </w:r>
      <w:r w:rsidR="00F40387">
        <w:rPr>
          <w:rFonts w:hAnsi="Calibri"/>
          <w:kern w:val="24"/>
        </w:rPr>
        <w:t> </w:t>
      </w:r>
      <w:r w:rsidR="00F40387">
        <w:rPr>
          <w:rFonts w:hAnsi="Calibri"/>
          <w:kern w:val="24"/>
        </w:rPr>
        <w:t>million</w:t>
      </w:r>
      <w:r w:rsidR="00E3677F" w:rsidRPr="00D52F35">
        <w:rPr>
          <w:rFonts w:hAnsi="Calibri"/>
          <w:kern w:val="24"/>
        </w:rPr>
        <w:t xml:space="preserve"> </w:t>
      </w:r>
      <w:r w:rsidR="002346A5" w:rsidRPr="00D52F35">
        <w:rPr>
          <w:rFonts w:hAnsi="Calibri"/>
          <w:kern w:val="24"/>
        </w:rPr>
        <w:t>people aged 22 to 25</w:t>
      </w:r>
      <w:r w:rsidR="00B93985" w:rsidRPr="00D52F35">
        <w:rPr>
          <w:rFonts w:hAnsi="Calibri"/>
          <w:kern w:val="24"/>
        </w:rPr>
        <w:t xml:space="preserve"> </w:t>
      </w:r>
      <w:r w:rsidR="00741E50" w:rsidRPr="00D52F35">
        <w:rPr>
          <w:rFonts w:hAnsi="Calibri"/>
          <w:kern w:val="24"/>
        </w:rPr>
        <w:t>on</w:t>
      </w:r>
      <w:r w:rsidR="00B93985" w:rsidRPr="00D52F35">
        <w:rPr>
          <w:rFonts w:hAnsi="Calibri"/>
          <w:kern w:val="24"/>
        </w:rPr>
        <w:t xml:space="preserve"> 30</w:t>
      </w:r>
      <w:r w:rsidR="00E46C6A">
        <w:rPr>
          <w:rFonts w:hAnsi="Calibri"/>
          <w:kern w:val="24"/>
        </w:rPr>
        <w:t> </w:t>
      </w:r>
      <w:r w:rsidR="00E46C6A">
        <w:rPr>
          <w:rFonts w:hAnsi="Calibri"/>
          <w:kern w:val="24"/>
        </w:rPr>
        <w:t>June</w:t>
      </w:r>
      <w:r w:rsidR="00E46C6A">
        <w:rPr>
          <w:rFonts w:hAnsi="Calibri"/>
          <w:kern w:val="24"/>
        </w:rPr>
        <w:t> </w:t>
      </w:r>
      <w:r w:rsidR="00B93985" w:rsidRPr="00D52F35">
        <w:rPr>
          <w:rFonts w:hAnsi="Calibri"/>
          <w:kern w:val="24"/>
        </w:rPr>
        <w:t>2022</w:t>
      </w:r>
      <w:r w:rsidR="002346A5" w:rsidRPr="00D52F35">
        <w:rPr>
          <w:rFonts w:hAnsi="Calibri"/>
          <w:kern w:val="24"/>
        </w:rPr>
        <w:t xml:space="preserve">, </w:t>
      </w:r>
      <w:r w:rsidR="00B93985" w:rsidRPr="00D52F35">
        <w:rPr>
          <w:rFonts w:hAnsi="Calibri"/>
          <w:kern w:val="24"/>
        </w:rPr>
        <w:t>making up</w:t>
      </w:r>
      <w:r w:rsidR="002346A5" w:rsidRPr="00D52F35">
        <w:rPr>
          <w:rFonts w:hAnsi="Calibri"/>
          <w:kern w:val="24"/>
        </w:rPr>
        <w:t xml:space="preserve"> 5% of the Australian population.</w:t>
      </w:r>
    </w:p>
    <w:p w14:paraId="2049CE04" w14:textId="0A03CC2A" w:rsidR="00307825" w:rsidRDefault="007E4C2E" w:rsidP="0064256A">
      <w:pPr>
        <w:pStyle w:val="FigureMainHeading"/>
        <w:spacing w:after="0"/>
      </w:pPr>
      <w:r w:rsidRPr="001D47A7">
        <w:t>Australian</w:t>
      </w:r>
      <w:r w:rsidR="002346A5" w:rsidRPr="001D47A7">
        <w:t xml:space="preserve"> population</w:t>
      </w:r>
    </w:p>
    <w:p w14:paraId="1261149D" w14:textId="596B7423" w:rsidR="00CC6378" w:rsidRPr="00851F1D" w:rsidRDefault="0064256A" w:rsidP="0064256A">
      <w:pPr>
        <w:pStyle w:val="ChartGraphic"/>
      </w:pPr>
      <w:r>
        <w:rPr>
          <w:noProof/>
        </w:rPr>
        <w:drawing>
          <wp:inline distT="0" distB="0" distL="0" distR="0" wp14:anchorId="3B3F6DAF" wp14:editId="427E09B5">
            <wp:extent cx="4410000" cy="366395"/>
            <wp:effectExtent l="0" t="0" r="0" b="0"/>
            <wp:docPr id="18" name="Chart 18" descr="This picture shows that the people in this subsection, that is, aged 22 to 25, make up 5% of the Australian population.">
              <a:extLst xmlns:a="http://schemas.openxmlformats.org/drawingml/2006/main">
                <a:ext uri="{FF2B5EF4-FFF2-40B4-BE49-F238E27FC236}">
                  <a16:creationId xmlns:a16="http://schemas.microsoft.com/office/drawing/2014/main" id="{00000000-0008-0000-0000-00003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651073" w14:textId="6240FA9E" w:rsidR="00B04FCE" w:rsidRDefault="00B93985" w:rsidP="00905C52">
      <w:pPr>
        <w:pStyle w:val="Heading2notnumbered"/>
        <w:rPr>
          <w:noProof/>
        </w:rPr>
      </w:pPr>
      <w:r>
        <w:rPr>
          <w:noProof/>
        </w:rPr>
        <w:t>16%</w:t>
      </w:r>
      <w:r w:rsidR="002346A5" w:rsidRPr="00814207">
        <w:t xml:space="preserve"> of people aged 22 to 25 received income support </w:t>
      </w:r>
      <w:r w:rsidR="004E2AE9" w:rsidRPr="00814207">
        <w:t>on</w:t>
      </w:r>
      <w:r w:rsidR="002346A5" w:rsidRPr="00814207">
        <w:t xml:space="preserve"> 30</w:t>
      </w:r>
      <w:r w:rsidR="00E46C6A">
        <w:t> June </w:t>
      </w:r>
      <w:r w:rsidR="002346A5" w:rsidRPr="00814207">
        <w:t>2022.</w:t>
      </w:r>
    </w:p>
    <w:p w14:paraId="7E42CDE9" w14:textId="08467751" w:rsidR="00B04FCE" w:rsidRDefault="00EF244E" w:rsidP="008A5323">
      <w:pPr>
        <w:rPr>
          <w:rFonts w:asciiTheme="minorHAnsi" w:hAnsiTheme="minorHAnsi" w:cstheme="minorHAnsi"/>
          <w:noProof/>
          <w:color w:val="080808"/>
          <w:szCs w:val="21"/>
        </w:rPr>
      </w:pPr>
      <w:r>
        <w:rPr>
          <w:rFonts w:asciiTheme="minorHAnsi" w:eastAsiaTheme="majorEastAsia" w:hAnsiTheme="minorHAnsi" w:cstheme="minorHAnsi"/>
          <w:bCs/>
          <w:color w:val="000000" w:themeColor="text1"/>
          <w:szCs w:val="21"/>
        </w:rPr>
        <w:fldChar w:fldCharType="begin"/>
      </w:r>
      <w:r>
        <w:rPr>
          <w:rFonts w:asciiTheme="minorHAnsi" w:eastAsiaTheme="majorEastAsia" w:hAnsiTheme="minorHAnsi" w:cstheme="minorHAnsi"/>
          <w:bCs/>
          <w:color w:val="000000" w:themeColor="text1"/>
          <w:szCs w:val="21"/>
        </w:rPr>
        <w:instrText xml:space="preserve"> REF _Ref153285248 \h  \* MERGEFORMAT </w:instrText>
      </w:r>
      <w:r>
        <w:rPr>
          <w:rFonts w:asciiTheme="minorHAnsi" w:eastAsiaTheme="majorEastAsia" w:hAnsiTheme="minorHAnsi" w:cstheme="minorHAnsi"/>
          <w:bCs/>
          <w:color w:val="000000" w:themeColor="text1"/>
          <w:szCs w:val="21"/>
        </w:rPr>
      </w:r>
      <w:r>
        <w:rPr>
          <w:rFonts w:asciiTheme="minorHAnsi" w:eastAsiaTheme="majorEastAsia" w:hAnsiTheme="minorHAnsi" w:cstheme="minorHAnsi"/>
          <w:bCs/>
          <w:color w:val="000000" w:themeColor="text1"/>
          <w:szCs w:val="21"/>
        </w:rPr>
        <w:fldChar w:fldCharType="separate"/>
      </w:r>
      <w:r w:rsidR="00722C0A" w:rsidRPr="00722C0A">
        <w:rPr>
          <w:rFonts w:asciiTheme="minorHAnsi" w:eastAsiaTheme="majorEastAsia" w:hAnsiTheme="minorHAnsi" w:cstheme="minorHAnsi"/>
          <w:bCs/>
          <w:color w:val="000000" w:themeColor="text1"/>
          <w:szCs w:val="21"/>
        </w:rPr>
        <w:t>Figure 3.1</w:t>
      </w:r>
      <w:r>
        <w:rPr>
          <w:rFonts w:asciiTheme="minorHAnsi" w:eastAsiaTheme="majorEastAsia" w:hAnsiTheme="minorHAnsi" w:cstheme="minorHAnsi"/>
          <w:bCs/>
          <w:color w:val="000000" w:themeColor="text1"/>
          <w:szCs w:val="21"/>
        </w:rPr>
        <w:fldChar w:fldCharType="end"/>
      </w:r>
      <w:r>
        <w:rPr>
          <w:rFonts w:asciiTheme="minorHAnsi" w:eastAsiaTheme="majorEastAsia" w:hAnsiTheme="minorHAnsi" w:cstheme="minorHAnsi"/>
          <w:bCs/>
          <w:color w:val="000000" w:themeColor="text1"/>
          <w:szCs w:val="21"/>
        </w:rPr>
        <w:t xml:space="preserve"> </w:t>
      </w:r>
      <w:r w:rsidR="001103AB">
        <w:rPr>
          <w:rFonts w:asciiTheme="minorHAnsi" w:eastAsiaTheme="majorEastAsia" w:hAnsiTheme="minorHAnsi" w:cstheme="minorHAnsi"/>
          <w:bCs/>
          <w:color w:val="000000" w:themeColor="text1"/>
          <w:szCs w:val="21"/>
        </w:rPr>
        <w:t xml:space="preserve">shows </w:t>
      </w:r>
      <w:r w:rsidR="00B93985">
        <w:rPr>
          <w:rFonts w:asciiTheme="minorHAnsi" w:eastAsiaTheme="majorEastAsia" w:hAnsiTheme="minorHAnsi" w:cstheme="minorHAnsi"/>
          <w:bCs/>
          <w:color w:val="000000" w:themeColor="text1"/>
          <w:szCs w:val="21"/>
        </w:rPr>
        <w:t xml:space="preserve">16% of </w:t>
      </w:r>
      <w:r w:rsidR="00AB7A70">
        <w:rPr>
          <w:rFonts w:asciiTheme="minorHAnsi" w:eastAsiaTheme="majorEastAsia" w:hAnsiTheme="minorHAnsi" w:cstheme="minorHAnsi"/>
          <w:bCs/>
          <w:color w:val="000000" w:themeColor="text1"/>
          <w:szCs w:val="21"/>
        </w:rPr>
        <w:t>the</w:t>
      </w:r>
      <w:r w:rsidR="00400769">
        <w:rPr>
          <w:rFonts w:asciiTheme="minorHAnsi" w:eastAsiaTheme="majorEastAsia" w:hAnsiTheme="minorHAnsi" w:cstheme="minorHAnsi"/>
          <w:bCs/>
          <w:color w:val="000000" w:themeColor="text1"/>
          <w:szCs w:val="21"/>
        </w:rPr>
        <w:t xml:space="preserve"> Australian population</w:t>
      </w:r>
      <w:r w:rsidR="00B93985" w:rsidRPr="009D7B6D">
        <w:rPr>
          <w:rFonts w:asciiTheme="minorHAnsi" w:eastAsiaTheme="majorEastAsia" w:hAnsiTheme="minorHAnsi" w:cstheme="minorHAnsi"/>
          <w:bCs/>
          <w:color w:val="000000" w:themeColor="text1"/>
          <w:szCs w:val="21"/>
        </w:rPr>
        <w:t xml:space="preserve"> aged </w:t>
      </w:r>
      <w:r w:rsidR="00B93985">
        <w:rPr>
          <w:rFonts w:asciiTheme="minorHAnsi" w:eastAsiaTheme="majorEastAsia" w:hAnsiTheme="minorHAnsi" w:cstheme="minorHAnsi"/>
          <w:bCs/>
          <w:color w:val="000000" w:themeColor="text1"/>
          <w:szCs w:val="21"/>
        </w:rPr>
        <w:t>22</w:t>
      </w:r>
      <w:r w:rsidR="00955426">
        <w:rPr>
          <w:rFonts w:asciiTheme="minorHAnsi" w:eastAsiaTheme="majorEastAsia" w:hAnsiTheme="minorHAnsi" w:cstheme="minorHAnsi"/>
          <w:bCs/>
          <w:color w:val="000000" w:themeColor="text1"/>
          <w:szCs w:val="21"/>
        </w:rPr>
        <w:t xml:space="preserve"> to </w:t>
      </w:r>
      <w:r w:rsidR="00B93985">
        <w:rPr>
          <w:rFonts w:asciiTheme="minorHAnsi" w:eastAsiaTheme="majorEastAsia" w:hAnsiTheme="minorHAnsi" w:cstheme="minorHAnsi"/>
          <w:bCs/>
          <w:color w:val="000000" w:themeColor="text1"/>
          <w:szCs w:val="21"/>
        </w:rPr>
        <w:t>25</w:t>
      </w:r>
      <w:r w:rsidR="00B93985" w:rsidRPr="009D7B6D">
        <w:rPr>
          <w:rFonts w:asciiTheme="minorHAnsi" w:eastAsiaTheme="majorEastAsia" w:hAnsiTheme="minorHAnsi" w:cstheme="minorHAnsi"/>
          <w:bCs/>
          <w:color w:val="000000" w:themeColor="text1"/>
          <w:szCs w:val="21"/>
        </w:rPr>
        <w:t xml:space="preserve"> received </w:t>
      </w:r>
      <w:r w:rsidR="00B93985">
        <w:rPr>
          <w:rFonts w:asciiTheme="minorHAnsi" w:eastAsiaTheme="majorEastAsia" w:hAnsiTheme="minorHAnsi" w:cstheme="minorHAnsi"/>
          <w:bCs/>
          <w:color w:val="000000" w:themeColor="text1"/>
          <w:szCs w:val="21"/>
        </w:rPr>
        <w:t xml:space="preserve">some form of </w:t>
      </w:r>
      <w:r w:rsidR="00B93985" w:rsidRPr="009D7B6D">
        <w:rPr>
          <w:rFonts w:asciiTheme="minorHAnsi" w:eastAsiaTheme="majorEastAsia" w:hAnsiTheme="minorHAnsi" w:cstheme="minorHAnsi"/>
          <w:bCs/>
          <w:color w:val="000000" w:themeColor="text1"/>
          <w:szCs w:val="21"/>
        </w:rPr>
        <w:t>income support</w:t>
      </w:r>
      <w:r w:rsidR="00B93985">
        <w:rPr>
          <w:rFonts w:asciiTheme="minorHAnsi" w:eastAsiaTheme="majorEastAsia" w:hAnsiTheme="minorHAnsi" w:cstheme="minorHAnsi"/>
          <w:bCs/>
          <w:color w:val="000000" w:themeColor="text1"/>
          <w:szCs w:val="21"/>
        </w:rPr>
        <w:t>, with 5%</w:t>
      </w:r>
      <w:r w:rsidR="00033422">
        <w:rPr>
          <w:rFonts w:asciiTheme="minorHAnsi" w:eastAsiaTheme="majorEastAsia" w:hAnsiTheme="minorHAnsi" w:cstheme="minorHAnsi"/>
          <w:bCs/>
          <w:color w:val="000000" w:themeColor="text1"/>
          <w:szCs w:val="21"/>
        </w:rPr>
        <w:t xml:space="preserve"> receiving a studying payment, 6% receiving</w:t>
      </w:r>
      <w:r w:rsidR="00B93985" w:rsidRPr="009D7B6D">
        <w:rPr>
          <w:rFonts w:asciiTheme="minorHAnsi" w:eastAsiaTheme="majorEastAsia" w:hAnsiTheme="minorHAnsi" w:cstheme="minorHAnsi"/>
          <w:bCs/>
          <w:color w:val="000000" w:themeColor="text1"/>
          <w:szCs w:val="21"/>
        </w:rPr>
        <w:t xml:space="preserve"> </w:t>
      </w:r>
      <w:r w:rsidR="005E332C">
        <w:rPr>
          <w:rFonts w:asciiTheme="minorHAnsi" w:eastAsiaTheme="majorEastAsia" w:hAnsiTheme="minorHAnsi" w:cstheme="minorHAnsi"/>
          <w:bCs/>
          <w:color w:val="000000" w:themeColor="text1"/>
          <w:szCs w:val="21"/>
        </w:rPr>
        <w:t>JobSeeker Payment</w:t>
      </w:r>
      <w:r w:rsidR="0010232A">
        <w:rPr>
          <w:rFonts w:asciiTheme="minorHAnsi" w:eastAsiaTheme="majorEastAsia" w:hAnsiTheme="minorHAnsi" w:cstheme="minorHAnsi"/>
          <w:bCs/>
          <w:color w:val="000000" w:themeColor="text1"/>
          <w:szCs w:val="21"/>
        </w:rPr>
        <w:t xml:space="preserve"> and 5% receiving other income support payment</w:t>
      </w:r>
      <w:r w:rsidR="00AB7A70">
        <w:rPr>
          <w:rFonts w:asciiTheme="minorHAnsi" w:eastAsiaTheme="majorEastAsia" w:hAnsiTheme="minorHAnsi" w:cstheme="minorHAnsi"/>
          <w:bCs/>
          <w:color w:val="000000" w:themeColor="text1"/>
          <w:szCs w:val="21"/>
        </w:rPr>
        <w:t>s</w:t>
      </w:r>
      <w:r w:rsidR="0010232A">
        <w:rPr>
          <w:rFonts w:asciiTheme="minorHAnsi" w:eastAsiaTheme="majorEastAsia" w:hAnsiTheme="minorHAnsi" w:cstheme="minorHAnsi"/>
          <w:bCs/>
          <w:color w:val="000000" w:themeColor="text1"/>
          <w:szCs w:val="21"/>
        </w:rPr>
        <w:t>.</w:t>
      </w:r>
    </w:p>
    <w:p w14:paraId="18E823C8" w14:textId="71E3A1A9" w:rsidR="00EF244E" w:rsidRPr="00A13641" w:rsidRDefault="007855DD" w:rsidP="00C95BE9">
      <w:pPr>
        <w:pStyle w:val="FigureMainHeading"/>
      </w:pPr>
      <w:bookmarkStart w:id="32" w:name="_Ref153285248"/>
      <w:r>
        <w:t>Figure </w:t>
      </w:r>
      <w:r w:rsidR="00B80D45">
        <w:fldChar w:fldCharType="begin"/>
      </w:r>
      <w:r w:rsidR="00B80D45">
        <w:instrText xml:space="preserve"> STYLEREF 1 \s </w:instrText>
      </w:r>
      <w:r w:rsidR="00B80D45">
        <w:fldChar w:fldCharType="separate"/>
      </w:r>
      <w:r w:rsidR="00722C0A">
        <w:rPr>
          <w:noProof/>
        </w:rPr>
        <w:t>3</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1</w:t>
      </w:r>
      <w:r w:rsidR="00B80D45">
        <w:rPr>
          <w:noProof/>
        </w:rPr>
        <w:fldChar w:fldCharType="end"/>
      </w:r>
      <w:bookmarkEnd w:id="32"/>
      <w:r w:rsidR="00EF244E" w:rsidRPr="00A049E8">
        <w:t>:</w:t>
      </w:r>
      <w:r w:rsidR="00C95BE9">
        <w:tab/>
      </w:r>
      <w:r w:rsidR="00F40387">
        <w:t>P</w:t>
      </w:r>
      <w:r w:rsidR="00EF244E">
        <w:t xml:space="preserve">eople </w:t>
      </w:r>
      <w:r w:rsidR="002C4B1F">
        <w:t>a</w:t>
      </w:r>
      <w:r w:rsidR="00EF244E" w:rsidRPr="00A049E8">
        <w:t>ge</w:t>
      </w:r>
      <w:r w:rsidR="00EF244E">
        <w:t>d</w:t>
      </w:r>
      <w:r w:rsidR="00EF244E" w:rsidRPr="00A049E8">
        <w:t xml:space="preserve"> 22 to 25 composition </w:t>
      </w:r>
      <w:r w:rsidR="00F40387">
        <w:t>at</w:t>
      </w:r>
      <w:r w:rsidR="00EF244E" w:rsidRPr="00A049E8">
        <w:t xml:space="preserve"> 30</w:t>
      </w:r>
      <w:r w:rsidR="00E46C6A">
        <w:t> June </w:t>
      </w:r>
      <w:r w:rsidR="00EF244E" w:rsidRPr="00A049E8">
        <w:t>2022</w:t>
      </w:r>
    </w:p>
    <w:p w14:paraId="68226909" w14:textId="77777777" w:rsidR="00A06FAA" w:rsidRDefault="00872898" w:rsidP="00A06FAA">
      <w:pPr>
        <w:pStyle w:val="ChartGraphic"/>
        <w:rPr>
          <w:rFonts w:eastAsiaTheme="majorEastAsia"/>
        </w:rPr>
      </w:pPr>
      <w:r>
        <w:rPr>
          <w:noProof/>
        </w:rPr>
        <w:drawing>
          <wp:inline distT="0" distB="0" distL="0" distR="0" wp14:anchorId="12670DE2" wp14:editId="7E5C33AE">
            <wp:extent cx="4319905" cy="1819275"/>
            <wp:effectExtent l="0" t="0" r="4445" b="0"/>
            <wp:docPr id="150" name="Chart 150" descr="This chart shows the proportion of people aged 22 to 25 receiving income support payments at 30 June 2022.&#10;&#10;84% of people aged 22 to 25 received no income support. Of the 16% who received income support, 5% received study payments, 6% received JobSeeker Payment, and 3% received other income support.&#10;&#10;Compared to the age 18 to 21 cohort, more income support recipients in this age range receive working age payments (JSP specifically) than studying payments.">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708388" w14:textId="145C139B" w:rsidR="00B04FCE" w:rsidRPr="00A06FAA" w:rsidRDefault="0010232A" w:rsidP="00A06FAA">
      <w:r w:rsidRPr="00A06FAA">
        <w:rPr>
          <w:rFonts w:eastAsiaTheme="majorEastAsia"/>
        </w:rPr>
        <w:t>O</w:t>
      </w:r>
      <w:r w:rsidR="00033422" w:rsidRPr="00A06FAA">
        <w:rPr>
          <w:rFonts w:eastAsiaTheme="majorEastAsia"/>
        </w:rPr>
        <w:t xml:space="preserve">f the 5% </w:t>
      </w:r>
      <w:r w:rsidR="00C938C9" w:rsidRPr="00A06FAA">
        <w:rPr>
          <w:rFonts w:eastAsiaTheme="majorEastAsia"/>
        </w:rPr>
        <w:t>aged</w:t>
      </w:r>
      <w:r w:rsidR="00033422" w:rsidRPr="00A06FAA">
        <w:rPr>
          <w:rFonts w:eastAsiaTheme="majorEastAsia"/>
        </w:rPr>
        <w:t xml:space="preserve"> </w:t>
      </w:r>
      <w:r w:rsidR="007C1509" w:rsidRPr="00A06FAA">
        <w:rPr>
          <w:rFonts w:eastAsiaTheme="majorEastAsia"/>
        </w:rPr>
        <w:t>22</w:t>
      </w:r>
      <w:r w:rsidR="006B64FE" w:rsidRPr="00A06FAA">
        <w:rPr>
          <w:rFonts w:eastAsiaTheme="majorEastAsia"/>
        </w:rPr>
        <w:t xml:space="preserve"> to </w:t>
      </w:r>
      <w:r w:rsidR="007C1509" w:rsidRPr="00A06FAA">
        <w:rPr>
          <w:rFonts w:eastAsiaTheme="majorEastAsia"/>
        </w:rPr>
        <w:t>25</w:t>
      </w:r>
      <w:r w:rsidR="00B378FB" w:rsidRPr="00A06FAA">
        <w:rPr>
          <w:rFonts w:eastAsiaTheme="majorEastAsia"/>
        </w:rPr>
        <w:t xml:space="preserve"> </w:t>
      </w:r>
      <w:r w:rsidR="0068672E" w:rsidRPr="00A06FAA">
        <w:rPr>
          <w:rFonts w:eastAsiaTheme="majorEastAsia"/>
        </w:rPr>
        <w:t>who received</w:t>
      </w:r>
      <w:r w:rsidR="007C1509" w:rsidRPr="00A06FAA">
        <w:rPr>
          <w:rFonts w:eastAsiaTheme="majorEastAsia"/>
        </w:rPr>
        <w:t xml:space="preserve"> </w:t>
      </w:r>
      <w:r w:rsidR="00D05887" w:rsidRPr="00A06FAA">
        <w:rPr>
          <w:rFonts w:eastAsiaTheme="majorEastAsia"/>
        </w:rPr>
        <w:t xml:space="preserve">other </w:t>
      </w:r>
      <w:r w:rsidR="00033422" w:rsidRPr="00A06FAA">
        <w:rPr>
          <w:rFonts w:eastAsiaTheme="majorEastAsia"/>
        </w:rPr>
        <w:t>income support</w:t>
      </w:r>
      <w:r w:rsidRPr="00A06FAA">
        <w:rPr>
          <w:rFonts w:eastAsiaTheme="majorEastAsia"/>
        </w:rPr>
        <w:t xml:space="preserve">, most received </w:t>
      </w:r>
      <w:r w:rsidR="00033422" w:rsidRPr="00A06FAA">
        <w:rPr>
          <w:rFonts w:eastAsiaTheme="majorEastAsia"/>
        </w:rPr>
        <w:t>Parenting Payment (</w:t>
      </w:r>
      <w:r w:rsidR="00B14AAB" w:rsidRPr="00A06FAA">
        <w:rPr>
          <w:rFonts w:eastAsiaTheme="majorEastAsia"/>
        </w:rPr>
        <w:t>52</w:t>
      </w:r>
      <w:r w:rsidR="00033422" w:rsidRPr="00A06FAA">
        <w:rPr>
          <w:rFonts w:eastAsiaTheme="majorEastAsia"/>
        </w:rPr>
        <w:t>%)</w:t>
      </w:r>
      <w:r w:rsidRPr="00A06FAA">
        <w:rPr>
          <w:rFonts w:eastAsiaTheme="majorEastAsia"/>
        </w:rPr>
        <w:t xml:space="preserve"> or Disability Support Pension (</w:t>
      </w:r>
      <w:r w:rsidR="00EF2684">
        <w:rPr>
          <w:rFonts w:eastAsiaTheme="majorEastAsia"/>
        </w:rPr>
        <w:t>DSP)</w:t>
      </w:r>
      <w:r w:rsidRPr="00A06FAA">
        <w:rPr>
          <w:rFonts w:eastAsiaTheme="majorEastAsia"/>
        </w:rPr>
        <w:t xml:space="preserve"> (39%)</w:t>
      </w:r>
      <w:r w:rsidR="00033422" w:rsidRPr="00A06FAA">
        <w:rPr>
          <w:rFonts w:eastAsiaTheme="majorEastAsia"/>
        </w:rPr>
        <w:t xml:space="preserve">. </w:t>
      </w:r>
      <w:r w:rsidR="00AB7A70" w:rsidRPr="00A06FAA">
        <w:rPr>
          <w:rFonts w:eastAsiaTheme="majorEastAsia"/>
        </w:rPr>
        <w:t>These groups are considered further in the In</w:t>
      </w:r>
      <w:r w:rsidR="00B04FCE" w:rsidRPr="00A06FAA">
        <w:rPr>
          <w:rFonts w:eastAsiaTheme="majorEastAsia"/>
        </w:rPr>
        <w:noBreakHyphen/>
      </w:r>
      <w:r w:rsidR="00AB7A70" w:rsidRPr="00A06FAA">
        <w:rPr>
          <w:rFonts w:eastAsiaTheme="majorEastAsia"/>
        </w:rPr>
        <w:t>Depth Focus section later in this report.</w:t>
      </w:r>
    </w:p>
    <w:p w14:paraId="63520B0F" w14:textId="4D34ECE2" w:rsidR="00AB7A70" w:rsidRPr="007D2F92" w:rsidRDefault="00AB7A70" w:rsidP="00905C52">
      <w:pPr>
        <w:pStyle w:val="Heading2notnumbered"/>
      </w:pPr>
      <w:r>
        <w:t>For people aged 22 to 25 who grew up in a household where a parent or guardian received income support, there is a greater likelihood they will receive income support themselves.</w:t>
      </w:r>
    </w:p>
    <w:p w14:paraId="6E7210E6" w14:textId="0DDEFE89" w:rsidR="00B04FCE" w:rsidRDefault="00032D29" w:rsidP="00D52F35">
      <w:pPr>
        <w:rPr>
          <w:noProof/>
          <w:sz w:val="24"/>
        </w:rPr>
      </w:pPr>
      <w:r>
        <w:rPr>
          <w:rFonts w:asciiTheme="minorHAnsi" w:hAnsiTheme="minorHAnsi" w:cstheme="minorHAnsi"/>
          <w:szCs w:val="21"/>
        </w:rPr>
        <w:t xml:space="preserve">As shown in </w:t>
      </w:r>
      <w:r w:rsidR="00B40C95" w:rsidRPr="006E46DB">
        <w:rPr>
          <w:rFonts w:asciiTheme="minorHAnsi" w:hAnsiTheme="minorHAnsi" w:cstheme="minorHAnsi"/>
        </w:rPr>
        <w:fldChar w:fldCharType="begin"/>
      </w:r>
      <w:r w:rsidR="00B40C95" w:rsidRPr="006E46DB">
        <w:rPr>
          <w:rFonts w:asciiTheme="minorHAnsi" w:hAnsiTheme="minorHAnsi" w:cstheme="minorHAnsi"/>
        </w:rPr>
        <w:instrText xml:space="preserve"> REF _Ref153286774 \h  \* MERGEFORMAT </w:instrText>
      </w:r>
      <w:r w:rsidR="00B40C95" w:rsidRPr="006E46DB">
        <w:rPr>
          <w:rFonts w:asciiTheme="minorHAnsi" w:hAnsiTheme="minorHAnsi" w:cstheme="minorHAnsi"/>
        </w:rPr>
      </w:r>
      <w:r w:rsidR="00B40C95" w:rsidRPr="006E46DB">
        <w:rPr>
          <w:rFonts w:asciiTheme="minorHAnsi" w:hAnsiTheme="minorHAnsi" w:cstheme="minorHAnsi"/>
        </w:rPr>
        <w:fldChar w:fldCharType="separate"/>
      </w:r>
      <w:r w:rsidR="00722C0A" w:rsidRPr="00722C0A">
        <w:rPr>
          <w:rFonts w:asciiTheme="minorHAnsi" w:hAnsiTheme="minorHAnsi" w:cstheme="minorHAnsi"/>
        </w:rPr>
        <w:t>Figure 3.2</w:t>
      </w:r>
      <w:r w:rsidR="00B40C95" w:rsidRPr="006E46DB">
        <w:rPr>
          <w:rFonts w:asciiTheme="minorHAnsi" w:hAnsiTheme="minorHAnsi" w:cstheme="minorHAnsi"/>
        </w:rPr>
        <w:fldChar w:fldCharType="end"/>
      </w:r>
      <w:r>
        <w:rPr>
          <w:rFonts w:asciiTheme="minorHAnsi" w:hAnsiTheme="minorHAnsi" w:cstheme="minorHAnsi"/>
          <w:szCs w:val="21"/>
        </w:rPr>
        <w:t>, t</w:t>
      </w:r>
      <w:r w:rsidR="00955426">
        <w:rPr>
          <w:rFonts w:asciiTheme="minorHAnsi" w:hAnsiTheme="minorHAnsi" w:cstheme="minorHAnsi"/>
          <w:szCs w:val="21"/>
        </w:rPr>
        <w:t xml:space="preserve">hose aged </w:t>
      </w:r>
      <w:r w:rsidR="0031777B" w:rsidRPr="009D7B6D">
        <w:rPr>
          <w:rFonts w:asciiTheme="minorHAnsi" w:hAnsiTheme="minorHAnsi" w:cstheme="minorHAnsi"/>
          <w:szCs w:val="21"/>
        </w:rPr>
        <w:t>22</w:t>
      </w:r>
      <w:r w:rsidR="00955426">
        <w:rPr>
          <w:rFonts w:asciiTheme="minorHAnsi" w:hAnsiTheme="minorHAnsi" w:cstheme="minorHAnsi"/>
          <w:szCs w:val="21"/>
        </w:rPr>
        <w:t xml:space="preserve"> to </w:t>
      </w:r>
      <w:r w:rsidR="0031777B" w:rsidRPr="009D7B6D">
        <w:rPr>
          <w:rFonts w:asciiTheme="minorHAnsi" w:hAnsiTheme="minorHAnsi" w:cstheme="minorHAnsi"/>
          <w:szCs w:val="21"/>
        </w:rPr>
        <w:t>25</w:t>
      </w:r>
      <w:r w:rsidR="00033422">
        <w:rPr>
          <w:rFonts w:asciiTheme="minorHAnsi" w:hAnsiTheme="minorHAnsi" w:cstheme="minorHAnsi"/>
          <w:szCs w:val="21"/>
        </w:rPr>
        <w:t xml:space="preserve"> who spent more than half of</w:t>
      </w:r>
      <w:r w:rsidR="002346A5" w:rsidRPr="009D7B6D">
        <w:rPr>
          <w:rFonts w:asciiTheme="minorHAnsi" w:hAnsiTheme="minorHAnsi" w:cstheme="minorHAnsi"/>
          <w:szCs w:val="21"/>
        </w:rPr>
        <w:t xml:space="preserve"> their childhood with a parent </w:t>
      </w:r>
      <w:r w:rsidR="00AB7A70">
        <w:rPr>
          <w:rFonts w:asciiTheme="minorHAnsi" w:hAnsiTheme="minorHAnsi" w:cstheme="minorHAnsi"/>
          <w:szCs w:val="21"/>
        </w:rPr>
        <w:t xml:space="preserve">or guardian </w:t>
      </w:r>
      <w:r w:rsidR="00033422">
        <w:rPr>
          <w:rFonts w:asciiTheme="minorHAnsi" w:hAnsiTheme="minorHAnsi" w:cstheme="minorHAnsi"/>
          <w:szCs w:val="21"/>
        </w:rPr>
        <w:t xml:space="preserve">receiving </w:t>
      </w:r>
      <w:r w:rsidR="002346A5" w:rsidRPr="009D7B6D">
        <w:rPr>
          <w:rFonts w:asciiTheme="minorHAnsi" w:hAnsiTheme="minorHAnsi" w:cstheme="minorHAnsi"/>
          <w:szCs w:val="21"/>
        </w:rPr>
        <w:t>income support were 2.5</w:t>
      </w:r>
      <w:r w:rsidR="00F40387">
        <w:rPr>
          <w:rFonts w:asciiTheme="minorHAnsi" w:hAnsiTheme="minorHAnsi" w:cstheme="minorHAnsi"/>
          <w:szCs w:val="21"/>
        </w:rPr>
        <w:t> times</w:t>
      </w:r>
      <w:r w:rsidR="002346A5" w:rsidRPr="009D7B6D">
        <w:rPr>
          <w:rFonts w:asciiTheme="minorHAnsi" w:hAnsiTheme="minorHAnsi" w:cstheme="minorHAnsi"/>
          <w:szCs w:val="21"/>
        </w:rPr>
        <w:t xml:space="preserve"> more likely to have received income support themselves </w:t>
      </w:r>
      <w:r w:rsidR="00DC2A17">
        <w:rPr>
          <w:rFonts w:asciiTheme="minorHAnsi" w:hAnsiTheme="minorHAnsi" w:cstheme="minorHAnsi"/>
          <w:szCs w:val="21"/>
        </w:rPr>
        <w:t xml:space="preserve">(85%) </w:t>
      </w:r>
      <w:r w:rsidR="002346A5" w:rsidRPr="009D7B6D">
        <w:rPr>
          <w:rFonts w:asciiTheme="minorHAnsi" w:hAnsiTheme="minorHAnsi" w:cstheme="minorHAnsi"/>
          <w:szCs w:val="21"/>
        </w:rPr>
        <w:t xml:space="preserve">than those whose parents </w:t>
      </w:r>
      <w:r w:rsidR="00AB7A70">
        <w:rPr>
          <w:rFonts w:asciiTheme="minorHAnsi" w:hAnsiTheme="minorHAnsi" w:cstheme="minorHAnsi"/>
          <w:szCs w:val="21"/>
        </w:rPr>
        <w:t>did not receive</w:t>
      </w:r>
      <w:r w:rsidR="002346A5" w:rsidRPr="009D7B6D">
        <w:rPr>
          <w:rFonts w:asciiTheme="minorHAnsi" w:hAnsiTheme="minorHAnsi" w:cstheme="minorHAnsi"/>
          <w:szCs w:val="21"/>
        </w:rPr>
        <w:t xml:space="preserve"> income support</w:t>
      </w:r>
      <w:r w:rsidR="00DC2A17">
        <w:rPr>
          <w:rFonts w:asciiTheme="minorHAnsi" w:hAnsiTheme="minorHAnsi" w:cstheme="minorHAnsi"/>
          <w:szCs w:val="21"/>
        </w:rPr>
        <w:t xml:space="preserve"> (34%)</w:t>
      </w:r>
      <w:r w:rsidR="002346A5" w:rsidRPr="009D7B6D">
        <w:rPr>
          <w:rFonts w:asciiTheme="minorHAnsi" w:hAnsiTheme="minorHAnsi" w:cstheme="minorHAnsi"/>
          <w:szCs w:val="21"/>
        </w:rPr>
        <w:t>.</w:t>
      </w:r>
    </w:p>
    <w:p w14:paraId="6415C99A" w14:textId="07EA875F" w:rsidR="00B40C95" w:rsidRPr="00A13641" w:rsidRDefault="007855DD" w:rsidP="005E332C">
      <w:pPr>
        <w:pStyle w:val="FigureMainHeading"/>
      </w:pPr>
      <w:bookmarkStart w:id="33" w:name="_Ref153286774"/>
      <w:r>
        <w:t>Figure </w:t>
      </w:r>
      <w:r w:rsidR="00B80D45">
        <w:fldChar w:fldCharType="begin"/>
      </w:r>
      <w:r w:rsidR="00B80D45">
        <w:instrText xml:space="preserve"> STYLEREF 1 \s </w:instrText>
      </w:r>
      <w:r w:rsidR="00B80D45">
        <w:fldChar w:fldCharType="separate"/>
      </w:r>
      <w:r w:rsidR="00722C0A">
        <w:rPr>
          <w:noProof/>
        </w:rPr>
        <w:t>3</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2</w:t>
      </w:r>
      <w:r w:rsidR="00B80D45">
        <w:rPr>
          <w:noProof/>
        </w:rPr>
        <w:fldChar w:fldCharType="end"/>
      </w:r>
      <w:bookmarkEnd w:id="33"/>
      <w:r w:rsidR="005E332C">
        <w:t>:</w:t>
      </w:r>
      <w:r w:rsidR="005E332C">
        <w:tab/>
      </w:r>
      <w:r w:rsidR="00E46C6A">
        <w:t>P</w:t>
      </w:r>
      <w:r w:rsidR="00B40C95" w:rsidRPr="00A049E8">
        <w:t>rop</w:t>
      </w:r>
      <w:r w:rsidR="00584485" w:rsidRPr="00A049E8">
        <w:t>ortion of people aged 22 to 25 who have rece</w:t>
      </w:r>
      <w:r w:rsidR="00584485">
        <w:t>i</w:t>
      </w:r>
      <w:r w:rsidR="00584485" w:rsidRPr="00A049E8">
        <w:t xml:space="preserve">ved income support </w:t>
      </w:r>
      <w:r w:rsidR="00584485">
        <w:t>by</w:t>
      </w:r>
      <w:r w:rsidR="00584485" w:rsidRPr="00A049E8">
        <w:t xml:space="preserve"> 30</w:t>
      </w:r>
      <w:r w:rsidR="00E46C6A">
        <w:t> June </w:t>
      </w:r>
      <w:r w:rsidR="00B40C95" w:rsidRPr="00A049E8">
        <w:t>2022</w:t>
      </w:r>
    </w:p>
    <w:p w14:paraId="6CFBC466" w14:textId="77777777" w:rsidR="00B04FCE" w:rsidRDefault="00B40C95" w:rsidP="00A06FAA">
      <w:pPr>
        <w:pStyle w:val="ChartGraphic"/>
        <w:rPr>
          <w:rFonts w:cs="Arial"/>
        </w:rPr>
      </w:pPr>
      <w:r>
        <w:rPr>
          <w:noProof/>
        </w:rPr>
        <w:drawing>
          <wp:inline distT="0" distB="0" distL="0" distR="0" wp14:anchorId="5314B918" wp14:editId="77EC820E">
            <wp:extent cx="4320000" cy="2743200"/>
            <wp:effectExtent l="0" t="0" r="4445" b="0"/>
            <wp:docPr id="301" name="Chart 301" descr="This chart shows the proportion of people aged 22 to 25 who have received income support by 30 June 2022, split by the percentage of childhood at least one parent or guardian received income support:&#10;&#10;- 50% to 100%: 85%&#10;- Under 50%: 64%&#10;- Not at all: 34%&#10;&#10;The proportion who have received income support falls as the percentage of childhood at least one parent or guardian received income support falls. This shows the positive correlation between a parent or guardian's use of income support, and their child's income support us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18A6280" w14:textId="604038AF" w:rsidR="00B04FCE" w:rsidRDefault="002346A5" w:rsidP="00905C52">
      <w:pPr>
        <w:pStyle w:val="Heading2notnumbered"/>
      </w:pPr>
      <w:r w:rsidRPr="00905C52">
        <w:lastRenderedPageBreak/>
        <w:t>People aged 22</w:t>
      </w:r>
      <w:r w:rsidR="00C938C9" w:rsidRPr="00905C52">
        <w:t xml:space="preserve"> to </w:t>
      </w:r>
      <w:r w:rsidRPr="00905C52">
        <w:t xml:space="preserve">25 </w:t>
      </w:r>
      <w:r w:rsidR="00477047" w:rsidRPr="00905C52">
        <w:t>receiving</w:t>
      </w:r>
      <w:r w:rsidRPr="00905C52">
        <w:t xml:space="preserve"> </w:t>
      </w:r>
      <w:r w:rsidR="005E332C">
        <w:t>JobSeeker Payment</w:t>
      </w:r>
      <w:r w:rsidRPr="00905C52">
        <w:t xml:space="preserve"> are projected to </w:t>
      </w:r>
      <w:r w:rsidR="008238C3" w:rsidRPr="00905C52">
        <w:t xml:space="preserve">spend </w:t>
      </w:r>
      <w:r w:rsidRPr="00905C52">
        <w:t>more</w:t>
      </w:r>
      <w:r w:rsidR="008238C3" w:rsidRPr="00905C52">
        <w:t xml:space="preserve"> time on</w:t>
      </w:r>
      <w:r w:rsidRPr="00905C52">
        <w:t xml:space="preserve"> income support than those </w:t>
      </w:r>
      <w:r w:rsidR="00CE0E55" w:rsidRPr="00905C52">
        <w:t>receiving</w:t>
      </w:r>
      <w:r w:rsidRPr="00905C52">
        <w:t xml:space="preserve"> studying payment</w:t>
      </w:r>
      <w:r w:rsidR="008238C3" w:rsidRPr="00905C52">
        <w:t>s</w:t>
      </w:r>
      <w:r w:rsidRPr="00905C52">
        <w:t xml:space="preserve"> or no</w:t>
      </w:r>
      <w:r w:rsidR="008238C3" w:rsidRPr="00905C52">
        <w:t>t on</w:t>
      </w:r>
      <w:r w:rsidRPr="00905C52">
        <w:t xml:space="preserve"> income support. </w:t>
      </w:r>
      <w:r w:rsidR="00033422" w:rsidRPr="00905C52">
        <w:t>Over their entire working lives, those receiving</w:t>
      </w:r>
      <w:r w:rsidR="00CE0E55" w:rsidRPr="00905C52">
        <w:t xml:space="preserve"> </w:t>
      </w:r>
      <w:r w:rsidR="005E332C">
        <w:t>JobSeeker Payment</w:t>
      </w:r>
      <w:r w:rsidR="00033422" w:rsidRPr="00905C52">
        <w:t xml:space="preserve"> are projected to spend </w:t>
      </w:r>
      <w:r w:rsidR="008F0FD7" w:rsidRPr="00905C52">
        <w:t>3.9</w:t>
      </w:r>
      <w:r w:rsidR="00F40387">
        <w:t> times</w:t>
      </w:r>
      <w:r w:rsidR="00D449BA" w:rsidRPr="00905C52">
        <w:t xml:space="preserve"> </w:t>
      </w:r>
      <w:r w:rsidR="00033422" w:rsidRPr="00905C52">
        <w:t>long</w:t>
      </w:r>
      <w:r w:rsidR="008238C3" w:rsidRPr="00905C52">
        <w:t>er</w:t>
      </w:r>
      <w:r w:rsidR="00033422" w:rsidRPr="00905C52">
        <w:t xml:space="preserve"> </w:t>
      </w:r>
      <w:r w:rsidR="00D449BA" w:rsidRPr="00905C52">
        <w:t>(4.4</w:t>
      </w:r>
      <w:r w:rsidR="007855DD">
        <w:t> more</w:t>
      </w:r>
      <w:r w:rsidR="00DD11DD" w:rsidRPr="00905C52">
        <w:t xml:space="preserve"> years</w:t>
      </w:r>
      <w:r w:rsidR="00D449BA" w:rsidRPr="00905C52">
        <w:t xml:space="preserve">) </w:t>
      </w:r>
      <w:r w:rsidR="00033422" w:rsidRPr="00905C52">
        <w:t xml:space="preserve">receiving working age payments </w:t>
      </w:r>
      <w:r w:rsidR="008238C3" w:rsidRPr="00905C52">
        <w:t>than</w:t>
      </w:r>
      <w:r w:rsidR="00E93DFE" w:rsidRPr="00905C52">
        <w:t xml:space="preserve"> those</w:t>
      </w:r>
      <w:r w:rsidR="00033422" w:rsidRPr="00905C52">
        <w:t xml:space="preserve"> receiving </w:t>
      </w:r>
      <w:r w:rsidR="00B36FDD" w:rsidRPr="00905C52">
        <w:t>studying</w:t>
      </w:r>
      <w:r w:rsidR="00033422" w:rsidRPr="00905C52">
        <w:t xml:space="preserve"> payments.</w:t>
      </w:r>
    </w:p>
    <w:p w14:paraId="04977929" w14:textId="69E4BB98" w:rsidR="00B04FCE" w:rsidRDefault="00520029" w:rsidP="008A5323">
      <w:pPr>
        <w:rPr>
          <w:rFonts w:asciiTheme="minorHAnsi" w:hAnsiTheme="minorHAnsi" w:cstheme="minorHAnsi"/>
          <w:color w:val="000000" w:themeColor="text1"/>
          <w:szCs w:val="21"/>
        </w:rPr>
      </w:pPr>
      <w:r w:rsidRPr="006E46DB">
        <w:rPr>
          <w:rFonts w:asciiTheme="minorHAnsi" w:hAnsiTheme="minorHAnsi" w:cstheme="minorHAnsi"/>
        </w:rPr>
        <w:fldChar w:fldCharType="begin"/>
      </w:r>
      <w:r w:rsidRPr="006E46DB">
        <w:rPr>
          <w:rFonts w:asciiTheme="minorHAnsi" w:hAnsiTheme="minorHAnsi" w:cstheme="minorHAnsi"/>
        </w:rPr>
        <w:instrText xml:space="preserve"> REF _Ref153287157 \h </w:instrText>
      </w:r>
      <w:r w:rsidR="006E46DB" w:rsidRPr="006E46DB">
        <w:rPr>
          <w:rFonts w:asciiTheme="minorHAnsi" w:hAnsiTheme="minorHAnsi" w:cstheme="minorHAnsi"/>
        </w:rPr>
        <w:instrText xml:space="preserve"> \* MERGEFORMAT </w:instrText>
      </w:r>
      <w:r w:rsidRPr="006E46DB">
        <w:rPr>
          <w:rFonts w:asciiTheme="minorHAnsi" w:hAnsiTheme="minorHAnsi" w:cstheme="minorHAnsi"/>
        </w:rPr>
      </w:r>
      <w:r w:rsidRPr="006E46DB">
        <w:rPr>
          <w:rFonts w:asciiTheme="minorHAnsi" w:hAnsiTheme="minorHAnsi" w:cstheme="minorHAnsi"/>
        </w:rPr>
        <w:fldChar w:fldCharType="separate"/>
      </w:r>
      <w:r w:rsidR="00722C0A" w:rsidRPr="00722C0A">
        <w:rPr>
          <w:rFonts w:asciiTheme="minorHAnsi" w:hAnsiTheme="minorHAnsi" w:cstheme="minorHAnsi"/>
        </w:rPr>
        <w:t>Figure 3.3</w:t>
      </w:r>
      <w:r w:rsidRPr="006E46DB">
        <w:rPr>
          <w:rFonts w:asciiTheme="minorHAnsi" w:hAnsiTheme="minorHAnsi" w:cstheme="minorHAnsi"/>
        </w:rPr>
        <w:fldChar w:fldCharType="end"/>
      </w:r>
      <w:r>
        <w:rPr>
          <w:rFonts w:asciiTheme="minorHAnsi" w:hAnsiTheme="minorHAnsi" w:cstheme="minorHAnsi"/>
          <w:szCs w:val="21"/>
        </w:rPr>
        <w:t xml:space="preserve"> </w:t>
      </w:r>
      <w:r w:rsidR="00032D29">
        <w:rPr>
          <w:rFonts w:asciiTheme="minorHAnsi" w:hAnsiTheme="minorHAnsi" w:cstheme="minorHAnsi"/>
          <w:szCs w:val="21"/>
        </w:rPr>
        <w:t xml:space="preserve">shows </w:t>
      </w:r>
      <w:r w:rsidR="007104A7">
        <w:rPr>
          <w:rFonts w:asciiTheme="minorHAnsi" w:hAnsiTheme="minorHAnsi" w:cstheme="minorHAnsi"/>
          <w:szCs w:val="21"/>
        </w:rPr>
        <w:t>over the next 5</w:t>
      </w:r>
      <w:r w:rsidR="00E46C6A">
        <w:rPr>
          <w:rFonts w:asciiTheme="minorHAnsi" w:hAnsiTheme="minorHAnsi" w:cstheme="minorHAnsi"/>
          <w:szCs w:val="21"/>
        </w:rPr>
        <w:t> year</w:t>
      </w:r>
      <w:r w:rsidR="007104A7">
        <w:rPr>
          <w:rFonts w:asciiTheme="minorHAnsi" w:hAnsiTheme="minorHAnsi" w:cstheme="minorHAnsi"/>
          <w:szCs w:val="21"/>
        </w:rPr>
        <w:t xml:space="preserve">s, </w:t>
      </w:r>
      <w:r w:rsidR="008238C3">
        <w:rPr>
          <w:rFonts w:asciiTheme="minorHAnsi" w:hAnsiTheme="minorHAnsi" w:cstheme="minorHAnsi"/>
          <w:szCs w:val="21"/>
        </w:rPr>
        <w:t>people</w:t>
      </w:r>
      <w:r w:rsidR="00DB4DAF">
        <w:rPr>
          <w:rFonts w:asciiTheme="minorHAnsi" w:hAnsiTheme="minorHAnsi" w:cstheme="minorHAnsi"/>
          <w:szCs w:val="21"/>
        </w:rPr>
        <w:t xml:space="preserve"> aged </w:t>
      </w:r>
      <w:r w:rsidR="00EA4DA6">
        <w:rPr>
          <w:rFonts w:asciiTheme="minorHAnsi" w:hAnsiTheme="minorHAnsi" w:cstheme="minorHAnsi"/>
          <w:szCs w:val="21"/>
        </w:rPr>
        <w:t>22</w:t>
      </w:r>
      <w:r w:rsidR="00824848">
        <w:rPr>
          <w:rFonts w:asciiTheme="minorHAnsi" w:hAnsiTheme="minorHAnsi" w:cstheme="minorHAnsi"/>
          <w:szCs w:val="21"/>
        </w:rPr>
        <w:t xml:space="preserve"> to </w:t>
      </w:r>
      <w:r w:rsidR="00EA4DA6">
        <w:rPr>
          <w:rFonts w:asciiTheme="minorHAnsi" w:hAnsiTheme="minorHAnsi" w:cstheme="minorHAnsi"/>
          <w:szCs w:val="21"/>
        </w:rPr>
        <w:t>25</w:t>
      </w:r>
      <w:r w:rsidR="00824848">
        <w:rPr>
          <w:rFonts w:asciiTheme="minorHAnsi" w:hAnsiTheme="minorHAnsi" w:cstheme="minorHAnsi"/>
          <w:szCs w:val="21"/>
        </w:rPr>
        <w:t xml:space="preserve"> </w:t>
      </w:r>
      <w:r w:rsidR="005833EA">
        <w:rPr>
          <w:rFonts w:asciiTheme="minorHAnsi" w:hAnsiTheme="minorHAnsi" w:cstheme="minorHAnsi"/>
          <w:szCs w:val="21"/>
        </w:rPr>
        <w:t>receiving</w:t>
      </w:r>
      <w:r w:rsidR="002346A5" w:rsidRPr="009D7B6D">
        <w:rPr>
          <w:rFonts w:asciiTheme="minorHAnsi" w:hAnsiTheme="minorHAnsi" w:cstheme="minorHAnsi"/>
          <w:szCs w:val="21"/>
        </w:rPr>
        <w:t xml:space="preserve"> </w:t>
      </w:r>
      <w:r w:rsidR="005E332C">
        <w:rPr>
          <w:rFonts w:asciiTheme="minorHAnsi" w:hAnsiTheme="minorHAnsi" w:cstheme="minorHAnsi"/>
          <w:szCs w:val="21"/>
        </w:rPr>
        <w:t>JobSeeker Payment</w:t>
      </w:r>
      <w:r w:rsidR="002346A5" w:rsidRPr="009D7B6D">
        <w:rPr>
          <w:rFonts w:asciiTheme="minorHAnsi" w:hAnsiTheme="minorHAnsi" w:cstheme="minorHAnsi"/>
          <w:szCs w:val="21"/>
        </w:rPr>
        <w:t xml:space="preserve"> are projected to spend the </w:t>
      </w:r>
      <w:r w:rsidR="000E6A0D">
        <w:rPr>
          <w:rFonts w:asciiTheme="minorHAnsi" w:hAnsiTheme="minorHAnsi" w:cstheme="minorHAnsi"/>
          <w:szCs w:val="21"/>
        </w:rPr>
        <w:t>greatest length of</w:t>
      </w:r>
      <w:r w:rsidR="000E6A0D" w:rsidRPr="009D7B6D">
        <w:rPr>
          <w:rFonts w:asciiTheme="minorHAnsi" w:hAnsiTheme="minorHAnsi" w:cstheme="minorHAnsi"/>
          <w:szCs w:val="21"/>
        </w:rPr>
        <w:t xml:space="preserve"> </w:t>
      </w:r>
      <w:r w:rsidR="002346A5" w:rsidRPr="009D7B6D">
        <w:rPr>
          <w:rFonts w:asciiTheme="minorHAnsi" w:hAnsiTheme="minorHAnsi" w:cstheme="minorHAnsi"/>
          <w:szCs w:val="21"/>
        </w:rPr>
        <w:t>time on working age payments</w:t>
      </w:r>
      <w:r w:rsidR="007104A7">
        <w:rPr>
          <w:rFonts w:asciiTheme="minorHAnsi" w:hAnsiTheme="minorHAnsi" w:cstheme="minorHAnsi"/>
          <w:szCs w:val="21"/>
        </w:rPr>
        <w:t xml:space="preserve"> (2</w:t>
      </w:r>
      <w:r w:rsidR="00E46C6A">
        <w:rPr>
          <w:rFonts w:asciiTheme="minorHAnsi" w:hAnsiTheme="minorHAnsi" w:cstheme="minorHAnsi"/>
          <w:szCs w:val="21"/>
        </w:rPr>
        <w:t> year</w:t>
      </w:r>
      <w:r w:rsidR="007104A7">
        <w:rPr>
          <w:rFonts w:asciiTheme="minorHAnsi" w:hAnsiTheme="minorHAnsi" w:cstheme="minorHAnsi"/>
          <w:szCs w:val="21"/>
        </w:rPr>
        <w:t>s)</w:t>
      </w:r>
      <w:r w:rsidR="005833EA">
        <w:rPr>
          <w:rFonts w:asciiTheme="minorHAnsi" w:hAnsiTheme="minorHAnsi" w:cstheme="minorHAnsi"/>
          <w:szCs w:val="21"/>
        </w:rPr>
        <w:t>.</w:t>
      </w:r>
      <w:r w:rsidR="00033422">
        <w:rPr>
          <w:rFonts w:asciiTheme="minorHAnsi" w:hAnsiTheme="minorHAnsi" w:cstheme="minorHAnsi"/>
          <w:szCs w:val="21"/>
        </w:rPr>
        <w:t xml:space="preserve"> </w:t>
      </w:r>
      <w:r w:rsidR="00220431">
        <w:rPr>
          <w:rFonts w:asciiTheme="minorHAnsi" w:hAnsiTheme="minorHAnsi" w:cstheme="minorHAnsi"/>
          <w:szCs w:val="21"/>
        </w:rPr>
        <w:t xml:space="preserve">Those </w:t>
      </w:r>
      <w:r w:rsidR="00033422">
        <w:rPr>
          <w:rFonts w:asciiTheme="minorHAnsi" w:hAnsiTheme="minorHAnsi" w:cstheme="minorHAnsi"/>
          <w:szCs w:val="21"/>
        </w:rPr>
        <w:t xml:space="preserve">receiving </w:t>
      </w:r>
      <w:r w:rsidR="002346A5" w:rsidRPr="009D7B6D">
        <w:rPr>
          <w:rFonts w:asciiTheme="minorHAnsi" w:hAnsiTheme="minorHAnsi" w:cstheme="minorHAnsi"/>
          <w:szCs w:val="21"/>
        </w:rPr>
        <w:t xml:space="preserve">studying payments </w:t>
      </w:r>
      <w:r w:rsidR="005833EA">
        <w:rPr>
          <w:rFonts w:asciiTheme="minorHAnsi" w:hAnsiTheme="minorHAnsi" w:cstheme="minorHAnsi"/>
          <w:szCs w:val="21"/>
        </w:rPr>
        <w:t>are projected to s</w:t>
      </w:r>
      <w:r w:rsidR="002346A5" w:rsidRPr="009D7B6D">
        <w:rPr>
          <w:rFonts w:asciiTheme="minorHAnsi" w:hAnsiTheme="minorHAnsi" w:cstheme="minorHAnsi"/>
          <w:szCs w:val="21"/>
        </w:rPr>
        <w:t>pend</w:t>
      </w:r>
      <w:r w:rsidR="007104A7">
        <w:rPr>
          <w:rFonts w:asciiTheme="minorHAnsi" w:hAnsiTheme="minorHAnsi" w:cstheme="minorHAnsi"/>
          <w:szCs w:val="21"/>
        </w:rPr>
        <w:t xml:space="preserve"> </w:t>
      </w:r>
      <w:r w:rsidR="005833EA">
        <w:rPr>
          <w:rFonts w:asciiTheme="minorHAnsi" w:hAnsiTheme="minorHAnsi" w:cstheme="minorHAnsi"/>
          <w:szCs w:val="21"/>
        </w:rPr>
        <w:t xml:space="preserve">less time </w:t>
      </w:r>
      <w:r w:rsidR="007104A7">
        <w:rPr>
          <w:rFonts w:asciiTheme="minorHAnsi" w:hAnsiTheme="minorHAnsi" w:cstheme="minorHAnsi"/>
          <w:szCs w:val="21"/>
        </w:rPr>
        <w:t>on</w:t>
      </w:r>
      <w:r w:rsidR="007104A7" w:rsidRPr="005833EA">
        <w:rPr>
          <w:rFonts w:asciiTheme="minorHAnsi" w:hAnsiTheme="minorHAnsi" w:cstheme="minorHAnsi"/>
          <w:szCs w:val="21"/>
        </w:rPr>
        <w:t xml:space="preserve"> </w:t>
      </w:r>
      <w:r w:rsidR="005833EA" w:rsidRPr="005833EA">
        <w:rPr>
          <w:rFonts w:asciiTheme="minorHAnsi" w:hAnsiTheme="minorHAnsi" w:cstheme="minorHAnsi"/>
          <w:szCs w:val="21"/>
        </w:rPr>
        <w:t>income support overall</w:t>
      </w:r>
      <w:r w:rsidR="007104A7">
        <w:rPr>
          <w:rFonts w:asciiTheme="minorHAnsi" w:hAnsiTheme="minorHAnsi" w:cstheme="minorHAnsi"/>
          <w:szCs w:val="21"/>
        </w:rPr>
        <w:t xml:space="preserve"> (1.4</w:t>
      </w:r>
      <w:r w:rsidR="00E46C6A">
        <w:rPr>
          <w:rFonts w:asciiTheme="minorHAnsi" w:hAnsiTheme="minorHAnsi" w:cstheme="minorHAnsi"/>
          <w:szCs w:val="21"/>
        </w:rPr>
        <w:t> year</w:t>
      </w:r>
      <w:r w:rsidR="007104A7">
        <w:rPr>
          <w:rFonts w:asciiTheme="minorHAnsi" w:hAnsiTheme="minorHAnsi" w:cstheme="minorHAnsi"/>
          <w:szCs w:val="21"/>
        </w:rPr>
        <w:t>s)</w:t>
      </w:r>
      <w:r w:rsidR="002346A5" w:rsidRPr="005833EA">
        <w:rPr>
          <w:rFonts w:asciiTheme="minorHAnsi" w:hAnsiTheme="minorHAnsi" w:cstheme="minorHAnsi"/>
          <w:szCs w:val="21"/>
        </w:rPr>
        <w:t xml:space="preserve">. </w:t>
      </w:r>
      <w:r w:rsidR="007104A7">
        <w:rPr>
          <w:rFonts w:asciiTheme="minorHAnsi" w:hAnsiTheme="minorHAnsi" w:cstheme="minorHAnsi"/>
          <w:color w:val="000000" w:themeColor="text1"/>
          <w:szCs w:val="21"/>
        </w:rPr>
        <w:t xml:space="preserve">Note people not receiving income support may be employed or studying and do not require </w:t>
      </w:r>
      <w:r w:rsidR="00E93DFE">
        <w:rPr>
          <w:rFonts w:asciiTheme="minorHAnsi" w:hAnsiTheme="minorHAnsi" w:cstheme="minorHAnsi"/>
          <w:color w:val="000000" w:themeColor="text1"/>
          <w:szCs w:val="21"/>
        </w:rPr>
        <w:t>income support.</w:t>
      </w:r>
    </w:p>
    <w:p w14:paraId="166D4C6F" w14:textId="69FDF03A" w:rsidR="00B04FCE" w:rsidRDefault="007855DD" w:rsidP="005E332C">
      <w:pPr>
        <w:pStyle w:val="FigureMainHeading"/>
      </w:pPr>
      <w:bookmarkStart w:id="34" w:name="_Ref153287157"/>
      <w:r>
        <w:t>Figure </w:t>
      </w:r>
      <w:r w:rsidR="00B80D45">
        <w:fldChar w:fldCharType="begin"/>
      </w:r>
      <w:r w:rsidR="00B80D45">
        <w:instrText xml:space="preserve"> STYLEREF 1 \s </w:instrText>
      </w:r>
      <w:r w:rsidR="00B80D45">
        <w:fldChar w:fldCharType="separate"/>
      </w:r>
      <w:r w:rsidR="00722C0A">
        <w:rPr>
          <w:noProof/>
        </w:rPr>
        <w:t>3</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3</w:t>
      </w:r>
      <w:r w:rsidR="00B80D45">
        <w:rPr>
          <w:noProof/>
        </w:rPr>
        <w:fldChar w:fldCharType="end"/>
      </w:r>
      <w:bookmarkEnd w:id="34"/>
      <w:r w:rsidR="005E332C">
        <w:t>:</w:t>
      </w:r>
      <w:r w:rsidR="005E332C">
        <w:tab/>
      </w:r>
      <w:r w:rsidR="00584485">
        <w:t>A</w:t>
      </w:r>
      <w:r w:rsidR="00B40C95" w:rsidRPr="00A049E8">
        <w:t xml:space="preserve">verage projected </w:t>
      </w:r>
      <w:r w:rsidR="00B40C95">
        <w:t>time receiving income support</w:t>
      </w:r>
      <w:r w:rsidR="00A237FB">
        <w:t xml:space="preserve"> </w:t>
      </w:r>
      <w:r w:rsidR="00A237FB" w:rsidRPr="00A049E8">
        <w:t>over the next 5</w:t>
      </w:r>
      <w:r w:rsidR="00E46C6A">
        <w:t> year</w:t>
      </w:r>
      <w:r w:rsidR="00A237FB" w:rsidRPr="00A049E8">
        <w:t>s</w:t>
      </w:r>
      <w:r w:rsidR="00B40C95" w:rsidRPr="00A049E8">
        <w:t xml:space="preserve"> for people aged 22 to 25</w:t>
      </w:r>
    </w:p>
    <w:p w14:paraId="79CC34FC" w14:textId="777DD1F5" w:rsidR="002346A5" w:rsidRDefault="00CF7556" w:rsidP="00A06FAA">
      <w:pPr>
        <w:pStyle w:val="ChartGraphic"/>
      </w:pPr>
      <w:r>
        <w:rPr>
          <w:noProof/>
        </w:rPr>
        <w:drawing>
          <wp:inline distT="0" distB="0" distL="0" distR="0" wp14:anchorId="412B78F2" wp14:editId="153B352E">
            <wp:extent cx="4319905" cy="2181885"/>
            <wp:effectExtent l="0" t="0" r="4445" b="8890"/>
            <wp:docPr id="240" name="Chart 240" descr="This chart shows the average projected time receiving a) working age payments and b) income support for people aged 22 to 25 over the next 5 years, split by:&#10;&#10;- Those on JobSeeker Payment: a) 2 years, b) 2.4 years&#10;- Those on studying payments: a) 0.3 years, b) 1.4 years&#10;- Those not on income support: a) 0.1 years, b) 0.2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3077092" w14:textId="31F32C81" w:rsidR="00B04FCE" w:rsidRDefault="00EE6F22" w:rsidP="00D5724F">
      <w:r>
        <w:br w:type="column"/>
      </w:r>
      <w:r w:rsidR="00DC38AA">
        <w:t>On</w:t>
      </w:r>
      <w:r w:rsidR="00D13BBD">
        <w:t xml:space="preserve"> average o</w:t>
      </w:r>
      <w:r w:rsidR="005833EA">
        <w:t>ver the next 5</w:t>
      </w:r>
      <w:r w:rsidR="00E46C6A">
        <w:t> year</w:t>
      </w:r>
      <w:r w:rsidR="005833EA">
        <w:t xml:space="preserve">s, </w:t>
      </w:r>
      <w:r w:rsidR="003D3A4A">
        <w:t xml:space="preserve">those aged </w:t>
      </w:r>
      <w:r w:rsidR="0071636F">
        <w:t>22</w:t>
      </w:r>
      <w:r w:rsidR="003D3A4A">
        <w:t xml:space="preserve"> to </w:t>
      </w:r>
      <w:r w:rsidR="0071636F">
        <w:t>25</w:t>
      </w:r>
      <w:r w:rsidR="005833EA">
        <w:t xml:space="preserve"> receiving </w:t>
      </w:r>
      <w:r w:rsidR="005E332C">
        <w:t>JobSeeker Payment</w:t>
      </w:r>
      <w:r w:rsidR="005833EA">
        <w:t xml:space="preserve"> are projected to spend 1.7</w:t>
      </w:r>
      <w:r w:rsidR="00F40387">
        <w:t> times</w:t>
      </w:r>
      <w:r w:rsidR="00D449BA">
        <w:t xml:space="preserve"> </w:t>
      </w:r>
      <w:r w:rsidR="005833EA">
        <w:t>long</w:t>
      </w:r>
      <w:r w:rsidR="00825FF7">
        <w:t>er</w:t>
      </w:r>
      <w:r w:rsidR="005833EA">
        <w:t xml:space="preserve"> </w:t>
      </w:r>
      <w:r w:rsidR="00D449BA">
        <w:t>(1</w:t>
      </w:r>
      <w:r w:rsidR="007855DD">
        <w:t> more</w:t>
      </w:r>
      <w:r w:rsidR="00D172BC">
        <w:t xml:space="preserve"> </w:t>
      </w:r>
      <w:r w:rsidR="00D449BA">
        <w:t xml:space="preserve">year) </w:t>
      </w:r>
      <w:r w:rsidR="005833EA">
        <w:t xml:space="preserve">receiving income support </w:t>
      </w:r>
      <w:r w:rsidR="00E87FD8">
        <w:t xml:space="preserve">than </w:t>
      </w:r>
      <w:r w:rsidR="005833EA">
        <w:t xml:space="preserve">those receiving </w:t>
      </w:r>
      <w:r w:rsidR="003028D1">
        <w:t>s</w:t>
      </w:r>
      <w:r w:rsidR="005833EA">
        <w:t xml:space="preserve">tudying </w:t>
      </w:r>
      <w:r w:rsidR="003028D1">
        <w:t>p</w:t>
      </w:r>
      <w:r w:rsidR="005833EA">
        <w:t xml:space="preserve">ayments. </w:t>
      </w:r>
      <w:r w:rsidR="00825FF7">
        <w:t>There is a larger</w:t>
      </w:r>
      <w:r w:rsidR="00D13BBD">
        <w:t xml:space="preserve"> difference when considering the entire working life</w:t>
      </w:r>
      <w:r w:rsidR="007104A7">
        <w:t xml:space="preserve"> prior to retirement age.</w:t>
      </w:r>
      <w:r w:rsidR="00754808">
        <w:t xml:space="preserve"> </w:t>
      </w:r>
      <w:r w:rsidR="000F007F">
        <w:fldChar w:fldCharType="begin"/>
      </w:r>
      <w:r w:rsidR="000F007F">
        <w:instrText xml:space="preserve"> REF _Ref153287948 \h  \* MERGEFORMAT </w:instrText>
      </w:r>
      <w:r w:rsidR="000F007F">
        <w:fldChar w:fldCharType="separate"/>
      </w:r>
      <w:r w:rsidR="00722C0A">
        <w:t>Figure 3.4</w:t>
      </w:r>
      <w:r w:rsidR="000F007F">
        <w:fldChar w:fldCharType="end"/>
      </w:r>
      <w:r w:rsidR="000F007F">
        <w:t xml:space="preserve"> </w:t>
      </w:r>
      <w:r w:rsidR="007104A7">
        <w:t>shows</w:t>
      </w:r>
      <w:r w:rsidR="00D13BBD">
        <w:t xml:space="preserve"> those receiving </w:t>
      </w:r>
      <w:r w:rsidR="005E332C">
        <w:t>JobSeeker Payment</w:t>
      </w:r>
      <w:r w:rsidR="00D13BBD">
        <w:t xml:space="preserve"> </w:t>
      </w:r>
      <w:r w:rsidR="00A71464">
        <w:t xml:space="preserve">are </w:t>
      </w:r>
      <w:r w:rsidR="00D13BBD">
        <w:t xml:space="preserve">projected to spend </w:t>
      </w:r>
      <w:r w:rsidR="00E52683">
        <w:t>2.6</w:t>
      </w:r>
      <w:r w:rsidR="00F40387">
        <w:t> times</w:t>
      </w:r>
      <w:r w:rsidR="00D13BBD">
        <w:t xml:space="preserve"> long</w:t>
      </w:r>
      <w:r w:rsidR="006C634E">
        <w:t>er</w:t>
      </w:r>
      <w:r w:rsidR="00D449BA">
        <w:t xml:space="preserve"> (6.6</w:t>
      </w:r>
      <w:r w:rsidR="007855DD">
        <w:t> more</w:t>
      </w:r>
      <w:r w:rsidR="00DD11DD">
        <w:t xml:space="preserve"> years</w:t>
      </w:r>
      <w:r w:rsidR="00D449BA">
        <w:t xml:space="preserve">) </w:t>
      </w:r>
      <w:r w:rsidR="00D13BBD">
        <w:t xml:space="preserve">receiving income support </w:t>
      </w:r>
      <w:r w:rsidR="00D13BBD" w:rsidRPr="009D7B6D">
        <w:rPr>
          <w:szCs w:val="21"/>
        </w:rPr>
        <w:t xml:space="preserve">on average </w:t>
      </w:r>
      <w:r w:rsidR="00754808">
        <w:rPr>
          <w:szCs w:val="21"/>
        </w:rPr>
        <w:t>(10.8</w:t>
      </w:r>
      <w:r w:rsidR="00E46C6A">
        <w:rPr>
          <w:szCs w:val="21"/>
        </w:rPr>
        <w:t> year</w:t>
      </w:r>
      <w:r w:rsidR="00754808">
        <w:rPr>
          <w:szCs w:val="21"/>
        </w:rPr>
        <w:t>s)</w:t>
      </w:r>
      <w:r w:rsidR="00D13BBD" w:rsidRPr="009D7B6D">
        <w:rPr>
          <w:szCs w:val="21"/>
        </w:rPr>
        <w:t xml:space="preserve"> </w:t>
      </w:r>
      <w:r w:rsidR="00D13BBD">
        <w:t xml:space="preserve">than those receiving </w:t>
      </w:r>
      <w:r w:rsidR="003028D1">
        <w:t>s</w:t>
      </w:r>
      <w:r w:rsidR="00D13BBD">
        <w:t xml:space="preserve">tudying </w:t>
      </w:r>
      <w:r w:rsidR="003028D1">
        <w:t>p</w:t>
      </w:r>
      <w:r w:rsidR="00D13BBD">
        <w:t>ayments</w:t>
      </w:r>
      <w:r w:rsidR="00754808">
        <w:t xml:space="preserve"> (4.2</w:t>
      </w:r>
      <w:r w:rsidR="00E46C6A">
        <w:t> year</w:t>
      </w:r>
      <w:r w:rsidR="00754808">
        <w:t>s)</w:t>
      </w:r>
      <w:r w:rsidR="00D13BBD">
        <w:t>.</w:t>
      </w:r>
    </w:p>
    <w:p w14:paraId="499AEBAF" w14:textId="68F4EC84" w:rsidR="000F007F" w:rsidRDefault="007855DD" w:rsidP="005E332C">
      <w:pPr>
        <w:pStyle w:val="FigureMainHeading"/>
      </w:pPr>
      <w:bookmarkStart w:id="35" w:name="_Ref153287948"/>
      <w:r>
        <w:t>Figure </w:t>
      </w:r>
      <w:r w:rsidR="00B80D45">
        <w:fldChar w:fldCharType="begin"/>
      </w:r>
      <w:r w:rsidR="00B80D45">
        <w:instrText xml:space="preserve"> STYLEREF 1 \s </w:instrText>
      </w:r>
      <w:r w:rsidR="00B80D45">
        <w:fldChar w:fldCharType="separate"/>
      </w:r>
      <w:r w:rsidR="00722C0A">
        <w:rPr>
          <w:noProof/>
        </w:rPr>
        <w:t>3</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4</w:t>
      </w:r>
      <w:r w:rsidR="00B80D45">
        <w:rPr>
          <w:noProof/>
        </w:rPr>
        <w:fldChar w:fldCharType="end"/>
      </w:r>
      <w:bookmarkEnd w:id="35"/>
      <w:r w:rsidR="005E332C">
        <w:t>:</w:t>
      </w:r>
      <w:r w:rsidR="005E332C">
        <w:tab/>
      </w:r>
      <w:r w:rsidR="00584485">
        <w:t>A</w:t>
      </w:r>
      <w:r w:rsidR="000F007F" w:rsidRPr="00A049E8">
        <w:t xml:space="preserve">verage </w:t>
      </w:r>
      <w:r w:rsidR="000F007F">
        <w:t>projected time receiving income support before retirement</w:t>
      </w:r>
      <w:r w:rsidR="000F007F" w:rsidRPr="00A049E8">
        <w:t xml:space="preserve"> for people aged 22 to 25</w:t>
      </w:r>
    </w:p>
    <w:p w14:paraId="05BF9149" w14:textId="55D156BB" w:rsidR="00B04FCE" w:rsidRDefault="00F16F05" w:rsidP="00A06FAA">
      <w:pPr>
        <w:pStyle w:val="ChartGraphic"/>
      </w:pPr>
      <w:r>
        <w:rPr>
          <w:noProof/>
        </w:rPr>
        <w:drawing>
          <wp:inline distT="0" distB="0" distL="0" distR="0" wp14:anchorId="78EEB668" wp14:editId="478BD318">
            <wp:extent cx="4319905" cy="2124075"/>
            <wp:effectExtent l="0" t="0" r="4445" b="0"/>
            <wp:docPr id="323" name="Chart 323" descr="This chart shows the average projected time receiving a) working age payments and b) income support for people aged 22 to 25 over their pre-retirement lifetime, split by:&#10;&#10;- Those on JobSeeker Payment: a) 5.9 years, b) 10.8 years&#10;- Those on studying payments: a) 1.5 years, b) 4.2 years&#10;- Those not on income support: a) 0.9 years, b) 2.2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28DF75" w14:textId="67C8722B" w:rsidR="002346A5" w:rsidRDefault="00EE6F22" w:rsidP="00D5724F">
      <w:r>
        <w:br w:type="column"/>
      </w:r>
      <w:r w:rsidR="002346A5" w:rsidRPr="00C53C90">
        <w:rPr>
          <w:rFonts w:asciiTheme="minorHAnsi" w:hAnsiTheme="minorHAnsi"/>
          <w:b/>
          <w:color w:val="74000E" w:themeColor="accent1"/>
          <w:kern w:val="20"/>
          <w:szCs w:val="28"/>
        </w:rPr>
        <w:lastRenderedPageBreak/>
        <w:t xml:space="preserve">People on </w:t>
      </w:r>
      <w:r w:rsidR="005E332C" w:rsidRPr="00C53C90">
        <w:rPr>
          <w:rFonts w:asciiTheme="minorHAnsi" w:hAnsiTheme="minorHAnsi"/>
          <w:b/>
          <w:color w:val="74000E" w:themeColor="accent1"/>
          <w:kern w:val="20"/>
          <w:szCs w:val="28"/>
        </w:rPr>
        <w:t>JobSeeker Payment</w:t>
      </w:r>
      <w:r w:rsidR="002346A5" w:rsidRPr="00C53C90">
        <w:rPr>
          <w:rFonts w:asciiTheme="minorHAnsi" w:hAnsiTheme="minorHAnsi"/>
          <w:b/>
          <w:color w:val="74000E" w:themeColor="accent1"/>
          <w:kern w:val="20"/>
          <w:szCs w:val="28"/>
        </w:rPr>
        <w:t xml:space="preserve"> aged 22</w:t>
      </w:r>
      <w:r w:rsidR="00877153" w:rsidRPr="00C53C90">
        <w:rPr>
          <w:rFonts w:asciiTheme="minorHAnsi" w:hAnsiTheme="minorHAnsi"/>
          <w:b/>
          <w:color w:val="74000E" w:themeColor="accent1"/>
          <w:kern w:val="20"/>
          <w:szCs w:val="28"/>
        </w:rPr>
        <w:t xml:space="preserve"> to </w:t>
      </w:r>
      <w:r w:rsidR="002346A5" w:rsidRPr="00C53C90">
        <w:rPr>
          <w:rFonts w:asciiTheme="minorHAnsi" w:hAnsiTheme="minorHAnsi"/>
          <w:b/>
          <w:color w:val="74000E" w:themeColor="accent1"/>
          <w:kern w:val="20"/>
          <w:szCs w:val="28"/>
        </w:rPr>
        <w:t xml:space="preserve">25 who did not finish Year 12 are projected to spend </w:t>
      </w:r>
      <w:r w:rsidR="00D13BBD" w:rsidRPr="00C53C90">
        <w:rPr>
          <w:rFonts w:asciiTheme="minorHAnsi" w:hAnsiTheme="minorHAnsi"/>
          <w:b/>
          <w:color w:val="74000E" w:themeColor="accent1"/>
          <w:kern w:val="20"/>
          <w:szCs w:val="28"/>
        </w:rPr>
        <w:t>1.</w:t>
      </w:r>
      <w:r w:rsidR="00796058" w:rsidRPr="00C53C90">
        <w:rPr>
          <w:rFonts w:asciiTheme="minorHAnsi" w:hAnsiTheme="minorHAnsi"/>
          <w:b/>
          <w:color w:val="74000E" w:themeColor="accent1"/>
          <w:kern w:val="20"/>
          <w:szCs w:val="28"/>
        </w:rPr>
        <w:t>4</w:t>
      </w:r>
      <w:r w:rsidR="00F40387" w:rsidRPr="00C53C90">
        <w:rPr>
          <w:rFonts w:asciiTheme="minorHAnsi" w:hAnsiTheme="minorHAnsi"/>
          <w:b/>
          <w:color w:val="74000E" w:themeColor="accent1"/>
          <w:kern w:val="20"/>
          <w:szCs w:val="28"/>
        </w:rPr>
        <w:t> times</w:t>
      </w:r>
      <w:r w:rsidR="00D13BBD" w:rsidRPr="00C53C90">
        <w:rPr>
          <w:rFonts w:asciiTheme="minorHAnsi" w:hAnsiTheme="minorHAnsi"/>
          <w:b/>
          <w:color w:val="74000E" w:themeColor="accent1"/>
          <w:kern w:val="20"/>
          <w:szCs w:val="28"/>
        </w:rPr>
        <w:t xml:space="preserve"> </w:t>
      </w:r>
      <w:r w:rsidR="002346A5" w:rsidRPr="00C53C90">
        <w:rPr>
          <w:rFonts w:asciiTheme="minorHAnsi" w:hAnsiTheme="minorHAnsi"/>
          <w:b/>
          <w:color w:val="74000E" w:themeColor="accent1"/>
          <w:kern w:val="20"/>
          <w:szCs w:val="28"/>
        </w:rPr>
        <w:t xml:space="preserve">longer </w:t>
      </w:r>
      <w:r w:rsidR="00D449BA" w:rsidRPr="00C53C90">
        <w:rPr>
          <w:rFonts w:asciiTheme="minorHAnsi" w:hAnsiTheme="minorHAnsi"/>
          <w:b/>
          <w:color w:val="74000E" w:themeColor="accent1"/>
          <w:kern w:val="20"/>
          <w:szCs w:val="28"/>
        </w:rPr>
        <w:t>(2.4</w:t>
      </w:r>
      <w:r w:rsidR="007855DD" w:rsidRPr="00C53C90">
        <w:rPr>
          <w:rFonts w:asciiTheme="minorHAnsi" w:hAnsiTheme="minorHAnsi"/>
          <w:b/>
          <w:color w:val="74000E" w:themeColor="accent1"/>
          <w:kern w:val="20"/>
          <w:szCs w:val="28"/>
        </w:rPr>
        <w:t> more</w:t>
      </w:r>
      <w:r w:rsidR="00DD11DD" w:rsidRPr="00C53C90">
        <w:rPr>
          <w:rFonts w:asciiTheme="minorHAnsi" w:hAnsiTheme="minorHAnsi"/>
          <w:b/>
          <w:color w:val="74000E" w:themeColor="accent1"/>
          <w:kern w:val="20"/>
          <w:szCs w:val="28"/>
        </w:rPr>
        <w:t xml:space="preserve"> years</w:t>
      </w:r>
      <w:r w:rsidR="00D449BA" w:rsidRPr="00C53C90">
        <w:rPr>
          <w:rFonts w:asciiTheme="minorHAnsi" w:hAnsiTheme="minorHAnsi"/>
          <w:b/>
          <w:color w:val="74000E" w:themeColor="accent1"/>
          <w:kern w:val="20"/>
          <w:szCs w:val="28"/>
        </w:rPr>
        <w:t xml:space="preserve">) </w:t>
      </w:r>
      <w:r w:rsidR="002346A5" w:rsidRPr="00C53C90">
        <w:rPr>
          <w:rFonts w:asciiTheme="minorHAnsi" w:hAnsiTheme="minorHAnsi"/>
          <w:b/>
          <w:color w:val="74000E" w:themeColor="accent1"/>
          <w:kern w:val="20"/>
          <w:szCs w:val="28"/>
        </w:rPr>
        <w:t>on working age payments</w:t>
      </w:r>
      <w:r w:rsidR="00D13BBD" w:rsidRPr="00C53C90">
        <w:rPr>
          <w:rFonts w:asciiTheme="minorHAnsi" w:hAnsiTheme="minorHAnsi"/>
          <w:b/>
          <w:color w:val="74000E" w:themeColor="accent1"/>
          <w:kern w:val="20"/>
          <w:szCs w:val="28"/>
        </w:rPr>
        <w:t xml:space="preserve"> before retirement age</w:t>
      </w:r>
      <w:r w:rsidR="002346A5" w:rsidRPr="00C53C90">
        <w:rPr>
          <w:rFonts w:asciiTheme="minorHAnsi" w:hAnsiTheme="minorHAnsi"/>
          <w:b/>
          <w:color w:val="74000E" w:themeColor="accent1"/>
          <w:kern w:val="20"/>
          <w:szCs w:val="28"/>
        </w:rPr>
        <w:t xml:space="preserve"> than those who did</w:t>
      </w:r>
      <w:r w:rsidR="006C634E" w:rsidRPr="00C53C90">
        <w:rPr>
          <w:rFonts w:asciiTheme="minorHAnsi" w:hAnsiTheme="minorHAnsi"/>
          <w:b/>
          <w:color w:val="74000E" w:themeColor="accent1"/>
          <w:kern w:val="20"/>
          <w:szCs w:val="28"/>
        </w:rPr>
        <w:t xml:space="preserve"> complete Year 12</w:t>
      </w:r>
      <w:r w:rsidR="002346A5" w:rsidRPr="00C53C90">
        <w:rPr>
          <w:rFonts w:asciiTheme="minorHAnsi" w:hAnsiTheme="minorHAnsi"/>
          <w:b/>
          <w:color w:val="74000E" w:themeColor="accent1"/>
          <w:kern w:val="20"/>
          <w:szCs w:val="28"/>
        </w:rPr>
        <w:t>.</w:t>
      </w:r>
    </w:p>
    <w:p w14:paraId="16E107C2" w14:textId="36148493" w:rsidR="00B04FCE" w:rsidRDefault="0098288A" w:rsidP="008A5323">
      <w:pPr>
        <w:rPr>
          <w:noProof/>
          <w:color w:val="000000" w:themeColor="text1"/>
          <w:sz w:val="24"/>
        </w:rPr>
      </w:pPr>
      <w:r>
        <w:rPr>
          <w:rFonts w:asciiTheme="minorHAnsi" w:hAnsiTheme="minorHAnsi" w:cstheme="minorHAnsi"/>
          <w:szCs w:val="21"/>
        </w:rPr>
        <w:t xml:space="preserve">As shown in </w:t>
      </w:r>
      <w:r w:rsidR="00AE37B6">
        <w:rPr>
          <w:rFonts w:asciiTheme="minorHAnsi" w:hAnsiTheme="minorHAnsi" w:cstheme="minorHAnsi"/>
          <w:szCs w:val="21"/>
        </w:rPr>
        <w:fldChar w:fldCharType="begin"/>
      </w:r>
      <w:r w:rsidR="00AE37B6">
        <w:rPr>
          <w:rFonts w:asciiTheme="minorHAnsi" w:hAnsiTheme="minorHAnsi" w:cstheme="minorHAnsi"/>
          <w:szCs w:val="21"/>
        </w:rPr>
        <w:instrText xml:space="preserve"> REF _Ref153289377 \h  \* MERGEFORMAT </w:instrText>
      </w:r>
      <w:r w:rsidR="00AE37B6">
        <w:rPr>
          <w:rFonts w:asciiTheme="minorHAnsi" w:hAnsiTheme="minorHAnsi" w:cstheme="minorHAnsi"/>
          <w:szCs w:val="21"/>
        </w:rPr>
      </w:r>
      <w:r w:rsidR="00AE37B6">
        <w:rPr>
          <w:rFonts w:asciiTheme="minorHAnsi" w:hAnsiTheme="minorHAnsi" w:cstheme="minorHAnsi"/>
          <w:szCs w:val="21"/>
        </w:rPr>
        <w:fldChar w:fldCharType="separate"/>
      </w:r>
      <w:r w:rsidR="00722C0A" w:rsidRPr="00722C0A">
        <w:rPr>
          <w:rFonts w:asciiTheme="minorHAnsi" w:hAnsiTheme="minorHAnsi" w:cstheme="minorHAnsi"/>
          <w:szCs w:val="21"/>
        </w:rPr>
        <w:t>Figure 3.5</w:t>
      </w:r>
      <w:r w:rsidR="00AE37B6">
        <w:rPr>
          <w:rFonts w:asciiTheme="minorHAnsi" w:hAnsiTheme="minorHAnsi" w:cstheme="minorHAnsi"/>
          <w:szCs w:val="21"/>
        </w:rPr>
        <w:fldChar w:fldCharType="end"/>
      </w:r>
      <w:r>
        <w:rPr>
          <w:rFonts w:asciiTheme="minorHAnsi" w:hAnsiTheme="minorHAnsi" w:cstheme="minorHAnsi"/>
          <w:szCs w:val="21"/>
        </w:rPr>
        <w:t>, p</w:t>
      </w:r>
      <w:r w:rsidR="002346A5" w:rsidRPr="009D7B6D">
        <w:rPr>
          <w:rFonts w:asciiTheme="minorHAnsi" w:hAnsiTheme="minorHAnsi" w:cstheme="minorHAnsi"/>
          <w:szCs w:val="21"/>
        </w:rPr>
        <w:t xml:space="preserve">eople who did not finish high school are projected to </w:t>
      </w:r>
      <w:r w:rsidR="00D13BBD">
        <w:rPr>
          <w:rFonts w:asciiTheme="minorHAnsi" w:hAnsiTheme="minorHAnsi" w:cstheme="minorHAnsi"/>
          <w:szCs w:val="21"/>
        </w:rPr>
        <w:t>receive</w:t>
      </w:r>
      <w:r w:rsidR="00D13BBD" w:rsidRPr="009D7B6D">
        <w:rPr>
          <w:rFonts w:asciiTheme="minorHAnsi" w:hAnsiTheme="minorHAnsi" w:cstheme="minorHAnsi"/>
          <w:szCs w:val="21"/>
        </w:rPr>
        <w:t xml:space="preserve"> </w:t>
      </w:r>
      <w:r w:rsidR="002346A5" w:rsidRPr="009D7B6D">
        <w:rPr>
          <w:rFonts w:asciiTheme="minorHAnsi" w:hAnsiTheme="minorHAnsi" w:cstheme="minorHAnsi"/>
          <w:szCs w:val="21"/>
        </w:rPr>
        <w:t>income support</w:t>
      </w:r>
      <w:r w:rsidR="00D13BBD">
        <w:rPr>
          <w:rFonts w:asciiTheme="minorHAnsi" w:hAnsiTheme="minorHAnsi" w:cstheme="minorHAnsi"/>
          <w:szCs w:val="21"/>
        </w:rPr>
        <w:t xml:space="preserve"> </w:t>
      </w:r>
      <w:r w:rsidR="00D13BBD" w:rsidRPr="009D7B6D">
        <w:rPr>
          <w:rFonts w:asciiTheme="minorHAnsi" w:hAnsiTheme="minorHAnsi" w:cstheme="minorHAnsi"/>
          <w:szCs w:val="21"/>
        </w:rPr>
        <w:t>on average</w:t>
      </w:r>
      <w:r w:rsidR="002346A5" w:rsidRPr="009D7B6D">
        <w:rPr>
          <w:rFonts w:asciiTheme="minorHAnsi" w:hAnsiTheme="minorHAnsi" w:cstheme="minorHAnsi"/>
          <w:szCs w:val="21"/>
        </w:rPr>
        <w:t xml:space="preserve"> for 3.9</w:t>
      </w:r>
      <w:r w:rsidR="007855DD">
        <w:rPr>
          <w:rFonts w:asciiTheme="minorHAnsi" w:hAnsiTheme="minorHAnsi" w:cstheme="minorHAnsi"/>
          <w:szCs w:val="21"/>
        </w:rPr>
        <w:t> more</w:t>
      </w:r>
      <w:r w:rsidR="002346A5" w:rsidRPr="009D7B6D">
        <w:rPr>
          <w:rFonts w:asciiTheme="minorHAnsi" w:hAnsiTheme="minorHAnsi" w:cstheme="minorHAnsi"/>
          <w:szCs w:val="21"/>
        </w:rPr>
        <w:t xml:space="preserve"> years </w:t>
      </w:r>
      <w:r w:rsidR="00D13BBD">
        <w:rPr>
          <w:rFonts w:asciiTheme="minorHAnsi" w:hAnsiTheme="minorHAnsi" w:cstheme="minorHAnsi"/>
          <w:szCs w:val="21"/>
        </w:rPr>
        <w:t xml:space="preserve">before retirement age </w:t>
      </w:r>
      <w:r w:rsidR="002346A5" w:rsidRPr="009D7B6D">
        <w:rPr>
          <w:rFonts w:asciiTheme="minorHAnsi" w:hAnsiTheme="minorHAnsi" w:cstheme="minorHAnsi"/>
          <w:szCs w:val="21"/>
        </w:rPr>
        <w:t>than those who did. They are also projected to spend 2.4</w:t>
      </w:r>
      <w:r w:rsidR="00E46C6A">
        <w:rPr>
          <w:rFonts w:asciiTheme="minorHAnsi" w:hAnsiTheme="minorHAnsi" w:cstheme="minorHAnsi"/>
          <w:szCs w:val="21"/>
        </w:rPr>
        <w:t> year</w:t>
      </w:r>
      <w:r w:rsidR="002346A5" w:rsidRPr="009D7B6D">
        <w:rPr>
          <w:rFonts w:asciiTheme="minorHAnsi" w:hAnsiTheme="minorHAnsi" w:cstheme="minorHAnsi"/>
          <w:szCs w:val="21"/>
        </w:rPr>
        <w:t>s longer on working age payments on average.</w:t>
      </w:r>
    </w:p>
    <w:p w14:paraId="1D44FDA7" w14:textId="674E2A90" w:rsidR="000F007F" w:rsidRPr="00BD4B7F" w:rsidRDefault="007855DD" w:rsidP="005E332C">
      <w:pPr>
        <w:pStyle w:val="FigureMainHeading"/>
      </w:pPr>
      <w:bookmarkStart w:id="36" w:name="_Ref153289377"/>
      <w:r>
        <w:t>Figure </w:t>
      </w:r>
      <w:r w:rsidR="00B80D45">
        <w:fldChar w:fldCharType="begin"/>
      </w:r>
      <w:r w:rsidR="00B80D45">
        <w:instrText xml:space="preserve"> STYLEREF 1 \s </w:instrText>
      </w:r>
      <w:r w:rsidR="00B80D45">
        <w:fldChar w:fldCharType="separate"/>
      </w:r>
      <w:r w:rsidR="00722C0A">
        <w:rPr>
          <w:noProof/>
        </w:rPr>
        <w:t>3</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5</w:t>
      </w:r>
      <w:r w:rsidR="00B80D45">
        <w:rPr>
          <w:noProof/>
        </w:rPr>
        <w:fldChar w:fldCharType="end"/>
      </w:r>
      <w:bookmarkEnd w:id="36"/>
      <w:r w:rsidR="005E332C">
        <w:t>:</w:t>
      </w:r>
      <w:r w:rsidR="005E332C">
        <w:tab/>
      </w:r>
      <w:r w:rsidR="000F007F" w:rsidRPr="00BD4B7F">
        <w:t xml:space="preserve">Average </w:t>
      </w:r>
      <w:r w:rsidR="000F007F">
        <w:t>projected time receiving income support before retirement</w:t>
      </w:r>
      <w:r w:rsidR="000F007F" w:rsidRPr="00BD4B7F">
        <w:t xml:space="preserve"> for people </w:t>
      </w:r>
      <w:r w:rsidR="00584485" w:rsidRPr="00CF3B29">
        <w:t>aged 22 to 25</w:t>
      </w:r>
      <w:r w:rsidR="00584485">
        <w:t xml:space="preserve"> </w:t>
      </w:r>
      <w:r w:rsidR="00584485" w:rsidRPr="00BD4B7F">
        <w:t xml:space="preserve">on </w:t>
      </w:r>
      <w:r w:rsidR="005E332C">
        <w:t>JobSeeker Payment</w:t>
      </w:r>
      <w:r w:rsidR="00584485" w:rsidRPr="00BD4B7F">
        <w:t xml:space="preserve"> </w:t>
      </w:r>
      <w:r w:rsidR="00584485">
        <w:t xml:space="preserve">at </w:t>
      </w:r>
      <w:r w:rsidR="00CF3B29">
        <w:t>30</w:t>
      </w:r>
      <w:r w:rsidR="00E46C6A">
        <w:t> June </w:t>
      </w:r>
      <w:r w:rsidR="00CF3B29">
        <w:t>2022</w:t>
      </w:r>
    </w:p>
    <w:p w14:paraId="1A08033B" w14:textId="5673AD23" w:rsidR="002346A5" w:rsidRPr="008A4F23" w:rsidRDefault="00FD6232" w:rsidP="00A06FAA">
      <w:pPr>
        <w:pStyle w:val="ChartGraphic"/>
        <w:rPr>
          <w:rFonts w:asciiTheme="minorHAnsi" w:hAnsiTheme="minorHAnsi" w:cstheme="minorHAnsi"/>
          <w:sz w:val="21"/>
          <w:szCs w:val="21"/>
        </w:rPr>
      </w:pPr>
      <w:r>
        <w:rPr>
          <w:noProof/>
        </w:rPr>
        <w:drawing>
          <wp:inline distT="0" distB="0" distL="0" distR="0" wp14:anchorId="43159A71" wp14:editId="310C14EC">
            <wp:extent cx="4319905" cy="2279650"/>
            <wp:effectExtent l="0" t="0" r="4445" b="6350"/>
            <wp:docPr id="327" name="Chart 327" descr="This chart shows the average projected time receiving a) working age payments and b) income support for people aged 22 to 25 over their pre-retirement future lifetime, split by their educational attainment:&#10;&#10;- Those with Year 11 or less education: a) 7.7 years, b) 13.8 years&#10;- Those with Year 12 and above: a) 5.3 years, 9.9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070A49B" w14:textId="3B6EC1B5" w:rsidR="002346A5" w:rsidRPr="00952648" w:rsidRDefault="00825FF7" w:rsidP="00905C52">
      <w:pPr>
        <w:pStyle w:val="Heading2notnumbered"/>
      </w:pPr>
      <w:r>
        <w:t>T</w:t>
      </w:r>
      <w:r w:rsidR="002346A5" w:rsidRPr="00952648">
        <w:t xml:space="preserve">he majority (55%) of people on </w:t>
      </w:r>
      <w:r w:rsidR="005E332C">
        <w:t>JobSeeker Payment</w:t>
      </w:r>
      <w:r w:rsidR="002346A5" w:rsidRPr="00952648">
        <w:t xml:space="preserve"> were previous</w:t>
      </w:r>
      <w:r w:rsidR="00D13BBD">
        <w:t>ly</w:t>
      </w:r>
      <w:r w:rsidR="002346A5" w:rsidRPr="00952648">
        <w:t xml:space="preserve"> </w:t>
      </w:r>
      <w:r w:rsidR="00D13BBD">
        <w:t xml:space="preserve">receiving </w:t>
      </w:r>
      <w:r w:rsidR="002346A5" w:rsidRPr="00952648">
        <w:t xml:space="preserve">Youth Allowance </w:t>
      </w:r>
      <w:r w:rsidR="00D13BBD">
        <w:t>(</w:t>
      </w:r>
      <w:r w:rsidR="006C634E">
        <w:t>O</w:t>
      </w:r>
      <w:r w:rsidR="002346A5" w:rsidRPr="00952648">
        <w:t>ther</w:t>
      </w:r>
      <w:r w:rsidR="00D13BBD">
        <w:t>)</w:t>
      </w:r>
      <w:r w:rsidR="002346A5" w:rsidRPr="00952648">
        <w:t xml:space="preserve">, compared </w:t>
      </w:r>
      <w:r w:rsidR="00EB5B60">
        <w:t>to 14%</w:t>
      </w:r>
      <w:r w:rsidR="002346A5" w:rsidRPr="00952648">
        <w:t xml:space="preserve"> </w:t>
      </w:r>
      <w:r w:rsidR="00D13BBD">
        <w:t xml:space="preserve">who previously received </w:t>
      </w:r>
      <w:r w:rsidR="002346A5" w:rsidRPr="00952648">
        <w:t>studying payments.</w:t>
      </w:r>
    </w:p>
    <w:p w14:paraId="42587F10" w14:textId="4CCCF7D9" w:rsidR="00022775" w:rsidRPr="00022775" w:rsidRDefault="006C634E" w:rsidP="00022775">
      <w:pPr>
        <w:rPr>
          <w:rFonts w:asciiTheme="minorHAnsi" w:hAnsiTheme="minorHAnsi" w:cstheme="minorHAnsi"/>
          <w:color w:val="000000" w:themeColor="text1"/>
          <w:szCs w:val="21"/>
        </w:rPr>
      </w:pPr>
      <w:r>
        <w:rPr>
          <w:rFonts w:asciiTheme="minorHAnsi" w:hAnsiTheme="minorHAnsi" w:cstheme="minorHAnsi"/>
          <w:color w:val="000000" w:themeColor="text1"/>
          <w:szCs w:val="21"/>
        </w:rPr>
        <w:t>O</w:t>
      </w:r>
      <w:r w:rsidR="002150BD">
        <w:rPr>
          <w:rFonts w:asciiTheme="minorHAnsi" w:hAnsiTheme="minorHAnsi" w:cstheme="minorHAnsi"/>
          <w:color w:val="000000" w:themeColor="text1"/>
          <w:szCs w:val="21"/>
        </w:rPr>
        <w:t xml:space="preserve">ver </w:t>
      </w:r>
      <w:r>
        <w:rPr>
          <w:rFonts w:asciiTheme="minorHAnsi" w:hAnsiTheme="minorHAnsi" w:cstheme="minorHAnsi"/>
          <w:color w:val="000000" w:themeColor="text1"/>
          <w:szCs w:val="21"/>
        </w:rPr>
        <w:t>25%</w:t>
      </w:r>
      <w:r w:rsidR="002150BD">
        <w:rPr>
          <w:rFonts w:asciiTheme="minorHAnsi" w:hAnsiTheme="minorHAnsi" w:cstheme="minorHAnsi"/>
          <w:color w:val="000000" w:themeColor="text1"/>
          <w:szCs w:val="21"/>
        </w:rPr>
        <w:t xml:space="preserve"> of people receiving </w:t>
      </w:r>
      <w:r w:rsidR="005E332C">
        <w:rPr>
          <w:rFonts w:asciiTheme="minorHAnsi" w:hAnsiTheme="minorHAnsi" w:cstheme="minorHAnsi"/>
          <w:color w:val="000000" w:themeColor="text1"/>
          <w:szCs w:val="21"/>
        </w:rPr>
        <w:t>JobSeeker Payment</w:t>
      </w:r>
      <w:r w:rsidR="002150BD">
        <w:rPr>
          <w:rFonts w:asciiTheme="minorHAnsi" w:hAnsiTheme="minorHAnsi" w:cstheme="minorHAnsi"/>
          <w:color w:val="000000" w:themeColor="text1"/>
          <w:szCs w:val="21"/>
        </w:rPr>
        <w:t xml:space="preserve"> </w:t>
      </w:r>
      <w:r w:rsidR="001142FE">
        <w:rPr>
          <w:rFonts w:asciiTheme="minorHAnsi" w:hAnsiTheme="minorHAnsi" w:cstheme="minorHAnsi"/>
          <w:color w:val="000000" w:themeColor="text1"/>
          <w:szCs w:val="21"/>
        </w:rPr>
        <w:t xml:space="preserve">did not receive income support immediately </w:t>
      </w:r>
      <w:r w:rsidR="00101026">
        <w:rPr>
          <w:rFonts w:asciiTheme="minorHAnsi" w:hAnsiTheme="minorHAnsi" w:cstheme="minorHAnsi"/>
          <w:color w:val="000000" w:themeColor="text1"/>
          <w:szCs w:val="21"/>
        </w:rPr>
        <w:t xml:space="preserve">prior to receiving </w:t>
      </w:r>
      <w:r w:rsidR="005E332C">
        <w:rPr>
          <w:rFonts w:asciiTheme="minorHAnsi" w:hAnsiTheme="minorHAnsi" w:cstheme="minorHAnsi"/>
          <w:color w:val="000000" w:themeColor="text1"/>
          <w:szCs w:val="21"/>
        </w:rPr>
        <w:t>JobSeeker Payment</w:t>
      </w:r>
      <w:r w:rsidR="001142FE">
        <w:rPr>
          <w:rFonts w:asciiTheme="minorHAnsi" w:hAnsiTheme="minorHAnsi" w:cstheme="minorHAnsi"/>
          <w:color w:val="000000" w:themeColor="text1"/>
          <w:szCs w:val="21"/>
        </w:rPr>
        <w:t>.</w:t>
      </w:r>
    </w:p>
    <w:p w14:paraId="0364A355" w14:textId="7560BA6C" w:rsidR="00796058" w:rsidRPr="00A13641" w:rsidRDefault="007855DD" w:rsidP="005E332C">
      <w:pPr>
        <w:pStyle w:val="FigureMainHeading"/>
      </w:pPr>
      <w:bookmarkStart w:id="37" w:name="_Ref153288902"/>
      <w:r>
        <w:t>Figure </w:t>
      </w:r>
      <w:r w:rsidR="00B80D45">
        <w:fldChar w:fldCharType="begin"/>
      </w:r>
      <w:r w:rsidR="00B80D45">
        <w:instrText xml:space="preserve"> STYLEREF 1 \s </w:instrText>
      </w:r>
      <w:r w:rsidR="00B80D45">
        <w:fldChar w:fldCharType="separate"/>
      </w:r>
      <w:r w:rsidR="00722C0A">
        <w:rPr>
          <w:noProof/>
        </w:rPr>
        <w:t>3</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6</w:t>
      </w:r>
      <w:r w:rsidR="00B80D45">
        <w:rPr>
          <w:noProof/>
        </w:rPr>
        <w:fldChar w:fldCharType="end"/>
      </w:r>
      <w:bookmarkEnd w:id="37"/>
      <w:r w:rsidR="005E332C">
        <w:t>:</w:t>
      </w:r>
      <w:r w:rsidR="005E332C">
        <w:tab/>
      </w:r>
      <w:r w:rsidR="00796058" w:rsidRPr="00A13641">
        <w:t xml:space="preserve">Previous payment for people on </w:t>
      </w:r>
      <w:r w:rsidR="005E332C">
        <w:t>JobSeeker Payment</w:t>
      </w:r>
      <w:r w:rsidR="00796058" w:rsidRPr="00A13641">
        <w:t xml:space="preserve"> aged</w:t>
      </w:r>
      <w:r w:rsidR="00B5424B">
        <w:t> </w:t>
      </w:r>
      <w:r w:rsidR="00796058" w:rsidRPr="00A13641">
        <w:t>22 to 25 at 30</w:t>
      </w:r>
      <w:r w:rsidR="00E46C6A">
        <w:t> June </w:t>
      </w:r>
      <w:r w:rsidR="00796058" w:rsidRPr="00A13641">
        <w:t>2022</w:t>
      </w:r>
    </w:p>
    <w:p w14:paraId="5920B578" w14:textId="354D9DC4" w:rsidR="00745298" w:rsidRDefault="008C4407" w:rsidP="00A06FAA">
      <w:pPr>
        <w:pStyle w:val="ChartGraphic"/>
        <w:rPr>
          <w:sz w:val="18"/>
          <w:szCs w:val="18"/>
        </w:rPr>
      </w:pPr>
      <w:r>
        <w:rPr>
          <w:noProof/>
        </w:rPr>
        <w:drawing>
          <wp:inline distT="0" distB="0" distL="0" distR="0" wp14:anchorId="73A6B581" wp14:editId="30218E0E">
            <wp:extent cx="4320000" cy="2159000"/>
            <wp:effectExtent l="0" t="0" r="4445" b="0"/>
            <wp:docPr id="74" name="Chart 74" descr="This pie chart shows the previous payment, that JSP recipients received, if at all.&#10;&#10;Most JSP recipients aged 22 to 25 previously received Youth Allowance (other)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5AB8635" w14:textId="3ED70F9C" w:rsidR="002346A5" w:rsidRPr="00E81696" w:rsidRDefault="002346A5" w:rsidP="00905C52">
      <w:pPr>
        <w:pStyle w:val="Heading2notnumbered"/>
        <w:rPr>
          <w:noProof/>
        </w:rPr>
      </w:pPr>
      <w:r w:rsidRPr="00952648">
        <w:t>For people</w:t>
      </w:r>
      <w:r w:rsidR="00D13BBD">
        <w:t xml:space="preserve"> receiving</w:t>
      </w:r>
      <w:r w:rsidRPr="00952648">
        <w:t xml:space="preserve"> </w:t>
      </w:r>
      <w:r w:rsidR="005E332C">
        <w:t>JobSeeker Payment</w:t>
      </w:r>
      <w:r w:rsidRPr="00952648">
        <w:t xml:space="preserve">, </w:t>
      </w:r>
      <w:r w:rsidR="006C634E">
        <w:t>previous receipt of a</w:t>
      </w:r>
      <w:r w:rsidRPr="00952648">
        <w:t xml:space="preserve"> social security </w:t>
      </w:r>
      <w:r w:rsidR="006C634E">
        <w:t xml:space="preserve">payment </w:t>
      </w:r>
      <w:r w:rsidR="00825FF7">
        <w:t>affects</w:t>
      </w:r>
      <w:r w:rsidR="00D13BBD">
        <w:t xml:space="preserve"> their future projected time receiving income support</w:t>
      </w:r>
      <w:r w:rsidRPr="00952648">
        <w:t xml:space="preserve">. </w:t>
      </w:r>
      <w:r w:rsidR="00D13BBD">
        <w:t>In particular, t</w:t>
      </w:r>
      <w:r w:rsidRPr="00952648">
        <w:t xml:space="preserve">hose previously </w:t>
      </w:r>
      <w:r w:rsidR="003F2F5A">
        <w:t>receiv</w:t>
      </w:r>
      <w:r w:rsidR="006C634E">
        <w:t>ing</w:t>
      </w:r>
      <w:r w:rsidR="003F2F5A">
        <w:t xml:space="preserve"> </w:t>
      </w:r>
      <w:r w:rsidRPr="00952648">
        <w:t>Y</w:t>
      </w:r>
      <w:r w:rsidR="00BD61E2">
        <w:t>outh Allowance</w:t>
      </w:r>
      <w:r w:rsidRPr="00952648">
        <w:t xml:space="preserve"> (</w:t>
      </w:r>
      <w:r w:rsidR="006C634E">
        <w:t>O</w:t>
      </w:r>
      <w:r w:rsidRPr="00952648">
        <w:t>ther) are projected to use income support for longer.</w:t>
      </w:r>
    </w:p>
    <w:p w14:paraId="40A67277" w14:textId="7CA661B6" w:rsidR="00B04FCE" w:rsidRDefault="00D54C9F" w:rsidP="008A5323">
      <w:pPr>
        <w:spacing w:before="200"/>
        <w:rPr>
          <w:rFonts w:asciiTheme="minorHAnsi" w:hAnsiTheme="minorHAnsi" w:cstheme="minorHAnsi"/>
          <w:szCs w:val="21"/>
        </w:rPr>
      </w:pPr>
      <w:r>
        <w:rPr>
          <w:rFonts w:asciiTheme="minorHAnsi" w:hAnsiTheme="minorHAnsi" w:cstheme="minorHAnsi"/>
          <w:szCs w:val="21"/>
        </w:rPr>
        <w:fldChar w:fldCharType="begin"/>
      </w:r>
      <w:r>
        <w:rPr>
          <w:rFonts w:asciiTheme="minorHAnsi" w:hAnsiTheme="minorHAnsi" w:cstheme="minorHAnsi"/>
          <w:szCs w:val="21"/>
        </w:rPr>
        <w:instrText xml:space="preserve"> REF _Ref153290091 \h  \* MERGEFORMAT </w:instrText>
      </w:r>
      <w:r>
        <w:rPr>
          <w:rFonts w:asciiTheme="minorHAnsi" w:hAnsiTheme="minorHAnsi" w:cstheme="minorHAnsi"/>
          <w:szCs w:val="21"/>
        </w:rPr>
      </w:r>
      <w:r>
        <w:rPr>
          <w:rFonts w:asciiTheme="minorHAnsi" w:hAnsiTheme="minorHAnsi" w:cstheme="minorHAnsi"/>
          <w:szCs w:val="21"/>
        </w:rPr>
        <w:fldChar w:fldCharType="separate"/>
      </w:r>
      <w:r w:rsidR="00722C0A" w:rsidRPr="00722C0A">
        <w:rPr>
          <w:rFonts w:asciiTheme="minorHAnsi" w:hAnsiTheme="minorHAnsi" w:cstheme="minorHAnsi"/>
          <w:szCs w:val="21"/>
        </w:rPr>
        <w:t>Figure 3.7</w:t>
      </w:r>
      <w:r>
        <w:rPr>
          <w:rFonts w:asciiTheme="minorHAnsi" w:hAnsiTheme="minorHAnsi" w:cstheme="minorHAnsi"/>
          <w:szCs w:val="21"/>
        </w:rPr>
        <w:fldChar w:fldCharType="end"/>
      </w:r>
      <w:r>
        <w:rPr>
          <w:rFonts w:asciiTheme="minorHAnsi" w:hAnsiTheme="minorHAnsi" w:cstheme="minorHAnsi"/>
          <w:szCs w:val="21"/>
        </w:rPr>
        <w:t xml:space="preserve"> </w:t>
      </w:r>
      <w:r w:rsidR="00961E80">
        <w:rPr>
          <w:rFonts w:asciiTheme="minorHAnsi" w:hAnsiTheme="minorHAnsi" w:cstheme="minorHAnsi"/>
          <w:szCs w:val="21"/>
        </w:rPr>
        <w:t>shows t</w:t>
      </w:r>
      <w:r w:rsidR="002346A5" w:rsidRPr="009D7B6D">
        <w:rPr>
          <w:rFonts w:asciiTheme="minorHAnsi" w:hAnsiTheme="minorHAnsi" w:cstheme="minorHAnsi"/>
          <w:szCs w:val="21"/>
        </w:rPr>
        <w:t xml:space="preserve">hose </w:t>
      </w:r>
      <w:r w:rsidR="002565F7">
        <w:rPr>
          <w:rFonts w:asciiTheme="minorHAnsi" w:hAnsiTheme="minorHAnsi" w:cstheme="minorHAnsi"/>
          <w:szCs w:val="21"/>
        </w:rPr>
        <w:t>previously receiving</w:t>
      </w:r>
      <w:r w:rsidR="002565F7" w:rsidRPr="009D7B6D">
        <w:rPr>
          <w:rFonts w:asciiTheme="minorHAnsi" w:hAnsiTheme="minorHAnsi" w:cstheme="minorHAnsi"/>
          <w:szCs w:val="21"/>
        </w:rPr>
        <w:t xml:space="preserve"> </w:t>
      </w:r>
      <w:r w:rsidR="002346A5" w:rsidRPr="009D7B6D">
        <w:rPr>
          <w:rFonts w:asciiTheme="minorHAnsi" w:hAnsiTheme="minorHAnsi" w:cstheme="minorHAnsi"/>
          <w:szCs w:val="21"/>
        </w:rPr>
        <w:t>Y</w:t>
      </w:r>
      <w:r w:rsidR="003F2F5A">
        <w:rPr>
          <w:rFonts w:asciiTheme="minorHAnsi" w:hAnsiTheme="minorHAnsi" w:cstheme="minorHAnsi"/>
          <w:szCs w:val="21"/>
        </w:rPr>
        <w:t xml:space="preserve">outh </w:t>
      </w:r>
      <w:r w:rsidR="002346A5" w:rsidRPr="009D7B6D">
        <w:rPr>
          <w:rFonts w:asciiTheme="minorHAnsi" w:hAnsiTheme="minorHAnsi" w:cstheme="minorHAnsi"/>
          <w:szCs w:val="21"/>
        </w:rPr>
        <w:t>A</w:t>
      </w:r>
      <w:r w:rsidR="003F2F5A">
        <w:rPr>
          <w:rFonts w:asciiTheme="minorHAnsi" w:hAnsiTheme="minorHAnsi" w:cstheme="minorHAnsi"/>
          <w:szCs w:val="21"/>
        </w:rPr>
        <w:t>llowance</w:t>
      </w:r>
      <w:r w:rsidR="002346A5" w:rsidRPr="009D7B6D">
        <w:rPr>
          <w:rFonts w:asciiTheme="minorHAnsi" w:hAnsiTheme="minorHAnsi" w:cstheme="minorHAnsi"/>
          <w:szCs w:val="21"/>
        </w:rPr>
        <w:t xml:space="preserve"> (</w:t>
      </w:r>
      <w:r w:rsidR="006C634E">
        <w:rPr>
          <w:rFonts w:asciiTheme="minorHAnsi" w:hAnsiTheme="minorHAnsi" w:cstheme="minorHAnsi"/>
          <w:szCs w:val="21"/>
        </w:rPr>
        <w:t>O</w:t>
      </w:r>
      <w:r w:rsidR="002346A5" w:rsidRPr="009D7B6D">
        <w:rPr>
          <w:rFonts w:asciiTheme="minorHAnsi" w:hAnsiTheme="minorHAnsi" w:cstheme="minorHAnsi"/>
          <w:szCs w:val="21"/>
        </w:rPr>
        <w:t xml:space="preserve">ther) are projected to </w:t>
      </w:r>
      <w:r w:rsidR="006A49EB">
        <w:rPr>
          <w:rFonts w:asciiTheme="minorHAnsi" w:hAnsiTheme="minorHAnsi" w:cstheme="minorHAnsi"/>
          <w:szCs w:val="21"/>
        </w:rPr>
        <w:t>receive</w:t>
      </w:r>
      <w:r w:rsidR="002346A5" w:rsidRPr="009D7B6D">
        <w:rPr>
          <w:rFonts w:asciiTheme="minorHAnsi" w:hAnsiTheme="minorHAnsi" w:cstheme="minorHAnsi"/>
          <w:szCs w:val="21"/>
        </w:rPr>
        <w:t xml:space="preserve"> income support for </w:t>
      </w:r>
      <w:r w:rsidR="00F305C7">
        <w:rPr>
          <w:rFonts w:asciiTheme="minorHAnsi" w:hAnsiTheme="minorHAnsi" w:cstheme="minorHAnsi"/>
          <w:szCs w:val="21"/>
        </w:rPr>
        <w:t>4.7</w:t>
      </w:r>
      <w:r w:rsidR="00E46C6A">
        <w:rPr>
          <w:rFonts w:asciiTheme="minorHAnsi" w:hAnsiTheme="minorHAnsi" w:cstheme="minorHAnsi"/>
          <w:szCs w:val="21"/>
        </w:rPr>
        <w:t> year</w:t>
      </w:r>
      <w:r w:rsidR="00F305C7">
        <w:rPr>
          <w:rFonts w:asciiTheme="minorHAnsi" w:hAnsiTheme="minorHAnsi" w:cstheme="minorHAnsi"/>
          <w:szCs w:val="21"/>
        </w:rPr>
        <w:t>s</w:t>
      </w:r>
      <w:r w:rsidR="002346A5" w:rsidRPr="009D7B6D">
        <w:rPr>
          <w:rFonts w:asciiTheme="minorHAnsi" w:hAnsiTheme="minorHAnsi" w:cstheme="minorHAnsi"/>
          <w:szCs w:val="21"/>
        </w:rPr>
        <w:t xml:space="preserve"> longer </w:t>
      </w:r>
      <w:r w:rsidR="002565F7">
        <w:rPr>
          <w:rFonts w:asciiTheme="minorHAnsi" w:hAnsiTheme="minorHAnsi" w:cstheme="minorHAnsi"/>
          <w:szCs w:val="21"/>
        </w:rPr>
        <w:t xml:space="preserve">prior to retirement, </w:t>
      </w:r>
      <w:r w:rsidR="002346A5" w:rsidRPr="009D7B6D">
        <w:rPr>
          <w:rFonts w:asciiTheme="minorHAnsi" w:hAnsiTheme="minorHAnsi" w:cstheme="minorHAnsi"/>
          <w:szCs w:val="21"/>
        </w:rPr>
        <w:t xml:space="preserve">than those from </w:t>
      </w:r>
      <w:r w:rsidR="00F305C7">
        <w:rPr>
          <w:rFonts w:asciiTheme="minorHAnsi" w:hAnsiTheme="minorHAnsi" w:cstheme="minorHAnsi"/>
          <w:szCs w:val="21"/>
        </w:rPr>
        <w:t xml:space="preserve">other income support payments or new to </w:t>
      </w:r>
      <w:r w:rsidR="00825FF7">
        <w:rPr>
          <w:rFonts w:asciiTheme="minorHAnsi" w:hAnsiTheme="minorHAnsi" w:cstheme="minorHAnsi"/>
          <w:szCs w:val="21"/>
        </w:rPr>
        <w:t>income support</w:t>
      </w:r>
      <w:r w:rsidR="00F305C7">
        <w:rPr>
          <w:rFonts w:asciiTheme="minorHAnsi" w:hAnsiTheme="minorHAnsi" w:cstheme="minorHAnsi"/>
          <w:szCs w:val="21"/>
        </w:rPr>
        <w:t>.</w:t>
      </w:r>
    </w:p>
    <w:p w14:paraId="721F8010" w14:textId="5D123E0D" w:rsidR="00B04FCE" w:rsidRDefault="007855DD" w:rsidP="005E332C">
      <w:pPr>
        <w:pStyle w:val="FigureMainHeading"/>
      </w:pPr>
      <w:bookmarkStart w:id="38" w:name="_Ref153290091"/>
      <w:r>
        <w:lastRenderedPageBreak/>
        <w:t>Figure </w:t>
      </w:r>
      <w:r w:rsidR="00B80D45">
        <w:fldChar w:fldCharType="begin"/>
      </w:r>
      <w:r w:rsidR="00B80D45">
        <w:instrText xml:space="preserve"> STYLEREF 1 \s </w:instrText>
      </w:r>
      <w:r w:rsidR="00B80D45">
        <w:fldChar w:fldCharType="separate"/>
      </w:r>
      <w:r w:rsidR="00722C0A">
        <w:rPr>
          <w:noProof/>
        </w:rPr>
        <w:t>3</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7</w:t>
      </w:r>
      <w:r w:rsidR="00B80D45">
        <w:rPr>
          <w:noProof/>
        </w:rPr>
        <w:fldChar w:fldCharType="end"/>
      </w:r>
      <w:bookmarkEnd w:id="38"/>
      <w:r w:rsidR="005E332C">
        <w:t>:</w:t>
      </w:r>
      <w:r w:rsidR="005E332C">
        <w:tab/>
      </w:r>
      <w:r w:rsidR="00D54C9F" w:rsidRPr="00BD4B7F">
        <w:t xml:space="preserve">Average </w:t>
      </w:r>
      <w:r w:rsidR="00CF3B29">
        <w:t xml:space="preserve">projected </w:t>
      </w:r>
      <w:r w:rsidR="00D54C9F">
        <w:t xml:space="preserve">time </w:t>
      </w:r>
      <w:r w:rsidR="003643AB">
        <w:t>r</w:t>
      </w:r>
      <w:r w:rsidR="007E4C2E">
        <w:t>eceiving</w:t>
      </w:r>
      <w:r w:rsidR="00D54C9F">
        <w:t xml:space="preserve"> </w:t>
      </w:r>
      <w:r w:rsidR="00584485">
        <w:t>income support</w:t>
      </w:r>
      <w:r w:rsidR="00584485" w:rsidRPr="00BD4B7F">
        <w:t xml:space="preserve"> </w:t>
      </w:r>
      <w:r w:rsidR="00584485" w:rsidRPr="00CF3B29">
        <w:t xml:space="preserve">before retirement </w:t>
      </w:r>
      <w:r w:rsidR="00584485" w:rsidRPr="00BD4B7F">
        <w:t xml:space="preserve">for people </w:t>
      </w:r>
      <w:r w:rsidR="00584485">
        <w:t xml:space="preserve">aged 22 to 25 </w:t>
      </w:r>
      <w:r w:rsidR="00584485" w:rsidRPr="00BD4B7F">
        <w:t xml:space="preserve">on </w:t>
      </w:r>
      <w:r w:rsidR="005E332C">
        <w:t>JobSeeker Payment</w:t>
      </w:r>
      <w:r w:rsidR="00584485">
        <w:t xml:space="preserve"> at 30</w:t>
      </w:r>
      <w:r w:rsidR="00E46C6A">
        <w:t> June </w:t>
      </w:r>
      <w:r w:rsidR="00584485">
        <w:t>2022</w:t>
      </w:r>
    </w:p>
    <w:p w14:paraId="15FC2E15" w14:textId="1374ECE3" w:rsidR="00B04FCE" w:rsidRDefault="00336A21" w:rsidP="00A06FAA">
      <w:pPr>
        <w:pStyle w:val="ChartGraphic"/>
        <w:rPr>
          <w:noProof/>
        </w:rPr>
      </w:pPr>
      <w:r>
        <w:rPr>
          <w:noProof/>
        </w:rPr>
        <w:drawing>
          <wp:inline distT="0" distB="0" distL="0" distR="0" wp14:anchorId="68BD39FA" wp14:editId="211F54E8">
            <wp:extent cx="4319905" cy="1988820"/>
            <wp:effectExtent l="0" t="0" r="4445" b="0"/>
            <wp:docPr id="330" name="Chart 330" descr="This chart shows the average projected time receiving income support for JSP recipients aged 22 to 25 over their pre-retirement future lifetime, split by:&#10;&#10;- Those who previously received Youth Allowance (other): 12.9 years&#10;- Those who previously received other payments, or new to payment: 8.2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B8C53EE" w14:textId="3D80EC76" w:rsidR="002346A5" w:rsidRDefault="002346A5" w:rsidP="00905C52">
      <w:pPr>
        <w:pStyle w:val="Heading2notnumbered"/>
      </w:pPr>
      <w:r w:rsidRPr="0097588B">
        <w:t>The capacity to work</w:t>
      </w:r>
      <w:r w:rsidR="00F533D6">
        <w:t xml:space="preserve"> is</w:t>
      </w:r>
      <w:r w:rsidR="00EB5B60">
        <w:t xml:space="preserve"> a measure of physical</w:t>
      </w:r>
      <w:r w:rsidR="009937E6">
        <w:t>, intellectual, or psychiatri</w:t>
      </w:r>
      <w:r w:rsidR="0067116F">
        <w:t>c</w:t>
      </w:r>
      <w:r w:rsidR="00EB5B60">
        <w:t xml:space="preserve"> </w:t>
      </w:r>
      <w:r w:rsidR="00667410">
        <w:t>impairment</w:t>
      </w:r>
      <w:r w:rsidR="00EB5B60">
        <w:t>,</w:t>
      </w:r>
      <w:r w:rsidRPr="0097588B">
        <w:t xml:space="preserve"> </w:t>
      </w:r>
      <w:r w:rsidR="00176B93">
        <w:t>and is an important factor when</w:t>
      </w:r>
      <w:r w:rsidR="00646B3E">
        <w:t xml:space="preserve"> projecti</w:t>
      </w:r>
      <w:r w:rsidR="00176B93">
        <w:t>ng</w:t>
      </w:r>
      <w:r w:rsidR="00646B3E">
        <w:t xml:space="preserve"> future interactions with the social security system</w:t>
      </w:r>
      <w:r w:rsidRPr="0097588B">
        <w:t xml:space="preserve">. </w:t>
      </w:r>
      <w:r w:rsidR="00A24FD4">
        <w:t>P</w:t>
      </w:r>
      <w:r>
        <w:t xml:space="preserve">eople </w:t>
      </w:r>
      <w:r w:rsidR="00A24FD4">
        <w:t xml:space="preserve">who </w:t>
      </w:r>
      <w:r>
        <w:t>have</w:t>
      </w:r>
      <w:r w:rsidRPr="0097588B">
        <w:t xml:space="preserve"> a partial capacity to work</w:t>
      </w:r>
      <w:r w:rsidR="00AA2A22" w:rsidRPr="00193BA6">
        <w:t xml:space="preserve"> </w:t>
      </w:r>
      <w:r w:rsidRPr="0097588B">
        <w:t xml:space="preserve">are projected to spend </w:t>
      </w:r>
      <w:r w:rsidR="00925A38">
        <w:t>more time</w:t>
      </w:r>
      <w:r w:rsidRPr="0097588B">
        <w:t xml:space="preserve"> </w:t>
      </w:r>
      <w:r w:rsidR="00D968D0">
        <w:t xml:space="preserve">on </w:t>
      </w:r>
      <w:r w:rsidRPr="0097588B">
        <w:t>income support</w:t>
      </w:r>
      <w:r w:rsidR="00925A38">
        <w:t xml:space="preserve"> before retirement</w:t>
      </w:r>
      <w:r w:rsidR="006C634E">
        <w:t>, than those who have full capacity</w:t>
      </w:r>
      <w:r w:rsidRPr="0097588B">
        <w:t>.</w:t>
      </w:r>
    </w:p>
    <w:p w14:paraId="6F99439E" w14:textId="742CE116" w:rsidR="00B04FCE" w:rsidRDefault="00A24FD4" w:rsidP="008A5323">
      <w:pPr>
        <w:spacing w:after="0"/>
        <w:rPr>
          <w:rFonts w:asciiTheme="minorHAnsi" w:hAnsiTheme="minorHAnsi" w:cstheme="minorHAnsi"/>
          <w:szCs w:val="21"/>
        </w:rPr>
      </w:pPr>
      <w:r w:rsidRPr="00F266AE">
        <w:rPr>
          <w:rFonts w:asciiTheme="minorHAnsi" w:hAnsiTheme="minorHAnsi" w:cstheme="minorHAnsi"/>
          <w:szCs w:val="21"/>
        </w:rPr>
        <w:t xml:space="preserve">26% of people aged 22 to 25 who received </w:t>
      </w:r>
      <w:r w:rsidR="005E332C">
        <w:rPr>
          <w:rFonts w:asciiTheme="minorHAnsi" w:hAnsiTheme="minorHAnsi" w:cstheme="minorHAnsi"/>
          <w:szCs w:val="21"/>
        </w:rPr>
        <w:t>JobSeeker Payment</w:t>
      </w:r>
      <w:r w:rsidRPr="00F266AE">
        <w:rPr>
          <w:rFonts w:asciiTheme="minorHAnsi" w:hAnsiTheme="minorHAnsi" w:cstheme="minorHAnsi"/>
          <w:szCs w:val="21"/>
        </w:rPr>
        <w:t xml:space="preserve"> </w:t>
      </w:r>
      <w:r w:rsidR="00CB3516">
        <w:rPr>
          <w:rFonts w:asciiTheme="minorHAnsi" w:hAnsiTheme="minorHAnsi" w:cstheme="minorHAnsi"/>
          <w:szCs w:val="21"/>
        </w:rPr>
        <w:t xml:space="preserve">on </w:t>
      </w:r>
      <w:r w:rsidRPr="00F266AE">
        <w:rPr>
          <w:rFonts w:asciiTheme="minorHAnsi" w:hAnsiTheme="minorHAnsi" w:cstheme="minorHAnsi"/>
          <w:szCs w:val="21"/>
        </w:rPr>
        <w:t>30</w:t>
      </w:r>
      <w:r w:rsidR="00E46C6A">
        <w:rPr>
          <w:rFonts w:asciiTheme="minorHAnsi" w:hAnsiTheme="minorHAnsi" w:cstheme="minorHAnsi"/>
          <w:szCs w:val="21"/>
        </w:rPr>
        <w:t> June </w:t>
      </w:r>
      <w:r w:rsidRPr="00F266AE">
        <w:rPr>
          <w:rFonts w:asciiTheme="minorHAnsi" w:hAnsiTheme="minorHAnsi" w:cstheme="minorHAnsi"/>
          <w:szCs w:val="21"/>
        </w:rPr>
        <w:t>2022 had a partial capacity to work.</w:t>
      </w:r>
      <w:r>
        <w:rPr>
          <w:rFonts w:asciiTheme="minorHAnsi" w:hAnsiTheme="minorHAnsi" w:cstheme="minorHAnsi"/>
          <w:szCs w:val="21"/>
        </w:rPr>
        <w:t xml:space="preserve"> </w:t>
      </w:r>
      <w:r w:rsidR="00104F5A">
        <w:rPr>
          <w:rFonts w:asciiTheme="minorHAnsi" w:hAnsiTheme="minorHAnsi" w:cstheme="minorHAnsi"/>
          <w:szCs w:val="21"/>
        </w:rPr>
        <w:t xml:space="preserve">As shown in </w:t>
      </w:r>
      <w:r w:rsidR="00BB20F2">
        <w:rPr>
          <w:rFonts w:asciiTheme="minorHAnsi" w:hAnsiTheme="minorHAnsi" w:cstheme="minorHAnsi"/>
          <w:szCs w:val="21"/>
        </w:rPr>
        <w:fldChar w:fldCharType="begin"/>
      </w:r>
      <w:r w:rsidR="00BB20F2">
        <w:rPr>
          <w:rFonts w:asciiTheme="minorHAnsi" w:hAnsiTheme="minorHAnsi" w:cstheme="minorHAnsi"/>
          <w:szCs w:val="21"/>
        </w:rPr>
        <w:instrText xml:space="preserve"> REF _Ref153290284 \h  \* MERGEFORMAT </w:instrText>
      </w:r>
      <w:r w:rsidR="00BB20F2">
        <w:rPr>
          <w:rFonts w:asciiTheme="minorHAnsi" w:hAnsiTheme="minorHAnsi" w:cstheme="minorHAnsi"/>
          <w:szCs w:val="21"/>
        </w:rPr>
      </w:r>
      <w:r w:rsidR="00BB20F2">
        <w:rPr>
          <w:rFonts w:asciiTheme="minorHAnsi" w:hAnsiTheme="minorHAnsi" w:cstheme="minorHAnsi"/>
          <w:szCs w:val="21"/>
        </w:rPr>
        <w:fldChar w:fldCharType="separate"/>
      </w:r>
      <w:r w:rsidR="00722C0A" w:rsidRPr="00722C0A">
        <w:rPr>
          <w:rFonts w:asciiTheme="minorHAnsi" w:hAnsiTheme="minorHAnsi" w:cstheme="minorHAnsi"/>
          <w:szCs w:val="21"/>
        </w:rPr>
        <w:t>Figure 3.8</w:t>
      </w:r>
      <w:r w:rsidR="00BB20F2">
        <w:rPr>
          <w:rFonts w:asciiTheme="minorHAnsi" w:hAnsiTheme="minorHAnsi" w:cstheme="minorHAnsi"/>
          <w:szCs w:val="21"/>
        </w:rPr>
        <w:fldChar w:fldCharType="end"/>
      </w:r>
      <w:r w:rsidR="00104F5A">
        <w:rPr>
          <w:rFonts w:asciiTheme="minorHAnsi" w:hAnsiTheme="minorHAnsi" w:cstheme="minorHAnsi"/>
          <w:szCs w:val="21"/>
        </w:rPr>
        <w:t>,</w:t>
      </w:r>
      <w:r w:rsidR="00CB3516">
        <w:rPr>
          <w:rFonts w:asciiTheme="minorHAnsi" w:hAnsiTheme="minorHAnsi" w:cstheme="minorHAnsi"/>
          <w:szCs w:val="21"/>
        </w:rPr>
        <w:t xml:space="preserve"> p</w:t>
      </w:r>
      <w:r w:rsidR="00193BA6">
        <w:rPr>
          <w:rFonts w:asciiTheme="minorHAnsi" w:hAnsiTheme="minorHAnsi" w:cstheme="minorHAnsi"/>
          <w:szCs w:val="21"/>
        </w:rPr>
        <w:t xml:space="preserve">eople </w:t>
      </w:r>
      <w:r w:rsidR="006C634E">
        <w:rPr>
          <w:rFonts w:asciiTheme="minorHAnsi" w:hAnsiTheme="minorHAnsi" w:cstheme="minorHAnsi"/>
          <w:szCs w:val="21"/>
        </w:rPr>
        <w:t>in</w:t>
      </w:r>
      <w:r w:rsidR="00193BA6">
        <w:rPr>
          <w:rFonts w:asciiTheme="minorHAnsi" w:hAnsiTheme="minorHAnsi" w:cstheme="minorHAnsi"/>
          <w:szCs w:val="21"/>
        </w:rPr>
        <w:t xml:space="preserve"> this age group receiving </w:t>
      </w:r>
      <w:r w:rsidR="005E332C">
        <w:rPr>
          <w:rFonts w:asciiTheme="minorHAnsi" w:hAnsiTheme="minorHAnsi" w:cstheme="minorHAnsi"/>
          <w:szCs w:val="21"/>
        </w:rPr>
        <w:t>JobSeeker Payment</w:t>
      </w:r>
      <w:r w:rsidR="00193BA6">
        <w:rPr>
          <w:rFonts w:asciiTheme="minorHAnsi" w:hAnsiTheme="minorHAnsi" w:cstheme="minorHAnsi"/>
          <w:szCs w:val="21"/>
        </w:rPr>
        <w:t xml:space="preserve"> with </w:t>
      </w:r>
      <w:r w:rsidR="006C634E">
        <w:rPr>
          <w:rFonts w:asciiTheme="minorHAnsi" w:hAnsiTheme="minorHAnsi" w:cstheme="minorHAnsi"/>
          <w:szCs w:val="21"/>
        </w:rPr>
        <w:t xml:space="preserve">a </w:t>
      </w:r>
      <w:r w:rsidR="00193BA6">
        <w:rPr>
          <w:rFonts w:asciiTheme="minorHAnsi" w:hAnsiTheme="minorHAnsi" w:cstheme="minorHAnsi"/>
          <w:szCs w:val="21"/>
        </w:rPr>
        <w:t>partial capacity to work are projected to spend 6.8</w:t>
      </w:r>
      <w:r w:rsidR="00E46C6A">
        <w:rPr>
          <w:rFonts w:asciiTheme="minorHAnsi" w:hAnsiTheme="minorHAnsi" w:cstheme="minorHAnsi"/>
          <w:szCs w:val="21"/>
        </w:rPr>
        <w:t> year</w:t>
      </w:r>
      <w:r w:rsidR="00193BA6">
        <w:rPr>
          <w:rFonts w:asciiTheme="minorHAnsi" w:hAnsiTheme="minorHAnsi" w:cstheme="minorHAnsi"/>
          <w:szCs w:val="21"/>
        </w:rPr>
        <w:t xml:space="preserve">s on </w:t>
      </w:r>
      <w:r w:rsidR="005E332C">
        <w:rPr>
          <w:rFonts w:asciiTheme="minorHAnsi" w:hAnsiTheme="minorHAnsi" w:cstheme="minorHAnsi"/>
          <w:szCs w:val="21"/>
        </w:rPr>
        <w:t>JobSeeker Payment</w:t>
      </w:r>
      <w:r w:rsidR="00CB3516">
        <w:rPr>
          <w:rFonts w:asciiTheme="minorHAnsi" w:hAnsiTheme="minorHAnsi" w:cstheme="minorHAnsi"/>
          <w:szCs w:val="21"/>
        </w:rPr>
        <w:t>, compared to 5.6</w:t>
      </w:r>
      <w:r w:rsidR="00E46C6A">
        <w:rPr>
          <w:rFonts w:asciiTheme="minorHAnsi" w:hAnsiTheme="minorHAnsi" w:cstheme="minorHAnsi"/>
          <w:szCs w:val="21"/>
        </w:rPr>
        <w:t> year</w:t>
      </w:r>
      <w:r w:rsidR="00CB3516">
        <w:rPr>
          <w:rFonts w:asciiTheme="minorHAnsi" w:hAnsiTheme="minorHAnsi" w:cstheme="minorHAnsi"/>
          <w:szCs w:val="21"/>
        </w:rPr>
        <w:t>s for</w:t>
      </w:r>
      <w:r w:rsidR="009C081D">
        <w:rPr>
          <w:rFonts w:asciiTheme="minorHAnsi" w:hAnsiTheme="minorHAnsi" w:cstheme="minorHAnsi"/>
          <w:szCs w:val="21"/>
        </w:rPr>
        <w:t xml:space="preserve"> those with full capacity to work. </w:t>
      </w:r>
      <w:r w:rsidR="00CB3516">
        <w:rPr>
          <w:rFonts w:asciiTheme="minorHAnsi" w:hAnsiTheme="minorHAnsi" w:cstheme="minorHAnsi"/>
          <w:szCs w:val="21"/>
        </w:rPr>
        <w:t>P</w:t>
      </w:r>
      <w:r w:rsidR="00CB3516" w:rsidRPr="009D7B6D">
        <w:rPr>
          <w:rFonts w:asciiTheme="minorHAnsi" w:hAnsiTheme="minorHAnsi" w:cstheme="minorHAnsi"/>
          <w:szCs w:val="21"/>
        </w:rPr>
        <w:t xml:space="preserve">artial capacity to work </w:t>
      </w:r>
      <w:r w:rsidR="00CB3516">
        <w:rPr>
          <w:rFonts w:asciiTheme="minorHAnsi" w:hAnsiTheme="minorHAnsi" w:cstheme="minorHAnsi"/>
          <w:szCs w:val="21"/>
        </w:rPr>
        <w:t>is associated</w:t>
      </w:r>
      <w:r w:rsidR="00CB3516" w:rsidRPr="009D7B6D">
        <w:rPr>
          <w:rFonts w:asciiTheme="minorHAnsi" w:hAnsiTheme="minorHAnsi" w:cstheme="minorHAnsi"/>
          <w:szCs w:val="21"/>
        </w:rPr>
        <w:t xml:space="preserve"> with a longer projected time on income support</w:t>
      </w:r>
      <w:r w:rsidR="00CB3516">
        <w:rPr>
          <w:rFonts w:asciiTheme="minorHAnsi" w:hAnsiTheme="minorHAnsi" w:cstheme="minorHAnsi"/>
          <w:szCs w:val="21"/>
        </w:rPr>
        <w:t xml:space="preserve"> prior to retirement (12.9</w:t>
      </w:r>
      <w:r w:rsidR="00E46C6A">
        <w:rPr>
          <w:rFonts w:asciiTheme="minorHAnsi" w:hAnsiTheme="minorHAnsi" w:cstheme="minorHAnsi"/>
          <w:szCs w:val="21"/>
        </w:rPr>
        <w:t> year</w:t>
      </w:r>
      <w:r w:rsidR="00CB3516">
        <w:rPr>
          <w:rFonts w:asciiTheme="minorHAnsi" w:hAnsiTheme="minorHAnsi" w:cstheme="minorHAnsi"/>
          <w:szCs w:val="21"/>
        </w:rPr>
        <w:t>s), as this group is</w:t>
      </w:r>
      <w:r w:rsidR="001E03D4">
        <w:rPr>
          <w:rFonts w:asciiTheme="minorHAnsi" w:hAnsiTheme="minorHAnsi" w:cstheme="minorHAnsi"/>
          <w:szCs w:val="21"/>
        </w:rPr>
        <w:t xml:space="preserve"> also </w:t>
      </w:r>
      <w:r w:rsidR="00A5575C">
        <w:rPr>
          <w:rFonts w:asciiTheme="minorHAnsi" w:hAnsiTheme="minorHAnsi" w:cstheme="minorHAnsi"/>
          <w:szCs w:val="21"/>
        </w:rPr>
        <w:t>projected to</w:t>
      </w:r>
      <w:r w:rsidR="00056A31">
        <w:rPr>
          <w:rFonts w:asciiTheme="minorHAnsi" w:hAnsiTheme="minorHAnsi" w:cstheme="minorHAnsi"/>
          <w:szCs w:val="21"/>
        </w:rPr>
        <w:t xml:space="preserve"> </w:t>
      </w:r>
      <w:r w:rsidR="005E5DAA">
        <w:rPr>
          <w:rFonts w:asciiTheme="minorHAnsi" w:hAnsiTheme="minorHAnsi" w:cstheme="minorHAnsi"/>
          <w:szCs w:val="21"/>
        </w:rPr>
        <w:t>receiv</w:t>
      </w:r>
      <w:r w:rsidR="0035618D">
        <w:rPr>
          <w:rFonts w:asciiTheme="minorHAnsi" w:hAnsiTheme="minorHAnsi" w:cstheme="minorHAnsi"/>
          <w:szCs w:val="21"/>
        </w:rPr>
        <w:t>e</w:t>
      </w:r>
      <w:r w:rsidR="007A560F">
        <w:rPr>
          <w:rFonts w:asciiTheme="minorHAnsi" w:hAnsiTheme="minorHAnsi" w:cstheme="minorHAnsi"/>
          <w:szCs w:val="21"/>
        </w:rPr>
        <w:t xml:space="preserve"> </w:t>
      </w:r>
      <w:r w:rsidR="002C4676">
        <w:rPr>
          <w:rFonts w:asciiTheme="minorHAnsi" w:hAnsiTheme="minorHAnsi" w:cstheme="minorHAnsi"/>
          <w:szCs w:val="21"/>
        </w:rPr>
        <w:t>DSP</w:t>
      </w:r>
      <w:r w:rsidR="0016412E">
        <w:rPr>
          <w:rFonts w:asciiTheme="minorHAnsi" w:hAnsiTheme="minorHAnsi" w:cstheme="minorHAnsi"/>
          <w:szCs w:val="21"/>
        </w:rPr>
        <w:t xml:space="preserve"> </w:t>
      </w:r>
      <w:r w:rsidR="00A14B18">
        <w:rPr>
          <w:rFonts w:asciiTheme="minorHAnsi" w:hAnsiTheme="minorHAnsi" w:cstheme="minorHAnsi"/>
          <w:szCs w:val="21"/>
        </w:rPr>
        <w:t xml:space="preserve">for a longer period </w:t>
      </w:r>
      <w:r w:rsidR="005E5DAA">
        <w:rPr>
          <w:rFonts w:asciiTheme="minorHAnsi" w:hAnsiTheme="minorHAnsi" w:cstheme="minorHAnsi"/>
          <w:szCs w:val="21"/>
        </w:rPr>
        <w:t>later in their lives</w:t>
      </w:r>
      <w:r w:rsidR="002346A5" w:rsidRPr="009D7B6D">
        <w:rPr>
          <w:rFonts w:asciiTheme="minorHAnsi" w:hAnsiTheme="minorHAnsi" w:cstheme="minorHAnsi"/>
          <w:szCs w:val="21"/>
        </w:rPr>
        <w:t>.</w:t>
      </w:r>
    </w:p>
    <w:p w14:paraId="39BF8ED4" w14:textId="172CEEB5" w:rsidR="00B04FCE" w:rsidRDefault="007855DD" w:rsidP="005E332C">
      <w:pPr>
        <w:pStyle w:val="FigureMainHeading"/>
      </w:pPr>
      <w:bookmarkStart w:id="39" w:name="_Ref153290284"/>
      <w:r>
        <w:t>Figure </w:t>
      </w:r>
      <w:r w:rsidR="00B80D45">
        <w:fldChar w:fldCharType="begin"/>
      </w:r>
      <w:r w:rsidR="00B80D45">
        <w:instrText xml:space="preserve"> STYLEREF 1 \s </w:instrText>
      </w:r>
      <w:r w:rsidR="00B80D45">
        <w:fldChar w:fldCharType="separate"/>
      </w:r>
      <w:r w:rsidR="00722C0A">
        <w:rPr>
          <w:noProof/>
        </w:rPr>
        <w:t>3</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8</w:t>
      </w:r>
      <w:r w:rsidR="00B80D45">
        <w:rPr>
          <w:noProof/>
        </w:rPr>
        <w:fldChar w:fldCharType="end"/>
      </w:r>
      <w:bookmarkEnd w:id="39"/>
      <w:r w:rsidR="005E332C">
        <w:t>:</w:t>
      </w:r>
      <w:r w:rsidR="005E332C">
        <w:tab/>
      </w:r>
      <w:r w:rsidR="00BB20F2" w:rsidRPr="00BD4B7F">
        <w:t xml:space="preserve">Average </w:t>
      </w:r>
      <w:r w:rsidR="00584485" w:rsidRPr="00BD4B7F">
        <w:t xml:space="preserve">projected </w:t>
      </w:r>
      <w:r w:rsidR="00584485">
        <w:t>time receiving income support</w:t>
      </w:r>
      <w:r w:rsidR="00584485" w:rsidRPr="00BD4B7F">
        <w:t xml:space="preserve"> </w:t>
      </w:r>
      <w:r w:rsidR="00584485">
        <w:t>before retirement</w:t>
      </w:r>
      <w:r w:rsidR="00584485" w:rsidRPr="00BD4B7F">
        <w:t xml:space="preserve"> for people </w:t>
      </w:r>
      <w:r w:rsidR="00584485">
        <w:t xml:space="preserve">aged 22 to 25 </w:t>
      </w:r>
      <w:r w:rsidR="00584485" w:rsidRPr="00BD4B7F">
        <w:t xml:space="preserve">on </w:t>
      </w:r>
      <w:r w:rsidR="005E332C">
        <w:t>JobSeeker Payment</w:t>
      </w:r>
      <w:r w:rsidR="00584485">
        <w:t xml:space="preserve"> at 30</w:t>
      </w:r>
      <w:r w:rsidR="00E46C6A">
        <w:t> June </w:t>
      </w:r>
      <w:r w:rsidR="00584485">
        <w:t>2022</w:t>
      </w:r>
    </w:p>
    <w:p w14:paraId="401AE2E4" w14:textId="6DEE5A7D" w:rsidR="00BB20F2" w:rsidRPr="00A13641" w:rsidRDefault="00BE7287" w:rsidP="00A06FAA">
      <w:pPr>
        <w:pStyle w:val="ChartGraphic"/>
      </w:pPr>
      <w:r>
        <w:rPr>
          <w:noProof/>
        </w:rPr>
        <w:drawing>
          <wp:inline distT="0" distB="0" distL="0" distR="0" wp14:anchorId="0B45DF09" wp14:editId="55A72630">
            <wp:extent cx="4319905" cy="1711105"/>
            <wp:effectExtent l="0" t="0" r="4445" b="3810"/>
            <wp:docPr id="333" name="Chart 333" descr="This chart shows the average projected time receiving a) working age payments and b) income support for JSP recipients aged 22 to 25 over their pre-retirement lifetime, split by capacity to work:&#10;&#10;- Those with a partial capacity to work: a) 6.8 years, b) 12.9 years&#10;- Those with a full capacity to work: a) 5.6 years, b) 10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0683386" w14:textId="4F8E9909" w:rsidR="002346A5" w:rsidRPr="009D7B6D" w:rsidRDefault="002346A5" w:rsidP="008A5323">
      <w:pPr>
        <w:rPr>
          <w:rFonts w:asciiTheme="minorHAnsi" w:hAnsiTheme="minorHAnsi" w:cstheme="minorHAnsi"/>
          <w:szCs w:val="21"/>
        </w:rPr>
      </w:pPr>
      <w:r w:rsidRPr="009D7B6D">
        <w:rPr>
          <w:rFonts w:asciiTheme="minorHAnsi" w:hAnsiTheme="minorHAnsi" w:cstheme="minorHAnsi"/>
          <w:szCs w:val="21"/>
        </w:rPr>
        <w:t xml:space="preserve">This </w:t>
      </w:r>
      <w:r w:rsidR="005E0658">
        <w:rPr>
          <w:rFonts w:asciiTheme="minorHAnsi" w:hAnsiTheme="minorHAnsi" w:cstheme="minorHAnsi"/>
          <w:szCs w:val="21"/>
        </w:rPr>
        <w:t>longer projected time</w:t>
      </w:r>
      <w:r w:rsidRPr="009D7B6D">
        <w:rPr>
          <w:rFonts w:asciiTheme="minorHAnsi" w:hAnsiTheme="minorHAnsi" w:cstheme="minorHAnsi"/>
          <w:szCs w:val="21"/>
        </w:rPr>
        <w:t xml:space="preserve"> </w:t>
      </w:r>
      <w:r w:rsidR="001E03D4">
        <w:rPr>
          <w:rFonts w:asciiTheme="minorHAnsi" w:hAnsiTheme="minorHAnsi" w:cstheme="minorHAnsi"/>
          <w:szCs w:val="21"/>
        </w:rPr>
        <w:t>on income support</w:t>
      </w:r>
      <w:r w:rsidRPr="009D7B6D">
        <w:rPr>
          <w:rFonts w:asciiTheme="minorHAnsi" w:hAnsiTheme="minorHAnsi" w:cstheme="minorHAnsi"/>
          <w:szCs w:val="21"/>
        </w:rPr>
        <w:t xml:space="preserve"> </w:t>
      </w:r>
      <w:r w:rsidR="002565F7">
        <w:rPr>
          <w:rFonts w:asciiTheme="minorHAnsi" w:hAnsiTheme="minorHAnsi" w:cstheme="minorHAnsi"/>
          <w:szCs w:val="21"/>
        </w:rPr>
        <w:t>prior to retirement</w:t>
      </w:r>
      <w:r w:rsidRPr="009D7B6D">
        <w:rPr>
          <w:rFonts w:asciiTheme="minorHAnsi" w:hAnsiTheme="minorHAnsi" w:cstheme="minorHAnsi"/>
          <w:szCs w:val="21"/>
        </w:rPr>
        <w:t xml:space="preserve"> is also reflected in the </w:t>
      </w:r>
      <w:r w:rsidR="001976B0">
        <w:rPr>
          <w:rFonts w:asciiTheme="minorHAnsi" w:hAnsiTheme="minorHAnsi" w:cstheme="minorHAnsi"/>
          <w:szCs w:val="21"/>
        </w:rPr>
        <w:t>L</w:t>
      </w:r>
      <w:r w:rsidRPr="009D7B6D">
        <w:rPr>
          <w:rFonts w:asciiTheme="minorHAnsi" w:hAnsiTheme="minorHAnsi" w:cstheme="minorHAnsi"/>
          <w:szCs w:val="21"/>
        </w:rPr>
        <w:t xml:space="preserve">ifetime </w:t>
      </w:r>
      <w:r w:rsidR="001976B0">
        <w:rPr>
          <w:rFonts w:asciiTheme="minorHAnsi" w:hAnsiTheme="minorHAnsi" w:cstheme="minorHAnsi"/>
          <w:szCs w:val="21"/>
        </w:rPr>
        <w:t>C</w:t>
      </w:r>
      <w:r w:rsidRPr="009D7B6D">
        <w:rPr>
          <w:rFonts w:asciiTheme="minorHAnsi" w:hAnsiTheme="minorHAnsi" w:cstheme="minorHAnsi"/>
          <w:szCs w:val="21"/>
        </w:rPr>
        <w:t>ost</w:t>
      </w:r>
      <w:r w:rsidR="003114A0">
        <w:rPr>
          <w:rFonts w:asciiTheme="minorHAnsi" w:hAnsiTheme="minorHAnsi" w:cstheme="minorHAnsi"/>
          <w:szCs w:val="21"/>
        </w:rPr>
        <w:t xml:space="preserve">. </w:t>
      </w:r>
      <w:r w:rsidRPr="009D7B6D">
        <w:rPr>
          <w:rFonts w:asciiTheme="minorHAnsi" w:hAnsiTheme="minorHAnsi" w:cstheme="minorHAnsi"/>
          <w:szCs w:val="21"/>
        </w:rPr>
        <w:t xml:space="preserve">People </w:t>
      </w:r>
      <w:r w:rsidR="00D62230">
        <w:rPr>
          <w:rFonts w:asciiTheme="minorHAnsi" w:hAnsiTheme="minorHAnsi" w:cstheme="minorHAnsi"/>
          <w:szCs w:val="21"/>
        </w:rPr>
        <w:t>receiving</w:t>
      </w:r>
      <w:r w:rsidRPr="009D7B6D">
        <w:rPr>
          <w:rFonts w:asciiTheme="minorHAnsi" w:hAnsiTheme="minorHAnsi" w:cstheme="minorHAnsi"/>
          <w:szCs w:val="21"/>
        </w:rPr>
        <w:t xml:space="preserve"> </w:t>
      </w:r>
      <w:r w:rsidR="005E332C">
        <w:rPr>
          <w:rFonts w:asciiTheme="minorHAnsi" w:hAnsiTheme="minorHAnsi" w:cstheme="minorHAnsi"/>
          <w:szCs w:val="21"/>
        </w:rPr>
        <w:t>JobSeeker Payment</w:t>
      </w:r>
      <w:r w:rsidRPr="009D7B6D">
        <w:rPr>
          <w:rFonts w:asciiTheme="minorHAnsi" w:hAnsiTheme="minorHAnsi" w:cstheme="minorHAnsi"/>
          <w:szCs w:val="21"/>
        </w:rPr>
        <w:t xml:space="preserve"> with a partial capacity to work are projected to have a</w:t>
      </w:r>
      <w:r w:rsidR="001E03D4">
        <w:rPr>
          <w:rFonts w:asciiTheme="minorHAnsi" w:hAnsiTheme="minorHAnsi" w:cstheme="minorHAnsi"/>
          <w:szCs w:val="21"/>
        </w:rPr>
        <w:t>n</w:t>
      </w:r>
      <w:r w:rsidRPr="009D7B6D">
        <w:rPr>
          <w:rFonts w:asciiTheme="minorHAnsi" w:hAnsiTheme="minorHAnsi" w:cstheme="minorHAnsi"/>
          <w:szCs w:val="21"/>
        </w:rPr>
        <w:t xml:space="preserve"> average </w:t>
      </w:r>
      <w:r w:rsidR="006061B9">
        <w:rPr>
          <w:rFonts w:asciiTheme="minorHAnsi" w:hAnsiTheme="minorHAnsi" w:cstheme="minorHAnsi"/>
          <w:szCs w:val="21"/>
        </w:rPr>
        <w:t>L</w:t>
      </w:r>
      <w:r w:rsidRPr="009D7B6D">
        <w:rPr>
          <w:rFonts w:asciiTheme="minorHAnsi" w:hAnsiTheme="minorHAnsi" w:cstheme="minorHAnsi"/>
          <w:szCs w:val="21"/>
        </w:rPr>
        <w:t xml:space="preserve">ifetime </w:t>
      </w:r>
      <w:r w:rsidR="006061B9">
        <w:rPr>
          <w:rFonts w:asciiTheme="minorHAnsi" w:hAnsiTheme="minorHAnsi" w:cstheme="minorHAnsi"/>
          <w:szCs w:val="21"/>
        </w:rPr>
        <w:t>C</w:t>
      </w:r>
      <w:r w:rsidRPr="009D7B6D">
        <w:rPr>
          <w:rFonts w:asciiTheme="minorHAnsi" w:hAnsiTheme="minorHAnsi" w:cstheme="minorHAnsi"/>
          <w:szCs w:val="21"/>
        </w:rPr>
        <w:t xml:space="preserve">ost </w:t>
      </w:r>
      <w:r w:rsidR="001E03D4">
        <w:rPr>
          <w:rFonts w:asciiTheme="minorHAnsi" w:hAnsiTheme="minorHAnsi" w:cstheme="minorHAnsi"/>
          <w:szCs w:val="21"/>
        </w:rPr>
        <w:t xml:space="preserve">that is </w:t>
      </w:r>
      <w:r w:rsidR="001E03D4" w:rsidRPr="009D7B6D">
        <w:rPr>
          <w:rFonts w:asciiTheme="minorHAnsi" w:hAnsiTheme="minorHAnsi" w:cstheme="minorHAnsi"/>
          <w:szCs w:val="21"/>
        </w:rPr>
        <w:t>$52,</w:t>
      </w:r>
      <w:r w:rsidR="001E03D4">
        <w:rPr>
          <w:rFonts w:asciiTheme="minorHAnsi" w:hAnsiTheme="minorHAnsi" w:cstheme="minorHAnsi"/>
          <w:szCs w:val="21"/>
        </w:rPr>
        <w:t>000</w:t>
      </w:r>
      <w:r w:rsidR="001E03D4" w:rsidRPr="009D7B6D">
        <w:rPr>
          <w:rFonts w:asciiTheme="minorHAnsi" w:hAnsiTheme="minorHAnsi" w:cstheme="minorHAnsi"/>
          <w:szCs w:val="21"/>
        </w:rPr>
        <w:t xml:space="preserve"> higher </w:t>
      </w:r>
      <w:r w:rsidRPr="009D7B6D">
        <w:rPr>
          <w:rFonts w:asciiTheme="minorHAnsi" w:hAnsiTheme="minorHAnsi" w:cstheme="minorHAnsi"/>
          <w:szCs w:val="21"/>
        </w:rPr>
        <w:t>than those with full capacity to work.</w:t>
      </w:r>
    </w:p>
    <w:p w14:paraId="0EC4F3AC" w14:textId="6A382126" w:rsidR="00572295" w:rsidRPr="00D52F35" w:rsidRDefault="007855DD" w:rsidP="005E332C">
      <w:pPr>
        <w:pStyle w:val="FigureMainHeading"/>
      </w:pPr>
      <w:bookmarkStart w:id="40" w:name="_Ref153538352"/>
      <w:r>
        <w:t>Figure </w:t>
      </w:r>
      <w:r w:rsidR="00B80D45">
        <w:fldChar w:fldCharType="begin"/>
      </w:r>
      <w:r w:rsidR="00B80D45">
        <w:instrText xml:space="preserve"> STYLEREF 1 \s </w:instrText>
      </w:r>
      <w:r w:rsidR="00B80D45">
        <w:fldChar w:fldCharType="separate"/>
      </w:r>
      <w:r w:rsidR="00722C0A">
        <w:rPr>
          <w:noProof/>
        </w:rPr>
        <w:t>3</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9</w:t>
      </w:r>
      <w:r w:rsidR="00B80D45">
        <w:rPr>
          <w:noProof/>
        </w:rPr>
        <w:fldChar w:fldCharType="end"/>
      </w:r>
      <w:bookmarkEnd w:id="40"/>
      <w:r w:rsidR="005E332C">
        <w:t>:</w:t>
      </w:r>
      <w:r w:rsidR="005E332C">
        <w:tab/>
      </w:r>
      <w:r w:rsidR="00572295" w:rsidRPr="00572295">
        <w:t>Average projected lifetime c</w:t>
      </w:r>
      <w:r w:rsidR="00584485" w:rsidRPr="00572295">
        <w:t xml:space="preserve">ost for people aged 22 to 25 on </w:t>
      </w:r>
      <w:r w:rsidR="005E332C">
        <w:t>JobSeeker Payment</w:t>
      </w:r>
      <w:r w:rsidR="00584485" w:rsidRPr="00572295">
        <w:t xml:space="preserve"> at 30</w:t>
      </w:r>
      <w:r w:rsidR="00E46C6A">
        <w:t> June </w:t>
      </w:r>
      <w:r w:rsidR="00584485" w:rsidRPr="00572295">
        <w:t>2022</w:t>
      </w:r>
    </w:p>
    <w:p w14:paraId="11BA9146" w14:textId="6BB99D76" w:rsidR="00F57383" w:rsidRDefault="0001038E" w:rsidP="00A06FAA">
      <w:pPr>
        <w:pStyle w:val="ChartGraphic"/>
      </w:pPr>
      <w:r>
        <w:rPr>
          <w:noProof/>
        </w:rPr>
        <w:drawing>
          <wp:inline distT="0" distB="0" distL="0" distR="0" wp14:anchorId="02ED467A" wp14:editId="17520C84">
            <wp:extent cx="4320000" cy="1409700"/>
            <wp:effectExtent l="0" t="0" r="4445" b="0"/>
            <wp:docPr id="310" name="Chart 310" descr="This chart shows the average projected lifetime cost for JSP recipients aged 22 to 25, split by capacity to work:&#10;&#10;- Those with a partial capacity to work: $400,000&#10;- Those with a full capacity to work: $348,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C1B6D4F" w14:textId="3BB0E569" w:rsidR="00745298" w:rsidRPr="00A06FAA" w:rsidRDefault="00F57383" w:rsidP="00A06FAA">
      <w:pPr>
        <w:pStyle w:val="Note"/>
      </w:pPr>
      <w:r w:rsidRPr="00F57383">
        <w:t xml:space="preserve">* Lifetime </w:t>
      </w:r>
      <w:r w:rsidR="008D1C3B">
        <w:t>C</w:t>
      </w:r>
      <w:r w:rsidRPr="00F57383">
        <w:t xml:space="preserve">ost projections include </w:t>
      </w:r>
      <w:r w:rsidR="006D1AD7">
        <w:t>A</w:t>
      </w:r>
      <w:r w:rsidRPr="00F57383">
        <w:t xml:space="preserve">ge </w:t>
      </w:r>
      <w:r w:rsidR="006D1AD7">
        <w:t>P</w:t>
      </w:r>
      <w:r w:rsidRPr="00F57383">
        <w:t>ension</w:t>
      </w:r>
    </w:p>
    <w:p w14:paraId="7E1D815B" w14:textId="77777777" w:rsidR="00523C23" w:rsidRPr="00EC4FC8" w:rsidRDefault="00523C23" w:rsidP="00EC4FC8">
      <w:bookmarkStart w:id="41" w:name="_Toc153355578"/>
      <w:bookmarkStart w:id="42" w:name="_Toc155358644"/>
    </w:p>
    <w:p w14:paraId="0F712D01" w14:textId="77777777" w:rsidR="00EC4FC8" w:rsidRPr="00EC4FC8" w:rsidRDefault="00EC4FC8" w:rsidP="00EC4FC8">
      <w:pPr>
        <w:sectPr w:rsidR="00EC4FC8" w:rsidRPr="00EC4FC8" w:rsidSect="00B46214">
          <w:footerReference w:type="default" r:id="rId48"/>
          <w:pgSz w:w="16838" w:h="11906" w:orient="landscape" w:code="9"/>
          <w:pgMar w:top="1418" w:right="1134" w:bottom="1418" w:left="1134" w:header="425" w:footer="680" w:gutter="0"/>
          <w:cols w:num="2" w:space="709"/>
          <w:docGrid w:linePitch="360"/>
        </w:sectPr>
      </w:pPr>
    </w:p>
    <w:p w14:paraId="65542662" w14:textId="77A33A36" w:rsidR="002346A5" w:rsidRPr="0045062D" w:rsidRDefault="001942EA" w:rsidP="00EC4FC8">
      <w:pPr>
        <w:pStyle w:val="Heading1"/>
      </w:pPr>
      <w:bookmarkStart w:id="43" w:name="_Toc160109474"/>
      <w:r>
        <w:lastRenderedPageBreak/>
        <w:t>Working age</w:t>
      </w:r>
      <w:r w:rsidR="003005FC" w:rsidRPr="0045062D">
        <w:t xml:space="preserve"> </w:t>
      </w:r>
      <w:r>
        <w:t>(</w:t>
      </w:r>
      <w:r w:rsidR="003005FC" w:rsidRPr="0045062D">
        <w:t xml:space="preserve">26 to </w:t>
      </w:r>
      <w:r w:rsidR="002346A5" w:rsidRPr="0045062D">
        <w:t>44</w:t>
      </w:r>
      <w:r>
        <w:t>)</w:t>
      </w:r>
      <w:bookmarkEnd w:id="41"/>
      <w:bookmarkEnd w:id="42"/>
      <w:bookmarkEnd w:id="43"/>
    </w:p>
    <w:p w14:paraId="1322CD0E" w14:textId="6478E03A" w:rsidR="00B04FCE" w:rsidRDefault="00F206C4" w:rsidP="00A06FAA">
      <w:r>
        <w:t>A</w:t>
      </w:r>
      <w:r w:rsidR="002346A5" w:rsidRPr="009D7B6D">
        <w:t>ge 26 to 44 is typically a period of greater self</w:t>
      </w:r>
      <w:r w:rsidR="00B04FCE">
        <w:noBreakHyphen/>
      </w:r>
      <w:r w:rsidR="002346A5" w:rsidRPr="009D7B6D">
        <w:t>reliance</w:t>
      </w:r>
      <w:r>
        <w:t xml:space="preserve"> when people of working age have established themselves in the workforce</w:t>
      </w:r>
      <w:r w:rsidR="002346A5" w:rsidRPr="009D7B6D">
        <w:t>.</w:t>
      </w:r>
      <w:r w:rsidR="00F7268A" w:rsidRPr="009D7B6D">
        <w:rPr>
          <w:rFonts w:hAnsiTheme="minorHAnsi" w:cstheme="minorHAnsi"/>
          <w:b/>
          <w:sz w:val="28"/>
        </w:rPr>
        <w:t xml:space="preserve"> </w:t>
      </w:r>
      <w:r w:rsidR="002346A5" w:rsidRPr="009D7B6D">
        <w:rPr>
          <w:rFonts w:hAnsiTheme="minorHAnsi" w:cstheme="minorHAnsi"/>
        </w:rPr>
        <w:t xml:space="preserve">There </w:t>
      </w:r>
      <w:r w:rsidR="00646B3E">
        <w:rPr>
          <w:rFonts w:hAnsiTheme="minorHAnsi" w:cstheme="minorHAnsi"/>
        </w:rPr>
        <w:t>we</w:t>
      </w:r>
      <w:r w:rsidR="002346A5" w:rsidRPr="009D7B6D">
        <w:rPr>
          <w:rFonts w:hAnsiTheme="minorHAnsi" w:cstheme="minorHAnsi"/>
        </w:rPr>
        <w:t>re 6.</w:t>
      </w:r>
      <w:r w:rsidR="005318DE">
        <w:rPr>
          <w:rFonts w:hAnsiTheme="minorHAnsi" w:cstheme="minorHAnsi"/>
        </w:rPr>
        <w:t>97</w:t>
      </w:r>
      <w:r w:rsidR="00F40387">
        <w:rPr>
          <w:rFonts w:hAnsiTheme="minorHAnsi" w:cstheme="minorHAnsi"/>
        </w:rPr>
        <w:t> million</w:t>
      </w:r>
      <w:r w:rsidR="00477047" w:rsidRPr="009D7B6D">
        <w:rPr>
          <w:rFonts w:hAnsiTheme="minorHAnsi" w:cstheme="minorHAnsi"/>
        </w:rPr>
        <w:t xml:space="preserve"> </w:t>
      </w:r>
      <w:r w:rsidR="002346A5" w:rsidRPr="009D7B6D">
        <w:rPr>
          <w:rFonts w:hAnsiTheme="minorHAnsi" w:cstheme="minorHAnsi"/>
        </w:rPr>
        <w:t>people aged 26 to 44</w:t>
      </w:r>
      <w:r w:rsidR="00646B3E">
        <w:rPr>
          <w:rFonts w:hAnsiTheme="minorHAnsi" w:cstheme="minorHAnsi"/>
        </w:rPr>
        <w:t xml:space="preserve"> </w:t>
      </w:r>
      <w:r w:rsidR="001B65B0">
        <w:rPr>
          <w:rFonts w:hAnsiTheme="minorHAnsi" w:cstheme="minorHAnsi"/>
        </w:rPr>
        <w:t>on</w:t>
      </w:r>
      <w:r w:rsidR="00646B3E">
        <w:rPr>
          <w:rFonts w:hAnsiTheme="minorHAnsi" w:cstheme="minorHAnsi"/>
        </w:rPr>
        <w:t xml:space="preserve"> 30</w:t>
      </w:r>
      <w:r w:rsidR="00E46C6A">
        <w:rPr>
          <w:rFonts w:hAnsiTheme="minorHAnsi" w:cstheme="minorHAnsi"/>
        </w:rPr>
        <w:t> June </w:t>
      </w:r>
      <w:r w:rsidR="00646B3E">
        <w:rPr>
          <w:rFonts w:hAnsiTheme="minorHAnsi" w:cstheme="minorHAnsi"/>
        </w:rPr>
        <w:t>2022</w:t>
      </w:r>
      <w:r w:rsidR="002346A5" w:rsidRPr="009D7B6D">
        <w:rPr>
          <w:rFonts w:hAnsiTheme="minorHAnsi" w:cstheme="minorHAnsi"/>
        </w:rPr>
        <w:t xml:space="preserve">, </w:t>
      </w:r>
      <w:r w:rsidR="00646B3E">
        <w:rPr>
          <w:rFonts w:hAnsiTheme="minorHAnsi" w:cstheme="minorHAnsi"/>
        </w:rPr>
        <w:t>making up</w:t>
      </w:r>
      <w:r w:rsidR="002346A5" w:rsidRPr="009D7B6D">
        <w:rPr>
          <w:rFonts w:hAnsiTheme="minorHAnsi" w:cstheme="minorHAnsi"/>
        </w:rPr>
        <w:t xml:space="preserve"> 27% of the Australian population.</w:t>
      </w:r>
      <w:r w:rsidR="002346A5" w:rsidRPr="00F206C4">
        <w:rPr>
          <w:rFonts w:hAnsiTheme="minorHAnsi" w:cstheme="minorHAnsi"/>
        </w:rPr>
        <w:t xml:space="preserve"> </w:t>
      </w:r>
      <w:r w:rsidRPr="00F206C4">
        <w:rPr>
          <w:rFonts w:hAnsiTheme="minorHAnsi" w:cstheme="minorHAnsi"/>
        </w:rPr>
        <w:t xml:space="preserve">Within this age range, </w:t>
      </w:r>
      <w:r w:rsidR="00566F1D" w:rsidRPr="005318DE">
        <w:rPr>
          <w:rFonts w:hAnsiTheme="minorHAnsi" w:cstheme="minorHAnsi"/>
        </w:rPr>
        <w:t xml:space="preserve">55% of Australians had </w:t>
      </w:r>
      <w:r w:rsidR="00566F1D" w:rsidRPr="00A06FAA">
        <w:t>children</w:t>
      </w:r>
      <w:r w:rsidR="00566F1D" w:rsidRPr="005318DE">
        <w:rPr>
          <w:rFonts w:hAnsiTheme="minorHAnsi" w:cstheme="minorHAnsi"/>
        </w:rPr>
        <w:t>, and 45% did not have children.</w:t>
      </w:r>
    </w:p>
    <w:p w14:paraId="15B566BE" w14:textId="2EB13703" w:rsidR="00307825" w:rsidRDefault="007E4C2E" w:rsidP="00A6370F">
      <w:pPr>
        <w:pStyle w:val="FigureMainHeading"/>
        <w:spacing w:after="0"/>
      </w:pPr>
      <w:r w:rsidRPr="00D27014">
        <w:t>Australian</w:t>
      </w:r>
      <w:r w:rsidR="002346A5" w:rsidRPr="00D27014">
        <w:t xml:space="preserve"> population</w:t>
      </w:r>
    </w:p>
    <w:p w14:paraId="41BF9AA3" w14:textId="2C59911F" w:rsidR="00A6370F" w:rsidRPr="004C6CE6" w:rsidRDefault="00A6370F" w:rsidP="00A6370F">
      <w:pPr>
        <w:pStyle w:val="ChartGraphic"/>
      </w:pPr>
      <w:r>
        <w:rPr>
          <w:noProof/>
        </w:rPr>
        <w:drawing>
          <wp:inline distT="0" distB="0" distL="0" distR="0" wp14:anchorId="05B01892" wp14:editId="4E38C78B">
            <wp:extent cx="4400550" cy="366395"/>
            <wp:effectExtent l="0" t="0" r="0" b="0"/>
            <wp:docPr id="17" name="Chart 17" descr="This picture shows that the people in this subsection, that is, aged 26 to 44, make up 27% of the Australian population.">
              <a:extLst xmlns:a="http://schemas.openxmlformats.org/drawingml/2006/main">
                <a:ext uri="{FF2B5EF4-FFF2-40B4-BE49-F238E27FC236}">
                  <a16:creationId xmlns:a16="http://schemas.microsoft.com/office/drawing/2014/main" id="{00000000-0008-0000-0000-00003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E15CCE5" w14:textId="4ADABA9E" w:rsidR="000D4684" w:rsidRPr="00B52888" w:rsidRDefault="00566F1D" w:rsidP="00A06FAA">
      <w:pPr>
        <w:pStyle w:val="Heading2notnumbered"/>
        <w:rPr>
          <w:rFonts w:eastAsiaTheme="minorHAnsi"/>
          <w:lang w:eastAsia="en-US"/>
        </w:rPr>
      </w:pPr>
      <w:r w:rsidRPr="00BF3758">
        <w:rPr>
          <w:rFonts w:eastAsiaTheme="minorHAnsi"/>
          <w:lang w:eastAsia="en-US"/>
        </w:rPr>
        <w:t>Of the 45% of people without children,</w:t>
      </w:r>
      <w:r>
        <w:rPr>
          <w:rFonts w:eastAsiaTheme="minorHAnsi"/>
          <w:lang w:eastAsia="en-US"/>
        </w:rPr>
        <w:t xml:space="preserve"> </w:t>
      </w:r>
      <w:r w:rsidR="00A9169E">
        <w:rPr>
          <w:rFonts w:eastAsiaTheme="minorHAnsi"/>
          <w:lang w:eastAsia="en-US"/>
        </w:rPr>
        <w:t>58% were single and 42% were partnered. A</w:t>
      </w:r>
      <w:r w:rsidRPr="00BF3758">
        <w:rPr>
          <w:rFonts w:eastAsiaTheme="minorHAnsi"/>
          <w:lang w:eastAsia="en-US"/>
        </w:rPr>
        <w:t xml:space="preserve">round 11% </w:t>
      </w:r>
      <w:r w:rsidR="00A1245A">
        <w:rPr>
          <w:rFonts w:eastAsiaTheme="minorHAnsi"/>
          <w:lang w:eastAsia="en-US"/>
        </w:rPr>
        <w:t xml:space="preserve">of </w:t>
      </w:r>
      <w:r w:rsidR="00146235">
        <w:rPr>
          <w:rFonts w:eastAsiaTheme="minorHAnsi"/>
          <w:lang w:eastAsia="en-US"/>
        </w:rPr>
        <w:t>people</w:t>
      </w:r>
      <w:r w:rsidR="00A1245A">
        <w:rPr>
          <w:rFonts w:eastAsiaTheme="minorHAnsi"/>
          <w:lang w:eastAsia="en-US"/>
        </w:rPr>
        <w:t xml:space="preserve"> without children </w:t>
      </w:r>
      <w:r w:rsidRPr="00BF3758">
        <w:rPr>
          <w:rFonts w:eastAsiaTheme="minorHAnsi"/>
          <w:lang w:eastAsia="en-US"/>
        </w:rPr>
        <w:t xml:space="preserve">received </w:t>
      </w:r>
      <w:r w:rsidRPr="00B52888">
        <w:rPr>
          <w:rFonts w:eastAsiaTheme="minorHAnsi"/>
          <w:lang w:eastAsia="en-US"/>
        </w:rPr>
        <w:t>income support</w:t>
      </w:r>
      <w:r>
        <w:rPr>
          <w:rFonts w:eastAsiaTheme="minorHAnsi"/>
          <w:lang w:eastAsia="en-US"/>
        </w:rPr>
        <w:t>.</w:t>
      </w:r>
      <w:r w:rsidR="00531A83">
        <w:rPr>
          <w:rFonts w:eastAsiaTheme="minorHAnsi"/>
          <w:lang w:eastAsia="en-US"/>
        </w:rPr>
        <w:t xml:space="preserve"> </w:t>
      </w:r>
      <w:r w:rsidR="00F206C4">
        <w:rPr>
          <w:rFonts w:eastAsiaTheme="minorHAnsi"/>
          <w:lang w:eastAsia="en-US"/>
        </w:rPr>
        <w:t>O</w:t>
      </w:r>
      <w:r w:rsidR="00244FA7">
        <w:rPr>
          <w:rFonts w:eastAsiaTheme="minorHAnsi"/>
          <w:lang w:eastAsia="en-US"/>
        </w:rPr>
        <w:t>f those</w:t>
      </w:r>
      <w:r w:rsidR="00531A83">
        <w:rPr>
          <w:rFonts w:eastAsiaTheme="minorHAnsi"/>
          <w:lang w:eastAsia="en-US"/>
        </w:rPr>
        <w:t xml:space="preserve"> </w:t>
      </w:r>
      <w:r w:rsidR="00C73B05">
        <w:rPr>
          <w:rFonts w:eastAsiaTheme="minorHAnsi"/>
          <w:lang w:eastAsia="en-US"/>
        </w:rPr>
        <w:t xml:space="preserve">without children </w:t>
      </w:r>
      <w:r w:rsidR="00F206C4">
        <w:rPr>
          <w:rFonts w:eastAsiaTheme="minorHAnsi"/>
          <w:lang w:eastAsia="en-US"/>
        </w:rPr>
        <w:t>receiving</w:t>
      </w:r>
      <w:r w:rsidR="002B560D">
        <w:rPr>
          <w:rFonts w:eastAsiaTheme="minorHAnsi"/>
          <w:lang w:eastAsia="en-US"/>
        </w:rPr>
        <w:t xml:space="preserve"> </w:t>
      </w:r>
      <w:r w:rsidR="00531A83">
        <w:rPr>
          <w:rFonts w:eastAsiaTheme="minorHAnsi"/>
          <w:lang w:eastAsia="en-US"/>
        </w:rPr>
        <w:t>income support</w:t>
      </w:r>
      <w:r w:rsidR="00F206C4">
        <w:rPr>
          <w:rFonts w:eastAsiaTheme="minorHAnsi"/>
          <w:lang w:eastAsia="en-US"/>
        </w:rPr>
        <w:t>, 95%</w:t>
      </w:r>
      <w:r w:rsidR="00531A83">
        <w:rPr>
          <w:rFonts w:eastAsiaTheme="minorHAnsi"/>
          <w:lang w:eastAsia="en-US"/>
        </w:rPr>
        <w:t xml:space="preserve"> </w:t>
      </w:r>
      <w:r w:rsidR="002B560D">
        <w:rPr>
          <w:rFonts w:eastAsiaTheme="minorHAnsi"/>
          <w:lang w:eastAsia="en-US"/>
        </w:rPr>
        <w:t>were single</w:t>
      </w:r>
      <w:r w:rsidR="000D4684">
        <w:rPr>
          <w:rFonts w:eastAsiaTheme="minorHAnsi"/>
          <w:lang w:eastAsia="en-US"/>
        </w:rPr>
        <w:t>.</w:t>
      </w:r>
    </w:p>
    <w:p w14:paraId="09A6C43E" w14:textId="2B5EC358" w:rsidR="00674383" w:rsidRPr="00376860" w:rsidRDefault="0076513E" w:rsidP="00A06FAA">
      <w:r>
        <w:t xml:space="preserve">This section focuses on </w:t>
      </w:r>
      <w:r w:rsidR="00F206C4">
        <w:t xml:space="preserve">people </w:t>
      </w:r>
      <w:r w:rsidR="009727CC">
        <w:t xml:space="preserve">aged </w:t>
      </w:r>
      <w:r>
        <w:t>26</w:t>
      </w:r>
      <w:r w:rsidR="009727CC">
        <w:t xml:space="preserve"> to </w:t>
      </w:r>
      <w:r>
        <w:t>44</w:t>
      </w:r>
      <w:r w:rsidR="009727CC">
        <w:t xml:space="preserve"> </w:t>
      </w:r>
      <w:r>
        <w:t>without children</w:t>
      </w:r>
      <w:r w:rsidR="00E04FC4">
        <w:t xml:space="preserve"> (</w:t>
      </w:r>
      <w:r w:rsidR="00696DBD">
        <w:fldChar w:fldCharType="begin"/>
      </w:r>
      <w:r w:rsidR="00696DBD">
        <w:instrText xml:space="preserve"> REF _Ref153291935 \h  \* MERGEFORMAT </w:instrText>
      </w:r>
      <w:r w:rsidR="00696DBD">
        <w:fldChar w:fldCharType="separate"/>
      </w:r>
      <w:r w:rsidR="00722C0A">
        <w:t>Figure 4.1</w:t>
      </w:r>
      <w:r w:rsidR="00696DBD">
        <w:fldChar w:fldCharType="end"/>
      </w:r>
      <w:r w:rsidR="00696DBD">
        <w:t>)</w:t>
      </w:r>
      <w:r>
        <w:t>, who are either not receiving income support</w:t>
      </w:r>
      <w:r w:rsidR="00F71CAB">
        <w:t xml:space="preserve"> or </w:t>
      </w:r>
      <w:r w:rsidR="00A61602">
        <w:t xml:space="preserve">only </w:t>
      </w:r>
      <w:r w:rsidR="00F71CAB">
        <w:t xml:space="preserve">receiving </w:t>
      </w:r>
      <w:r w:rsidR="005E332C">
        <w:t>JobSeeker Payment</w:t>
      </w:r>
      <w:r w:rsidR="00F71CAB">
        <w:t>. All other</w:t>
      </w:r>
      <w:r w:rsidR="00BB6D9E">
        <w:t>s aged</w:t>
      </w:r>
      <w:r w:rsidR="00F71CAB">
        <w:t xml:space="preserve"> 26</w:t>
      </w:r>
      <w:r w:rsidR="00BB6D9E">
        <w:t xml:space="preserve"> to </w:t>
      </w:r>
      <w:r w:rsidR="00F71CAB">
        <w:t xml:space="preserve">44 are considered as part of the </w:t>
      </w:r>
      <w:r w:rsidR="0016721B">
        <w:t>In</w:t>
      </w:r>
      <w:r w:rsidR="00B04FCE">
        <w:noBreakHyphen/>
      </w:r>
      <w:r w:rsidR="0016721B">
        <w:t>Depth Focus</w:t>
      </w:r>
      <w:r w:rsidR="00F71CAB">
        <w:t xml:space="preserve"> groups later in this report (</w:t>
      </w:r>
      <w:r w:rsidR="00032263">
        <w:t xml:space="preserve">including the sections on </w:t>
      </w:r>
      <w:r w:rsidR="00F71CAB">
        <w:t xml:space="preserve">People with children, People receiving </w:t>
      </w:r>
      <w:r w:rsidR="00032263">
        <w:t>payments to support caring</w:t>
      </w:r>
      <w:r w:rsidR="00F71CAB">
        <w:t xml:space="preserve">, </w:t>
      </w:r>
      <w:r w:rsidR="00032263">
        <w:t>and</w:t>
      </w:r>
      <w:r w:rsidR="00F71CAB">
        <w:t xml:space="preserve"> People receiving Disability Support Pension</w:t>
      </w:r>
      <w:r w:rsidR="00077CA2">
        <w:t xml:space="preserve"> (DSP)</w:t>
      </w:r>
      <w:r w:rsidR="00F71CAB">
        <w:t>)</w:t>
      </w:r>
      <w:r w:rsidR="00465295">
        <w:t>.</w:t>
      </w:r>
    </w:p>
    <w:p w14:paraId="77BF42FC" w14:textId="330DC896" w:rsidR="00696DBD" w:rsidRPr="00A13641" w:rsidRDefault="007855DD" w:rsidP="005E332C">
      <w:pPr>
        <w:pStyle w:val="FigureMainHeading"/>
      </w:pPr>
      <w:bookmarkStart w:id="44" w:name="_Ref153291935"/>
      <w:r>
        <w:t>Figure </w:t>
      </w:r>
      <w:r w:rsidR="007069EA" w:rsidRPr="00A13641">
        <w:fldChar w:fldCharType="begin"/>
      </w:r>
      <w:r w:rsidR="007069EA">
        <w:instrText xml:space="preserve"> STYLEREF 1 \s </w:instrText>
      </w:r>
      <w:r w:rsidR="007069EA" w:rsidRPr="00A13641">
        <w:fldChar w:fldCharType="separate"/>
      </w:r>
      <w:r w:rsidR="00722C0A">
        <w:rPr>
          <w:noProof/>
        </w:rPr>
        <w:t>4</w:t>
      </w:r>
      <w:r w:rsidR="007069EA" w:rsidRPr="00A13641">
        <w:fldChar w:fldCharType="end"/>
      </w:r>
      <w:r w:rsidR="00C95BE9">
        <w:t>.</w:t>
      </w:r>
      <w:r w:rsidR="007069EA" w:rsidRPr="00A13641">
        <w:fldChar w:fldCharType="begin"/>
      </w:r>
      <w:r w:rsidR="007069EA">
        <w:instrText xml:space="preserve"> SEQ Figure \* ARABIC \s 1 </w:instrText>
      </w:r>
      <w:r w:rsidR="007069EA" w:rsidRPr="00A13641">
        <w:fldChar w:fldCharType="separate"/>
      </w:r>
      <w:r w:rsidR="00722C0A">
        <w:rPr>
          <w:noProof/>
        </w:rPr>
        <w:t>1</w:t>
      </w:r>
      <w:r w:rsidR="007069EA" w:rsidRPr="00A13641">
        <w:fldChar w:fldCharType="end"/>
      </w:r>
      <w:bookmarkEnd w:id="44"/>
      <w:r w:rsidR="005E332C">
        <w:t>:</w:t>
      </w:r>
      <w:r w:rsidR="005E332C">
        <w:tab/>
      </w:r>
      <w:r w:rsidR="00584485">
        <w:t>P</w:t>
      </w:r>
      <w:r w:rsidR="00696DBD" w:rsidRPr="00696DBD">
        <w:t xml:space="preserve">eople </w:t>
      </w:r>
      <w:r w:rsidR="00584485" w:rsidRPr="00696DBD">
        <w:t xml:space="preserve">aged 26 to 44 composition </w:t>
      </w:r>
      <w:r w:rsidR="00584485">
        <w:t>at</w:t>
      </w:r>
      <w:r w:rsidR="00584485" w:rsidRPr="00696DBD">
        <w:t xml:space="preserve"> </w:t>
      </w:r>
      <w:r w:rsidR="00696DBD" w:rsidRPr="00696DBD">
        <w:t>30</w:t>
      </w:r>
      <w:r w:rsidR="00E46C6A">
        <w:t> June </w:t>
      </w:r>
      <w:r w:rsidR="00696DBD" w:rsidRPr="00696DBD">
        <w:t>2022</w:t>
      </w:r>
    </w:p>
    <w:p w14:paraId="5DC32CC1" w14:textId="61F18496" w:rsidR="002346A5" w:rsidRDefault="002346A5" w:rsidP="00A06FAA">
      <w:pPr>
        <w:pStyle w:val="ChartGraphic"/>
      </w:pPr>
      <w:r>
        <w:rPr>
          <w:noProof/>
        </w:rPr>
        <w:drawing>
          <wp:inline distT="0" distB="0" distL="0" distR="0" wp14:anchorId="1C004E5D" wp14:editId="70913BFA">
            <wp:extent cx="4319905" cy="2771775"/>
            <wp:effectExtent l="0" t="0" r="4445" b="0"/>
            <wp:docPr id="19" name="Chart 19" descr="This chart shows that 55% of people aged 26 to 44 at 30 June 2022 have children, and 45% do not have children. Of the 45% without children, 40% received no income support, 2% received JobSeeker Payment, and 2% received other income supp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E53217B" w14:textId="3BFC9DA2" w:rsidR="00B04FCE" w:rsidRDefault="007E094E" w:rsidP="00A06FAA">
      <w:pPr>
        <w:pStyle w:val="Heading2notnumbered"/>
        <w:rPr>
          <w:rFonts w:eastAsiaTheme="minorHAnsi"/>
          <w:lang w:eastAsia="en-US"/>
        </w:rPr>
      </w:pPr>
      <w:r w:rsidRPr="008A06C2">
        <w:rPr>
          <w:rFonts w:eastAsiaTheme="minorHAnsi"/>
          <w:lang w:eastAsia="en-US"/>
        </w:rPr>
        <w:t>39</w:t>
      </w:r>
      <w:r w:rsidR="001F1230" w:rsidRPr="008A06C2">
        <w:rPr>
          <w:rFonts w:eastAsiaTheme="minorHAnsi"/>
          <w:lang w:eastAsia="en-US"/>
        </w:rPr>
        <w:t>%</w:t>
      </w:r>
      <w:r w:rsidR="002346A5" w:rsidRPr="008A06C2">
        <w:rPr>
          <w:rFonts w:eastAsiaTheme="minorHAnsi"/>
          <w:lang w:eastAsia="en-US"/>
        </w:rPr>
        <w:t xml:space="preserve"> of people aged 26</w:t>
      </w:r>
      <w:r w:rsidR="0073443F" w:rsidRPr="008A06C2">
        <w:rPr>
          <w:rFonts w:eastAsiaTheme="minorHAnsi"/>
          <w:lang w:eastAsia="en-US"/>
        </w:rPr>
        <w:t xml:space="preserve"> to </w:t>
      </w:r>
      <w:r w:rsidR="002346A5" w:rsidRPr="008A06C2">
        <w:rPr>
          <w:rFonts w:eastAsiaTheme="minorHAnsi"/>
          <w:lang w:eastAsia="en-US"/>
        </w:rPr>
        <w:t xml:space="preserve">44 </w:t>
      </w:r>
      <w:r w:rsidR="007C6B7C" w:rsidRPr="008A06C2">
        <w:rPr>
          <w:rFonts w:eastAsiaTheme="minorHAnsi"/>
          <w:lang w:eastAsia="en-US"/>
        </w:rPr>
        <w:t>without children who were receiving</w:t>
      </w:r>
      <w:r w:rsidR="002346A5" w:rsidRPr="008A06C2">
        <w:rPr>
          <w:rFonts w:eastAsiaTheme="minorHAnsi"/>
          <w:lang w:eastAsia="en-US"/>
        </w:rPr>
        <w:t xml:space="preserve"> </w:t>
      </w:r>
      <w:r w:rsidR="005E332C">
        <w:rPr>
          <w:rFonts w:eastAsiaTheme="minorHAnsi"/>
          <w:lang w:eastAsia="en-US"/>
        </w:rPr>
        <w:t>JobSeeker Payment</w:t>
      </w:r>
      <w:r w:rsidR="002346A5" w:rsidRPr="008A06C2">
        <w:rPr>
          <w:rFonts w:eastAsiaTheme="minorHAnsi"/>
          <w:lang w:eastAsia="en-US"/>
        </w:rPr>
        <w:t xml:space="preserve"> </w:t>
      </w:r>
      <w:r w:rsidR="00646B3E" w:rsidRPr="008A06C2">
        <w:rPr>
          <w:rFonts w:eastAsiaTheme="minorHAnsi"/>
          <w:lang w:eastAsia="en-US"/>
        </w:rPr>
        <w:t xml:space="preserve">had </w:t>
      </w:r>
      <w:r w:rsidR="002346A5" w:rsidRPr="008A06C2">
        <w:rPr>
          <w:rFonts w:eastAsiaTheme="minorHAnsi"/>
          <w:lang w:eastAsia="en-US"/>
        </w:rPr>
        <w:t xml:space="preserve">a partial capacity to work. </w:t>
      </w:r>
      <w:r w:rsidR="00E31B55" w:rsidRPr="008A06C2">
        <w:rPr>
          <w:rFonts w:eastAsiaTheme="minorHAnsi"/>
          <w:lang w:eastAsia="en-US"/>
        </w:rPr>
        <w:t xml:space="preserve">This group spent </w:t>
      </w:r>
      <w:r w:rsidR="0021481A">
        <w:rPr>
          <w:rFonts w:eastAsiaTheme="minorHAnsi"/>
          <w:lang w:eastAsia="en-US"/>
        </w:rPr>
        <w:t>1</w:t>
      </w:r>
      <w:r w:rsidR="006A7F9E">
        <w:rPr>
          <w:rFonts w:eastAsiaTheme="minorHAnsi"/>
          <w:lang w:eastAsia="en-US"/>
        </w:rPr>
        <w:t>.1</w:t>
      </w:r>
      <w:r w:rsidR="00E46C6A">
        <w:rPr>
          <w:rFonts w:eastAsiaTheme="minorHAnsi"/>
          <w:lang w:eastAsia="en-US"/>
        </w:rPr>
        <w:t> year</w:t>
      </w:r>
      <w:r w:rsidR="006A7F9E">
        <w:rPr>
          <w:rFonts w:eastAsiaTheme="minorHAnsi"/>
          <w:lang w:eastAsia="en-US"/>
        </w:rPr>
        <w:t>s</w:t>
      </w:r>
      <w:r w:rsidR="0021481A">
        <w:rPr>
          <w:rFonts w:eastAsiaTheme="minorHAnsi"/>
          <w:lang w:eastAsia="en-US"/>
        </w:rPr>
        <w:t xml:space="preserve"> </w:t>
      </w:r>
      <w:r w:rsidR="002346A5" w:rsidRPr="008A06C2">
        <w:rPr>
          <w:rFonts w:eastAsiaTheme="minorHAnsi"/>
          <w:lang w:eastAsia="en-US"/>
        </w:rPr>
        <w:t>longer</w:t>
      </w:r>
      <w:r w:rsidR="00E31B55" w:rsidRPr="008A06C2">
        <w:rPr>
          <w:rFonts w:eastAsiaTheme="minorHAnsi"/>
          <w:lang w:eastAsia="en-US"/>
        </w:rPr>
        <w:t xml:space="preserve"> on </w:t>
      </w:r>
      <w:r w:rsidR="005E332C">
        <w:rPr>
          <w:rFonts w:eastAsiaTheme="minorHAnsi"/>
          <w:lang w:eastAsia="en-US"/>
        </w:rPr>
        <w:t>JobSeeker Payment</w:t>
      </w:r>
      <w:r w:rsidR="002346A5" w:rsidRPr="008A06C2">
        <w:rPr>
          <w:rFonts w:eastAsiaTheme="minorHAnsi"/>
          <w:lang w:eastAsia="en-US"/>
        </w:rPr>
        <w:t xml:space="preserve"> than those with full capacity </w:t>
      </w:r>
      <w:r w:rsidR="00A116B2" w:rsidRPr="008A06C2">
        <w:rPr>
          <w:rFonts w:eastAsiaTheme="minorHAnsi"/>
          <w:lang w:eastAsia="en-US"/>
        </w:rPr>
        <w:t xml:space="preserve">over </w:t>
      </w:r>
      <w:r w:rsidR="002346A5" w:rsidRPr="008A06C2">
        <w:rPr>
          <w:rFonts w:eastAsiaTheme="minorHAnsi"/>
          <w:lang w:eastAsia="en-US"/>
        </w:rPr>
        <w:t xml:space="preserve">the </w:t>
      </w:r>
      <w:r w:rsidR="00AC7BA7" w:rsidRPr="008A06C2">
        <w:rPr>
          <w:rFonts w:eastAsiaTheme="minorHAnsi"/>
          <w:lang w:eastAsia="en-US"/>
        </w:rPr>
        <w:t xml:space="preserve">previous </w:t>
      </w:r>
      <w:r w:rsidR="002346A5" w:rsidRPr="008A06C2">
        <w:rPr>
          <w:rFonts w:eastAsiaTheme="minorHAnsi"/>
          <w:lang w:eastAsia="en-US"/>
        </w:rPr>
        <w:t>5</w:t>
      </w:r>
      <w:r w:rsidR="00E46C6A">
        <w:rPr>
          <w:rFonts w:eastAsiaTheme="minorHAnsi"/>
          <w:lang w:eastAsia="en-US"/>
        </w:rPr>
        <w:t> year</w:t>
      </w:r>
      <w:r w:rsidR="002346A5" w:rsidRPr="008A06C2">
        <w:rPr>
          <w:rFonts w:eastAsiaTheme="minorHAnsi"/>
          <w:lang w:eastAsia="en-US"/>
        </w:rPr>
        <w:t>s</w:t>
      </w:r>
      <w:r w:rsidR="0021481A">
        <w:rPr>
          <w:rFonts w:eastAsiaTheme="minorHAnsi"/>
          <w:lang w:eastAsia="en-US"/>
        </w:rPr>
        <w:t xml:space="preserve"> on average</w:t>
      </w:r>
      <w:r w:rsidR="002346A5" w:rsidRPr="008A06C2">
        <w:rPr>
          <w:rFonts w:eastAsiaTheme="minorHAnsi"/>
          <w:lang w:eastAsia="en-US"/>
        </w:rPr>
        <w:t>.</w:t>
      </w:r>
    </w:p>
    <w:p w14:paraId="7BD70EBB" w14:textId="5CC2BAE7" w:rsidR="00DC0148" w:rsidRPr="009D7B6D" w:rsidRDefault="00A15A10" w:rsidP="00A06FAA">
      <w:r>
        <w:fldChar w:fldCharType="begin"/>
      </w:r>
      <w:r>
        <w:instrText xml:space="preserve"> REF _Ref153292762 \h  \* MERGEFORMAT </w:instrText>
      </w:r>
      <w:r>
        <w:fldChar w:fldCharType="separate"/>
      </w:r>
      <w:r w:rsidR="00722C0A">
        <w:t>Figure 4.2</w:t>
      </w:r>
      <w:r>
        <w:fldChar w:fldCharType="end"/>
      </w:r>
      <w:r>
        <w:t xml:space="preserve"> </w:t>
      </w:r>
      <w:r w:rsidR="00DC0148">
        <w:t xml:space="preserve">shows people </w:t>
      </w:r>
      <w:r w:rsidR="00377EFA">
        <w:t xml:space="preserve">without children </w:t>
      </w:r>
      <w:r w:rsidR="00DC0148">
        <w:t>aged 26 to 44</w:t>
      </w:r>
      <w:r w:rsidR="00DC0148" w:rsidRPr="009D7B6D">
        <w:t xml:space="preserve"> </w:t>
      </w:r>
      <w:r w:rsidR="00DC0148">
        <w:t>receiving</w:t>
      </w:r>
      <w:r w:rsidR="00DC0148" w:rsidRPr="009D7B6D">
        <w:t xml:space="preserve"> </w:t>
      </w:r>
      <w:r w:rsidR="005E332C">
        <w:t>JobSeeker Payment</w:t>
      </w:r>
      <w:r w:rsidR="00DC0148" w:rsidRPr="009D7B6D">
        <w:t xml:space="preserve"> with a partial capacity to work received </w:t>
      </w:r>
      <w:r w:rsidR="00B723C1">
        <w:t>income support</w:t>
      </w:r>
      <w:r w:rsidR="00DC0148" w:rsidRPr="009D7B6D">
        <w:t xml:space="preserve"> for </w:t>
      </w:r>
      <w:r w:rsidR="00DC0148">
        <w:t>3.</w:t>
      </w:r>
      <w:r w:rsidR="00DC0148" w:rsidDel="00906068">
        <w:t>9</w:t>
      </w:r>
      <w:r w:rsidR="00E46C6A">
        <w:t> year</w:t>
      </w:r>
      <w:r w:rsidR="00DC0148">
        <w:t>s out</w:t>
      </w:r>
      <w:r w:rsidR="00DC0148" w:rsidRPr="009D7B6D">
        <w:t xml:space="preserve"> </w:t>
      </w:r>
      <w:r w:rsidR="00DC0148">
        <w:t>of</w:t>
      </w:r>
      <w:r w:rsidR="00DC0148" w:rsidRPr="009D7B6D">
        <w:t xml:space="preserve"> the </w:t>
      </w:r>
      <w:r w:rsidR="00DC0148">
        <w:t xml:space="preserve">previous </w:t>
      </w:r>
      <w:r w:rsidR="00DC0148" w:rsidRPr="009D7B6D">
        <w:t>5</w:t>
      </w:r>
      <w:r w:rsidR="00E46C6A">
        <w:t> year</w:t>
      </w:r>
      <w:r w:rsidR="00DC0148" w:rsidRPr="009D7B6D">
        <w:t>s</w:t>
      </w:r>
      <w:r w:rsidR="00BE425E">
        <w:t xml:space="preserve"> on average</w:t>
      </w:r>
      <w:r w:rsidR="008A1748">
        <w:t>. T</w:t>
      </w:r>
      <w:r w:rsidR="00DC0148">
        <w:t>his is 1</w:t>
      </w:r>
      <w:r w:rsidR="00E46C6A">
        <w:t> year</w:t>
      </w:r>
      <w:r w:rsidR="00DC0148">
        <w:t xml:space="preserve"> longer than those with full work capacity (2.9</w:t>
      </w:r>
      <w:r w:rsidR="00E46C6A">
        <w:t> year</w:t>
      </w:r>
      <w:r w:rsidR="00DC0148">
        <w:t>s)</w:t>
      </w:r>
      <w:r w:rsidR="00DC0148" w:rsidRPr="009D7B6D">
        <w:t>. People</w:t>
      </w:r>
      <w:r w:rsidR="00C73B05">
        <w:t xml:space="preserve"> without children</w:t>
      </w:r>
      <w:r w:rsidR="00DC0148" w:rsidRPr="009D7B6D">
        <w:t xml:space="preserve"> not </w:t>
      </w:r>
      <w:r w:rsidR="00DC0148">
        <w:t>receiving</w:t>
      </w:r>
      <w:r w:rsidR="00DC0148" w:rsidRPr="009D7B6D">
        <w:t xml:space="preserve"> income support </w:t>
      </w:r>
      <w:r w:rsidR="00DC0148">
        <w:t>on 30</w:t>
      </w:r>
      <w:r w:rsidR="00E46C6A">
        <w:t> June </w:t>
      </w:r>
      <w:r w:rsidR="00DC0148">
        <w:t>2022</w:t>
      </w:r>
      <w:r w:rsidR="00DA14A4">
        <w:t xml:space="preserve"> </w:t>
      </w:r>
      <w:r w:rsidR="00DC0148" w:rsidRPr="009D7B6D">
        <w:t xml:space="preserve">received </w:t>
      </w:r>
      <w:r w:rsidR="00DC0148">
        <w:t>working age payments</w:t>
      </w:r>
      <w:r w:rsidR="00DC0148" w:rsidRPr="009D7B6D">
        <w:t xml:space="preserve"> for </w:t>
      </w:r>
      <w:r w:rsidR="00DC0148">
        <w:t>less than half a year (0.</w:t>
      </w:r>
      <w:r w:rsidR="00DC0148" w:rsidDel="009B0D25">
        <w:t>3</w:t>
      </w:r>
      <w:r w:rsidR="00E46C6A">
        <w:t> year</w:t>
      </w:r>
      <w:r w:rsidR="00DC0148">
        <w:t>s) over the</w:t>
      </w:r>
      <w:r w:rsidR="00DC0148" w:rsidRPr="009D7B6D">
        <w:t xml:space="preserve"> </w:t>
      </w:r>
      <w:r w:rsidR="00DC0148">
        <w:t xml:space="preserve">previous </w:t>
      </w:r>
      <w:r w:rsidR="00DC0148" w:rsidRPr="009D7B6D">
        <w:t>5</w:t>
      </w:r>
      <w:r w:rsidR="00E46C6A">
        <w:t> year</w:t>
      </w:r>
      <w:r w:rsidR="00DC0148" w:rsidRPr="009D7B6D">
        <w:t>s on average.</w:t>
      </w:r>
    </w:p>
    <w:p w14:paraId="7056B427" w14:textId="08488346" w:rsidR="00A15A10" w:rsidRPr="00A15A10" w:rsidRDefault="007855DD" w:rsidP="005E332C">
      <w:pPr>
        <w:pStyle w:val="FigureMainHeading"/>
      </w:pPr>
      <w:bookmarkStart w:id="45" w:name="_Ref153292762"/>
      <w:r>
        <w:lastRenderedPageBreak/>
        <w:t>Figure </w:t>
      </w:r>
      <w:r w:rsidR="007069EA" w:rsidRPr="00A13641">
        <w:fldChar w:fldCharType="begin"/>
      </w:r>
      <w:r w:rsidR="007069EA">
        <w:instrText xml:space="preserve"> STYLEREF 1 \s </w:instrText>
      </w:r>
      <w:r w:rsidR="007069EA" w:rsidRPr="00A13641">
        <w:fldChar w:fldCharType="separate"/>
      </w:r>
      <w:r w:rsidR="00722C0A">
        <w:rPr>
          <w:noProof/>
        </w:rPr>
        <w:t>4</w:t>
      </w:r>
      <w:r w:rsidR="007069EA" w:rsidRPr="00A13641">
        <w:fldChar w:fldCharType="end"/>
      </w:r>
      <w:r w:rsidR="00C95BE9">
        <w:t>.</w:t>
      </w:r>
      <w:r w:rsidR="007069EA" w:rsidRPr="00A13641">
        <w:fldChar w:fldCharType="begin"/>
      </w:r>
      <w:r w:rsidR="007069EA">
        <w:instrText xml:space="preserve"> SEQ Figure \* ARABIC \s 1 </w:instrText>
      </w:r>
      <w:r w:rsidR="007069EA" w:rsidRPr="00A13641">
        <w:fldChar w:fldCharType="separate"/>
      </w:r>
      <w:r w:rsidR="00722C0A">
        <w:rPr>
          <w:noProof/>
        </w:rPr>
        <w:t>2</w:t>
      </w:r>
      <w:r w:rsidR="007069EA" w:rsidRPr="00A13641">
        <w:fldChar w:fldCharType="end"/>
      </w:r>
      <w:bookmarkEnd w:id="45"/>
      <w:r w:rsidR="005E332C">
        <w:t>:</w:t>
      </w:r>
      <w:r w:rsidR="005E332C">
        <w:tab/>
      </w:r>
      <w:r w:rsidR="00377EFA">
        <w:t>Income support</w:t>
      </w:r>
      <w:r w:rsidR="00A15A10" w:rsidRPr="00A15A10">
        <w:t xml:space="preserve"> usa</w:t>
      </w:r>
      <w:r w:rsidR="00584485" w:rsidRPr="00A15A10">
        <w:t>ge over the previous 5</w:t>
      </w:r>
      <w:r w:rsidR="00E46C6A">
        <w:t> year</w:t>
      </w:r>
      <w:r w:rsidR="00584485" w:rsidRPr="00A15A10">
        <w:t>s</w:t>
      </w:r>
      <w:r w:rsidR="00584485">
        <w:t xml:space="preserve"> for people aged 26 to 44 without children</w:t>
      </w:r>
    </w:p>
    <w:p w14:paraId="08501320" w14:textId="19303E65" w:rsidR="00B04FCE" w:rsidRDefault="00D144B6" w:rsidP="00A06FAA">
      <w:pPr>
        <w:pStyle w:val="ChartGraphic"/>
      </w:pPr>
      <w:r>
        <w:rPr>
          <w:noProof/>
        </w:rPr>
        <w:drawing>
          <wp:inline distT="0" distB="0" distL="0" distR="0" wp14:anchorId="21F1ABEF" wp14:editId="3919AACB">
            <wp:extent cx="4319905" cy="2136618"/>
            <wp:effectExtent l="0" t="0" r="4445" b="0"/>
            <wp:docPr id="336" name="Chart 336" descr="This chart shows the average time receiving a) working age payments and b) income support for people aged 26 to 44 without children over the previous 5 years, split by:&#10;&#10;- JSP recipients with a partial capacity to work: a) 3.8 years, b) 3.9 years&#10;- JSP recipients with a full capacity to work: a) 2.7 years, b) 2.9 years&#10;- People not on income support: a) 0.2 years, b) 0.3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83772B1" w14:textId="4C3E05DA" w:rsidR="00B04FCE" w:rsidRDefault="002346A5" w:rsidP="00A06FAA">
      <w:pPr>
        <w:pStyle w:val="Heading2notnumbered"/>
        <w:rPr>
          <w:noProof/>
        </w:rPr>
      </w:pPr>
      <w:r w:rsidRPr="00D40568">
        <w:t>People</w:t>
      </w:r>
      <w:r w:rsidR="00A75F5C">
        <w:t xml:space="preserve"> without children</w:t>
      </w:r>
      <w:r w:rsidRPr="00D40568">
        <w:t xml:space="preserve"> </w:t>
      </w:r>
      <w:r w:rsidR="00A75F5C">
        <w:t>who were</w:t>
      </w:r>
      <w:r w:rsidRPr="00D40568">
        <w:t xml:space="preserve"> </w:t>
      </w:r>
      <w:r w:rsidR="00646B3E">
        <w:t>receiving</w:t>
      </w:r>
      <w:r w:rsidR="00646B3E" w:rsidRPr="00D40568">
        <w:t xml:space="preserve"> </w:t>
      </w:r>
      <w:r w:rsidR="005E332C">
        <w:t>JobSeeker Payment</w:t>
      </w:r>
      <w:r w:rsidRPr="00D40568">
        <w:t xml:space="preserve"> with a partial capacity to work are </w:t>
      </w:r>
      <w:r w:rsidR="00646B3E">
        <w:t xml:space="preserve">projected </w:t>
      </w:r>
      <w:r w:rsidRPr="00D40568">
        <w:t xml:space="preserve">to spend </w:t>
      </w:r>
      <w:r w:rsidR="003A4DDE">
        <w:t>3.1</w:t>
      </w:r>
      <w:r w:rsidR="00E46C6A">
        <w:t> year</w:t>
      </w:r>
      <w:r w:rsidR="003A4DDE">
        <w:t>s longer</w:t>
      </w:r>
      <w:r w:rsidR="007435A8">
        <w:t xml:space="preserve"> on average</w:t>
      </w:r>
      <w:r w:rsidR="003A4DDE">
        <w:t xml:space="preserve"> </w:t>
      </w:r>
      <w:r w:rsidR="00646B3E">
        <w:t>receiving</w:t>
      </w:r>
      <w:r w:rsidRPr="00D40568">
        <w:t xml:space="preserve"> income support</w:t>
      </w:r>
      <w:r w:rsidR="00646B3E">
        <w:t xml:space="preserve"> before retirement age</w:t>
      </w:r>
      <w:r w:rsidR="003A4DDE">
        <w:t>,</w:t>
      </w:r>
      <w:r w:rsidRPr="00D40568">
        <w:t xml:space="preserve"> </w:t>
      </w:r>
      <w:r w:rsidR="003A4DDE">
        <w:t xml:space="preserve">than </w:t>
      </w:r>
      <w:r w:rsidRPr="00D40568">
        <w:t xml:space="preserve">people </w:t>
      </w:r>
      <w:r w:rsidR="00A75F5C">
        <w:t xml:space="preserve">without children who were </w:t>
      </w:r>
      <w:r w:rsidR="006A49EB">
        <w:t>receiving</w:t>
      </w:r>
      <w:r w:rsidRPr="00D40568">
        <w:t xml:space="preserve"> </w:t>
      </w:r>
      <w:r w:rsidR="005E332C">
        <w:t>JobSeeker Payment</w:t>
      </w:r>
      <w:r w:rsidR="002159DC">
        <w:t xml:space="preserve"> with </w:t>
      </w:r>
      <w:r w:rsidR="00BE2765">
        <w:t>full work capacity</w:t>
      </w:r>
      <w:r w:rsidR="002159DC">
        <w:t>.</w:t>
      </w:r>
    </w:p>
    <w:p w14:paraId="37C48E98" w14:textId="2B0EFBDC" w:rsidR="00B04FCE" w:rsidRDefault="00CF3B29" w:rsidP="00A15A10">
      <w:pPr>
        <w:rPr>
          <w:rFonts w:asciiTheme="minorHAnsi" w:hAnsiTheme="minorHAnsi" w:cstheme="minorHAnsi"/>
          <w:szCs w:val="21"/>
        </w:rPr>
      </w:pPr>
      <w:r>
        <w:rPr>
          <w:rFonts w:asciiTheme="minorHAnsi" w:hAnsiTheme="minorHAnsi" w:cstheme="minorHAnsi"/>
          <w:szCs w:val="21"/>
        </w:rPr>
        <w:fldChar w:fldCharType="begin"/>
      </w:r>
      <w:r>
        <w:rPr>
          <w:rFonts w:asciiTheme="minorHAnsi" w:hAnsiTheme="minorHAnsi" w:cstheme="minorHAnsi"/>
          <w:szCs w:val="21"/>
        </w:rPr>
        <w:instrText xml:space="preserve"> REF _Ref153293262 \h  \* MERGEFORMAT </w:instrText>
      </w:r>
      <w:r>
        <w:rPr>
          <w:rFonts w:asciiTheme="minorHAnsi" w:hAnsiTheme="minorHAnsi" w:cstheme="minorHAnsi"/>
          <w:szCs w:val="21"/>
        </w:rPr>
      </w:r>
      <w:r>
        <w:rPr>
          <w:rFonts w:asciiTheme="minorHAnsi" w:hAnsiTheme="minorHAnsi" w:cstheme="minorHAnsi"/>
          <w:szCs w:val="21"/>
        </w:rPr>
        <w:fldChar w:fldCharType="separate"/>
      </w:r>
      <w:r w:rsidR="00722C0A" w:rsidRPr="00722C0A">
        <w:rPr>
          <w:rFonts w:asciiTheme="minorHAnsi" w:hAnsiTheme="minorHAnsi" w:cstheme="minorHAnsi"/>
          <w:szCs w:val="21"/>
        </w:rPr>
        <w:t>Figure 4.3</w:t>
      </w:r>
      <w:r>
        <w:rPr>
          <w:rFonts w:asciiTheme="minorHAnsi" w:hAnsiTheme="minorHAnsi" w:cstheme="minorHAnsi"/>
          <w:szCs w:val="21"/>
        </w:rPr>
        <w:fldChar w:fldCharType="end"/>
      </w:r>
      <w:r>
        <w:rPr>
          <w:rFonts w:asciiTheme="minorHAnsi" w:hAnsiTheme="minorHAnsi" w:cstheme="minorHAnsi"/>
          <w:szCs w:val="21"/>
        </w:rPr>
        <w:t xml:space="preserve"> </w:t>
      </w:r>
      <w:r w:rsidR="00A15A10" w:rsidRPr="009D7B6D">
        <w:rPr>
          <w:rFonts w:asciiTheme="minorHAnsi" w:hAnsiTheme="minorHAnsi" w:cstheme="minorHAnsi"/>
          <w:szCs w:val="21"/>
        </w:rPr>
        <w:t xml:space="preserve">highlights the vulnerability of those with a partial capacity to work. </w:t>
      </w:r>
      <w:r w:rsidR="00A15A10">
        <w:rPr>
          <w:rFonts w:asciiTheme="minorHAnsi" w:hAnsiTheme="minorHAnsi" w:cstheme="minorHAnsi"/>
          <w:szCs w:val="21"/>
        </w:rPr>
        <w:t xml:space="preserve">People without children who were receiving </w:t>
      </w:r>
      <w:r w:rsidR="005E332C">
        <w:rPr>
          <w:rFonts w:asciiTheme="minorHAnsi" w:hAnsiTheme="minorHAnsi" w:cstheme="minorHAnsi"/>
          <w:szCs w:val="21"/>
        </w:rPr>
        <w:t>JobSeeker Payment</w:t>
      </w:r>
      <w:r w:rsidR="00A15A10">
        <w:rPr>
          <w:rFonts w:asciiTheme="minorHAnsi" w:hAnsiTheme="minorHAnsi" w:cstheme="minorHAnsi"/>
          <w:szCs w:val="21"/>
        </w:rPr>
        <w:t xml:space="preserve"> with a partial capacity to work are projected to spend 13.6</w:t>
      </w:r>
      <w:r w:rsidR="00E46C6A">
        <w:rPr>
          <w:rFonts w:asciiTheme="minorHAnsi" w:hAnsiTheme="minorHAnsi" w:cstheme="minorHAnsi"/>
          <w:szCs w:val="21"/>
        </w:rPr>
        <w:t> year</w:t>
      </w:r>
      <w:r w:rsidR="00A15A10">
        <w:rPr>
          <w:rFonts w:asciiTheme="minorHAnsi" w:hAnsiTheme="minorHAnsi" w:cstheme="minorHAnsi"/>
          <w:szCs w:val="21"/>
        </w:rPr>
        <w:t>s on income support</w:t>
      </w:r>
      <w:r w:rsidR="00217BC7">
        <w:rPr>
          <w:rFonts w:asciiTheme="minorHAnsi" w:hAnsiTheme="minorHAnsi" w:cstheme="minorHAnsi"/>
          <w:szCs w:val="21"/>
        </w:rPr>
        <w:t xml:space="preserve"> on average</w:t>
      </w:r>
      <w:r w:rsidR="00A15A10">
        <w:rPr>
          <w:rFonts w:asciiTheme="minorHAnsi" w:hAnsiTheme="minorHAnsi" w:cstheme="minorHAnsi"/>
          <w:szCs w:val="21"/>
        </w:rPr>
        <w:t>. This is 3.1</w:t>
      </w:r>
      <w:r w:rsidR="00E46C6A">
        <w:rPr>
          <w:rFonts w:asciiTheme="minorHAnsi" w:hAnsiTheme="minorHAnsi" w:cstheme="minorHAnsi"/>
          <w:szCs w:val="21"/>
        </w:rPr>
        <w:t> year</w:t>
      </w:r>
      <w:r w:rsidR="00A15A10">
        <w:rPr>
          <w:rFonts w:asciiTheme="minorHAnsi" w:hAnsiTheme="minorHAnsi" w:cstheme="minorHAnsi"/>
          <w:szCs w:val="21"/>
        </w:rPr>
        <w:t xml:space="preserve">s longer than those with full capacity to work. </w:t>
      </w:r>
      <w:r w:rsidR="00A15A10" w:rsidRPr="009D7B6D">
        <w:rPr>
          <w:rFonts w:asciiTheme="minorHAnsi" w:hAnsiTheme="minorHAnsi" w:cstheme="minorHAnsi"/>
          <w:szCs w:val="21"/>
        </w:rPr>
        <w:t>Th</w:t>
      </w:r>
      <w:r w:rsidR="00A15A10">
        <w:rPr>
          <w:rFonts w:asciiTheme="minorHAnsi" w:hAnsiTheme="minorHAnsi" w:cstheme="minorHAnsi"/>
          <w:szCs w:val="21"/>
        </w:rPr>
        <w:t>e 70% of people</w:t>
      </w:r>
      <w:r w:rsidR="00A15A10" w:rsidRPr="009D7B6D">
        <w:rPr>
          <w:rFonts w:asciiTheme="minorHAnsi" w:hAnsiTheme="minorHAnsi" w:cstheme="minorHAnsi"/>
          <w:szCs w:val="21"/>
        </w:rPr>
        <w:t xml:space="preserve"> not </w:t>
      </w:r>
      <w:r w:rsidR="00A15A10">
        <w:rPr>
          <w:rFonts w:asciiTheme="minorHAnsi" w:hAnsiTheme="minorHAnsi" w:cstheme="minorHAnsi"/>
          <w:szCs w:val="21"/>
        </w:rPr>
        <w:t>receiving</w:t>
      </w:r>
      <w:r w:rsidR="00A15A10" w:rsidRPr="009D7B6D">
        <w:rPr>
          <w:rFonts w:asciiTheme="minorHAnsi" w:hAnsiTheme="minorHAnsi" w:cstheme="minorHAnsi"/>
          <w:szCs w:val="21"/>
        </w:rPr>
        <w:t xml:space="preserve"> income support have the lowest average projected time </w:t>
      </w:r>
      <w:r w:rsidR="00A15A10">
        <w:rPr>
          <w:rFonts w:asciiTheme="minorHAnsi" w:hAnsiTheme="minorHAnsi" w:cstheme="minorHAnsi"/>
          <w:szCs w:val="21"/>
        </w:rPr>
        <w:t>on income support (1.7</w:t>
      </w:r>
      <w:r w:rsidR="00E46C6A">
        <w:rPr>
          <w:rFonts w:asciiTheme="minorHAnsi" w:hAnsiTheme="minorHAnsi" w:cstheme="minorHAnsi"/>
          <w:szCs w:val="21"/>
        </w:rPr>
        <w:t> year</w:t>
      </w:r>
      <w:r w:rsidR="00A15A10">
        <w:rPr>
          <w:rFonts w:asciiTheme="minorHAnsi" w:hAnsiTheme="minorHAnsi" w:cstheme="minorHAnsi"/>
          <w:szCs w:val="21"/>
        </w:rPr>
        <w:t>s)</w:t>
      </w:r>
      <w:r w:rsidR="00A15A10" w:rsidRPr="009D7B6D">
        <w:rPr>
          <w:rFonts w:asciiTheme="minorHAnsi" w:hAnsiTheme="minorHAnsi" w:cstheme="minorHAnsi"/>
          <w:szCs w:val="21"/>
        </w:rPr>
        <w:t xml:space="preserve"> before retirement</w:t>
      </w:r>
      <w:r w:rsidR="00A15A10">
        <w:rPr>
          <w:rFonts w:asciiTheme="minorHAnsi" w:hAnsiTheme="minorHAnsi" w:cstheme="minorHAnsi"/>
          <w:szCs w:val="21"/>
        </w:rPr>
        <w:t xml:space="preserve"> age</w:t>
      </w:r>
      <w:r w:rsidR="00A15A10" w:rsidRPr="009D7B6D">
        <w:rPr>
          <w:rFonts w:asciiTheme="minorHAnsi" w:hAnsiTheme="minorHAnsi" w:cstheme="minorHAnsi"/>
          <w:szCs w:val="21"/>
        </w:rPr>
        <w:t>.</w:t>
      </w:r>
    </w:p>
    <w:p w14:paraId="2351F2FF" w14:textId="4FC0AD7E" w:rsidR="00CF3B29" w:rsidRPr="00A13641" w:rsidRDefault="007855DD" w:rsidP="005E332C">
      <w:pPr>
        <w:pStyle w:val="FigureMainHeading"/>
      </w:pPr>
      <w:bookmarkStart w:id="46" w:name="_Ref153293262"/>
      <w:r>
        <w:t>Figure </w:t>
      </w:r>
      <w:r w:rsidR="00B80D45">
        <w:fldChar w:fldCharType="begin"/>
      </w:r>
      <w:r w:rsidR="00B80D45">
        <w:instrText xml:space="preserve"> STYLEREF 1 \s </w:instrText>
      </w:r>
      <w:r w:rsidR="00B80D45">
        <w:fldChar w:fldCharType="separate"/>
      </w:r>
      <w:r w:rsidR="00722C0A">
        <w:rPr>
          <w:noProof/>
        </w:rPr>
        <w:t>4</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3</w:t>
      </w:r>
      <w:r w:rsidR="00B80D45">
        <w:rPr>
          <w:noProof/>
        </w:rPr>
        <w:fldChar w:fldCharType="end"/>
      </w:r>
      <w:bookmarkEnd w:id="46"/>
      <w:r w:rsidR="005E332C">
        <w:t>:</w:t>
      </w:r>
      <w:r w:rsidR="005E332C">
        <w:tab/>
      </w:r>
      <w:r w:rsidR="00CF3B29" w:rsidRPr="00D27014">
        <w:t xml:space="preserve">Average projected </w:t>
      </w:r>
      <w:r w:rsidR="00CF3B29">
        <w:t>time receiving incom</w:t>
      </w:r>
      <w:r w:rsidR="00584485">
        <w:t>e support</w:t>
      </w:r>
      <w:r w:rsidR="00584485" w:rsidRPr="00D27014">
        <w:t xml:space="preserve"> </w:t>
      </w:r>
      <w:r w:rsidR="00584485">
        <w:t xml:space="preserve">before retirement </w:t>
      </w:r>
      <w:r w:rsidR="00584485" w:rsidRPr="00D27014">
        <w:t xml:space="preserve">for </w:t>
      </w:r>
      <w:r w:rsidR="00584485">
        <w:t xml:space="preserve">people </w:t>
      </w:r>
      <w:r w:rsidR="00584485" w:rsidRPr="00D27014">
        <w:t>age</w:t>
      </w:r>
      <w:r w:rsidR="00584485">
        <w:t>d</w:t>
      </w:r>
      <w:r w:rsidR="00584485" w:rsidRPr="00D27014">
        <w:t xml:space="preserve"> 26 to 44 without children</w:t>
      </w:r>
    </w:p>
    <w:p w14:paraId="65D2458F" w14:textId="4C626D74" w:rsidR="00A15A10" w:rsidRDefault="005416F3" w:rsidP="00A06FAA">
      <w:pPr>
        <w:pStyle w:val="ChartGraphic"/>
      </w:pPr>
      <w:r>
        <w:rPr>
          <w:noProof/>
        </w:rPr>
        <w:drawing>
          <wp:inline distT="0" distB="0" distL="0" distR="0" wp14:anchorId="1109A895" wp14:editId="3B8CF8A3">
            <wp:extent cx="4319905" cy="1943735"/>
            <wp:effectExtent l="0" t="0" r="4445" b="0"/>
            <wp:docPr id="244" name="Chart 244" descr="This chart shows the average projected time receiving income support for people aged 26 to 44 without children over their pre-retirement future lifetime, split by:&#10;&#10;- JSP recipients with a partial capacity to work: 13.6 years&#10;- JSP recipients with a full capacity to work: 10.5 years&#10;- People not on income support: 1.7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599447D" w14:textId="6B37653F" w:rsidR="00A15A10" w:rsidRPr="009D7B6D" w:rsidRDefault="00A15A10" w:rsidP="00A15A10">
      <w:pPr>
        <w:rPr>
          <w:rFonts w:asciiTheme="minorHAnsi" w:hAnsiTheme="minorHAnsi" w:cstheme="minorHAnsi"/>
          <w:sz w:val="24"/>
        </w:rPr>
      </w:pPr>
      <w:r w:rsidRPr="009D7B6D">
        <w:rPr>
          <w:rFonts w:asciiTheme="minorHAnsi" w:hAnsiTheme="minorHAnsi" w:cstheme="minorHAnsi"/>
          <w:szCs w:val="21"/>
        </w:rPr>
        <w:t xml:space="preserve">This </w:t>
      </w:r>
      <w:r>
        <w:rPr>
          <w:rFonts w:asciiTheme="minorHAnsi" w:hAnsiTheme="minorHAnsi" w:cstheme="minorHAnsi"/>
          <w:szCs w:val="21"/>
        </w:rPr>
        <w:t>longer projected time</w:t>
      </w:r>
      <w:r w:rsidRPr="009D7B6D">
        <w:rPr>
          <w:rFonts w:asciiTheme="minorHAnsi" w:hAnsiTheme="minorHAnsi" w:cstheme="minorHAnsi"/>
          <w:szCs w:val="21"/>
        </w:rPr>
        <w:t xml:space="preserve"> </w:t>
      </w:r>
      <w:r>
        <w:rPr>
          <w:rFonts w:asciiTheme="minorHAnsi" w:hAnsiTheme="minorHAnsi" w:cstheme="minorHAnsi"/>
          <w:szCs w:val="21"/>
        </w:rPr>
        <w:t>on income support</w:t>
      </w:r>
      <w:r w:rsidRPr="009D7B6D">
        <w:rPr>
          <w:rFonts w:asciiTheme="minorHAnsi" w:hAnsiTheme="minorHAnsi" w:cstheme="minorHAnsi"/>
          <w:szCs w:val="21"/>
        </w:rPr>
        <w:t xml:space="preserve"> is also reflected in the </w:t>
      </w:r>
      <w:r>
        <w:rPr>
          <w:rFonts w:asciiTheme="minorHAnsi" w:hAnsiTheme="minorHAnsi" w:cstheme="minorHAnsi"/>
          <w:szCs w:val="21"/>
        </w:rPr>
        <w:t>L</w:t>
      </w:r>
      <w:r w:rsidRPr="009D7B6D">
        <w:rPr>
          <w:rFonts w:asciiTheme="minorHAnsi" w:hAnsiTheme="minorHAnsi" w:cstheme="minorHAnsi"/>
          <w:szCs w:val="21"/>
        </w:rPr>
        <w:t xml:space="preserve">ifetime </w:t>
      </w:r>
      <w:r>
        <w:rPr>
          <w:rFonts w:asciiTheme="minorHAnsi" w:hAnsiTheme="minorHAnsi" w:cstheme="minorHAnsi"/>
          <w:szCs w:val="21"/>
        </w:rPr>
        <w:t>C</w:t>
      </w:r>
      <w:r w:rsidRPr="009D7B6D">
        <w:rPr>
          <w:rFonts w:asciiTheme="minorHAnsi" w:hAnsiTheme="minorHAnsi" w:cstheme="minorHAnsi"/>
          <w:szCs w:val="21"/>
        </w:rPr>
        <w:t>ost</w:t>
      </w:r>
      <w:r>
        <w:rPr>
          <w:rFonts w:asciiTheme="minorHAnsi" w:hAnsiTheme="minorHAnsi" w:cstheme="minorHAnsi"/>
          <w:szCs w:val="21"/>
        </w:rPr>
        <w:t xml:space="preserve"> </w:t>
      </w:r>
      <w:r w:rsidRPr="00613C39">
        <w:rPr>
          <w:rFonts w:asciiTheme="minorHAnsi" w:hAnsiTheme="minorHAnsi" w:cstheme="minorHAnsi"/>
        </w:rPr>
        <w:t>(</w:t>
      </w:r>
      <w:r w:rsidR="00104524" w:rsidRPr="00613C39">
        <w:rPr>
          <w:rFonts w:asciiTheme="minorHAnsi" w:hAnsiTheme="minorHAnsi" w:cstheme="minorHAnsi"/>
        </w:rPr>
        <w:fldChar w:fldCharType="begin"/>
      </w:r>
      <w:r w:rsidR="00104524" w:rsidRPr="00613C39">
        <w:rPr>
          <w:rFonts w:asciiTheme="minorHAnsi" w:hAnsiTheme="minorHAnsi" w:cstheme="minorHAnsi"/>
        </w:rPr>
        <w:instrText xml:space="preserve"> REF _Ref153538465 \h </w:instrText>
      </w:r>
      <w:r w:rsidR="00613C39" w:rsidRPr="00613C39">
        <w:rPr>
          <w:rFonts w:asciiTheme="minorHAnsi" w:hAnsiTheme="minorHAnsi" w:cstheme="minorHAnsi"/>
        </w:rPr>
        <w:instrText xml:space="preserve"> \* MERGEFORMAT </w:instrText>
      </w:r>
      <w:r w:rsidR="00104524" w:rsidRPr="00613C39">
        <w:rPr>
          <w:rFonts w:asciiTheme="minorHAnsi" w:hAnsiTheme="minorHAnsi" w:cstheme="minorHAnsi"/>
        </w:rPr>
      </w:r>
      <w:r w:rsidR="00104524" w:rsidRPr="00613C39">
        <w:rPr>
          <w:rFonts w:asciiTheme="minorHAnsi" w:hAnsiTheme="minorHAnsi" w:cstheme="minorHAnsi"/>
        </w:rPr>
        <w:fldChar w:fldCharType="separate"/>
      </w:r>
      <w:r w:rsidR="00722C0A" w:rsidRPr="00722C0A">
        <w:rPr>
          <w:rFonts w:asciiTheme="minorHAnsi" w:hAnsiTheme="minorHAnsi" w:cstheme="minorHAnsi"/>
        </w:rPr>
        <w:t>Figure 4.4</w:t>
      </w:r>
      <w:r w:rsidR="00104524" w:rsidRPr="00613C39">
        <w:rPr>
          <w:rFonts w:asciiTheme="minorHAnsi" w:hAnsiTheme="minorHAnsi" w:cstheme="minorHAnsi"/>
        </w:rPr>
        <w:fldChar w:fldCharType="end"/>
      </w:r>
      <w:r w:rsidRPr="00613C39">
        <w:rPr>
          <w:rFonts w:asciiTheme="minorHAnsi" w:hAnsiTheme="minorHAnsi" w:cstheme="minorHAnsi"/>
        </w:rPr>
        <w:t>).</w:t>
      </w:r>
      <w:r w:rsidRPr="009D7B6D">
        <w:rPr>
          <w:rFonts w:asciiTheme="minorHAnsi" w:hAnsiTheme="minorHAnsi" w:cstheme="minorHAnsi"/>
          <w:szCs w:val="21"/>
        </w:rPr>
        <w:t xml:space="preserve"> People </w:t>
      </w:r>
      <w:r>
        <w:rPr>
          <w:rFonts w:asciiTheme="minorHAnsi" w:hAnsiTheme="minorHAnsi" w:cstheme="minorHAnsi"/>
          <w:szCs w:val="21"/>
        </w:rPr>
        <w:t>without children who were receiving</w:t>
      </w:r>
      <w:r w:rsidRPr="009D7B6D">
        <w:rPr>
          <w:rFonts w:asciiTheme="minorHAnsi" w:hAnsiTheme="minorHAnsi" w:cstheme="minorHAnsi"/>
          <w:szCs w:val="21"/>
        </w:rPr>
        <w:t xml:space="preserve"> </w:t>
      </w:r>
      <w:r w:rsidR="005E332C">
        <w:rPr>
          <w:rFonts w:asciiTheme="minorHAnsi" w:hAnsiTheme="minorHAnsi" w:cstheme="minorHAnsi"/>
          <w:szCs w:val="21"/>
        </w:rPr>
        <w:t>JobSeeker Payment</w:t>
      </w:r>
      <w:r w:rsidRPr="009D7B6D">
        <w:rPr>
          <w:rFonts w:asciiTheme="minorHAnsi" w:hAnsiTheme="minorHAnsi" w:cstheme="minorHAnsi"/>
          <w:szCs w:val="21"/>
        </w:rPr>
        <w:t xml:space="preserve"> with a partial capacity to work are projected to have a</w:t>
      </w:r>
      <w:r>
        <w:rPr>
          <w:rFonts w:asciiTheme="minorHAnsi" w:hAnsiTheme="minorHAnsi" w:cstheme="minorHAnsi"/>
          <w:szCs w:val="21"/>
        </w:rPr>
        <w:t>n</w:t>
      </w:r>
      <w:r w:rsidRPr="009D7B6D">
        <w:rPr>
          <w:rFonts w:asciiTheme="minorHAnsi" w:hAnsiTheme="minorHAnsi" w:cstheme="minorHAnsi"/>
          <w:szCs w:val="21"/>
        </w:rPr>
        <w:t xml:space="preserve"> </w:t>
      </w:r>
      <w:r>
        <w:rPr>
          <w:rFonts w:asciiTheme="minorHAnsi" w:hAnsiTheme="minorHAnsi" w:cstheme="minorHAnsi"/>
          <w:szCs w:val="21"/>
        </w:rPr>
        <w:t>average Lifetime Cost of $412,000. This is $6</w:t>
      </w:r>
      <w:r w:rsidR="00391F02">
        <w:rPr>
          <w:rFonts w:asciiTheme="minorHAnsi" w:hAnsiTheme="minorHAnsi" w:cstheme="minorHAnsi"/>
          <w:szCs w:val="21"/>
        </w:rPr>
        <w:t>4</w:t>
      </w:r>
      <w:r>
        <w:rPr>
          <w:rFonts w:asciiTheme="minorHAnsi" w:hAnsiTheme="minorHAnsi" w:cstheme="minorHAnsi"/>
          <w:szCs w:val="21"/>
        </w:rPr>
        <w:t xml:space="preserve">,000 higher than those with full capacity to work and almost </w:t>
      </w:r>
      <w:r w:rsidR="00D449BA">
        <w:rPr>
          <w:rFonts w:asciiTheme="minorHAnsi" w:hAnsiTheme="minorHAnsi" w:cstheme="minorHAnsi"/>
          <w:szCs w:val="21"/>
        </w:rPr>
        <w:t>2</w:t>
      </w:r>
      <w:r>
        <w:rPr>
          <w:rFonts w:asciiTheme="minorHAnsi" w:hAnsiTheme="minorHAnsi" w:cstheme="minorHAnsi"/>
          <w:szCs w:val="21"/>
        </w:rPr>
        <w:t>.5</w:t>
      </w:r>
      <w:r w:rsidR="00F40387">
        <w:rPr>
          <w:rFonts w:asciiTheme="minorHAnsi" w:hAnsiTheme="minorHAnsi" w:cstheme="minorHAnsi"/>
          <w:szCs w:val="21"/>
        </w:rPr>
        <w:t> times</w:t>
      </w:r>
      <w:r w:rsidR="00D449BA">
        <w:rPr>
          <w:rFonts w:asciiTheme="minorHAnsi" w:hAnsiTheme="minorHAnsi" w:cstheme="minorHAnsi"/>
          <w:szCs w:val="21"/>
        </w:rPr>
        <w:t xml:space="preserve"> </w:t>
      </w:r>
      <w:r>
        <w:rPr>
          <w:rFonts w:asciiTheme="minorHAnsi" w:hAnsiTheme="minorHAnsi" w:cstheme="minorHAnsi"/>
          <w:szCs w:val="21"/>
        </w:rPr>
        <w:t>higher</w:t>
      </w:r>
      <w:r w:rsidR="00D449BA">
        <w:rPr>
          <w:rFonts w:asciiTheme="minorHAnsi" w:hAnsiTheme="minorHAnsi" w:cstheme="minorHAnsi"/>
          <w:szCs w:val="21"/>
        </w:rPr>
        <w:t xml:space="preserve"> ($240,000</w:t>
      </w:r>
      <w:r w:rsidR="007855DD">
        <w:rPr>
          <w:rFonts w:asciiTheme="minorHAnsi" w:hAnsiTheme="minorHAnsi" w:cstheme="minorHAnsi"/>
          <w:szCs w:val="21"/>
        </w:rPr>
        <w:t> more</w:t>
      </w:r>
      <w:r w:rsidR="00D449BA">
        <w:rPr>
          <w:rFonts w:asciiTheme="minorHAnsi" w:hAnsiTheme="minorHAnsi" w:cstheme="minorHAnsi"/>
          <w:szCs w:val="21"/>
        </w:rPr>
        <w:t xml:space="preserve">) </w:t>
      </w:r>
      <w:r>
        <w:rPr>
          <w:rFonts w:asciiTheme="minorHAnsi" w:hAnsiTheme="minorHAnsi" w:cstheme="minorHAnsi"/>
          <w:szCs w:val="21"/>
        </w:rPr>
        <w:t>than people who did not receive income support.</w:t>
      </w:r>
    </w:p>
    <w:p w14:paraId="6146C75C" w14:textId="7D82CC55" w:rsidR="00191A4D" w:rsidRPr="00A13641" w:rsidRDefault="007855DD" w:rsidP="005E332C">
      <w:pPr>
        <w:pStyle w:val="FigureMainHeading"/>
      </w:pPr>
      <w:bookmarkStart w:id="47" w:name="_Ref153538465"/>
      <w:r>
        <w:t>Figure </w:t>
      </w:r>
      <w:r w:rsidR="00B80D45">
        <w:fldChar w:fldCharType="begin"/>
      </w:r>
      <w:r w:rsidR="00B80D45">
        <w:instrText xml:space="preserve"> STYLEREF 1 \s </w:instrText>
      </w:r>
      <w:r w:rsidR="00B80D45">
        <w:fldChar w:fldCharType="separate"/>
      </w:r>
      <w:r w:rsidR="00722C0A">
        <w:rPr>
          <w:noProof/>
        </w:rPr>
        <w:t>4</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4</w:t>
      </w:r>
      <w:r w:rsidR="00B80D45">
        <w:rPr>
          <w:noProof/>
        </w:rPr>
        <w:fldChar w:fldCharType="end"/>
      </w:r>
      <w:bookmarkEnd w:id="47"/>
      <w:r w:rsidR="005E332C">
        <w:t>:</w:t>
      </w:r>
      <w:r w:rsidR="005E332C">
        <w:tab/>
      </w:r>
      <w:r w:rsidR="00191A4D" w:rsidRPr="00D27014">
        <w:t xml:space="preserve">Average projected lifetime cost for </w:t>
      </w:r>
      <w:r w:rsidR="00191A4D">
        <w:t xml:space="preserve">people </w:t>
      </w:r>
      <w:r w:rsidR="00191A4D" w:rsidRPr="00D27014">
        <w:t>age</w:t>
      </w:r>
      <w:r w:rsidR="00191A4D">
        <w:t>d</w:t>
      </w:r>
      <w:r w:rsidR="00191A4D" w:rsidRPr="00D27014">
        <w:t xml:space="preserve"> 26 to 44 without children</w:t>
      </w:r>
    </w:p>
    <w:p w14:paraId="11710C8C" w14:textId="63086C52" w:rsidR="00F57383" w:rsidRDefault="005A0BAA" w:rsidP="00A06FAA">
      <w:pPr>
        <w:pStyle w:val="ChartGraphic"/>
      </w:pPr>
      <w:r>
        <w:rPr>
          <w:noProof/>
        </w:rPr>
        <w:drawing>
          <wp:inline distT="0" distB="0" distL="0" distR="0" wp14:anchorId="5280876F" wp14:editId="613011D8">
            <wp:extent cx="4319905" cy="1476000"/>
            <wp:effectExtent l="0" t="0" r="4445" b="0"/>
            <wp:docPr id="291" name="Chart 291" descr="This chart shows the average projected lifetime cost for people aged 26 to 44 without children, split by:&#10;&#10;- JSP recipients with partial capacity to work: $412,000&#10;- JSP recipients with full capacity to work: $348,000&#10;- Not on income support: $172,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8E54773" w14:textId="6B9A7B93" w:rsidR="009B46BA" w:rsidRPr="00F57383" w:rsidRDefault="00F57383" w:rsidP="00A06FAA">
      <w:pPr>
        <w:pStyle w:val="Note"/>
      </w:pPr>
      <w:r w:rsidRPr="00F57383">
        <w:t xml:space="preserve">* </w:t>
      </w:r>
      <w:r w:rsidR="006050A0">
        <w:t>L</w:t>
      </w:r>
      <w:r w:rsidR="006050A0" w:rsidRPr="006050A0">
        <w:t xml:space="preserve">ifetime </w:t>
      </w:r>
      <w:r w:rsidR="006050A0">
        <w:t>C</w:t>
      </w:r>
      <w:r w:rsidRPr="006050A0">
        <w:t xml:space="preserve">ost projections include </w:t>
      </w:r>
      <w:r w:rsidR="0076159D">
        <w:t>A</w:t>
      </w:r>
      <w:r w:rsidRPr="006050A0">
        <w:t xml:space="preserve">ge </w:t>
      </w:r>
      <w:r w:rsidR="0076159D">
        <w:t>P</w:t>
      </w:r>
      <w:r w:rsidRPr="006050A0">
        <w:t>ension</w:t>
      </w:r>
    </w:p>
    <w:p w14:paraId="06486070" w14:textId="77777777" w:rsidR="00B04FCE" w:rsidRDefault="002346A5" w:rsidP="00A06FAA">
      <w:pPr>
        <w:pStyle w:val="Heading2notnumbered"/>
      </w:pPr>
      <w:r w:rsidRPr="00D40568">
        <w:lastRenderedPageBreak/>
        <w:t xml:space="preserve">Single people without children are </w:t>
      </w:r>
      <w:r w:rsidR="00B05CF3">
        <w:t>projected</w:t>
      </w:r>
      <w:r w:rsidR="00B05CF3" w:rsidRPr="00D40568">
        <w:t xml:space="preserve"> </w:t>
      </w:r>
      <w:r w:rsidRPr="00D40568">
        <w:t xml:space="preserve">to spend a larger proportion </w:t>
      </w:r>
      <w:r w:rsidR="00CA5737">
        <w:t xml:space="preserve">of </w:t>
      </w:r>
      <w:r w:rsidR="00B05CF3">
        <w:t xml:space="preserve">their </w:t>
      </w:r>
      <w:r w:rsidR="00B6143C">
        <w:t>working</w:t>
      </w:r>
      <w:r w:rsidR="00B05CF3">
        <w:t xml:space="preserve"> life before retirement age</w:t>
      </w:r>
      <w:r w:rsidRPr="00D40568">
        <w:t xml:space="preserve"> </w:t>
      </w:r>
      <w:r w:rsidR="00B05CF3">
        <w:t>receiving</w:t>
      </w:r>
      <w:r w:rsidR="00B05CF3" w:rsidRPr="00D40568">
        <w:t xml:space="preserve"> </w:t>
      </w:r>
      <w:r w:rsidRPr="00D40568">
        <w:t>income support, compared to partnered people without children.</w:t>
      </w:r>
    </w:p>
    <w:p w14:paraId="51019EA8" w14:textId="7BC1E90A" w:rsidR="00B04FCE" w:rsidRDefault="00D15A92" w:rsidP="009D7B6D">
      <w:pPr>
        <w:rPr>
          <w:noProof/>
          <w:sz w:val="24"/>
        </w:rPr>
      </w:pPr>
      <w:r>
        <w:rPr>
          <w:rFonts w:asciiTheme="minorHAnsi" w:hAnsiTheme="minorHAnsi" w:cstheme="minorHAnsi"/>
          <w:szCs w:val="21"/>
        </w:rPr>
        <w:t xml:space="preserve">For single people </w:t>
      </w:r>
      <w:r w:rsidR="00203596">
        <w:rPr>
          <w:rFonts w:asciiTheme="minorHAnsi" w:hAnsiTheme="minorHAnsi" w:cstheme="minorHAnsi"/>
          <w:szCs w:val="21"/>
        </w:rPr>
        <w:t>without children</w:t>
      </w:r>
      <w:r w:rsidR="004A6DE5">
        <w:rPr>
          <w:rFonts w:asciiTheme="minorHAnsi" w:hAnsiTheme="minorHAnsi" w:cstheme="minorHAnsi"/>
          <w:szCs w:val="21"/>
        </w:rPr>
        <w:t xml:space="preserve"> aged 26 to 44</w:t>
      </w:r>
      <w:r>
        <w:rPr>
          <w:rFonts w:asciiTheme="minorHAnsi" w:hAnsiTheme="minorHAnsi" w:cstheme="minorHAnsi"/>
          <w:szCs w:val="21"/>
        </w:rPr>
        <w:t xml:space="preserve">, </w:t>
      </w:r>
      <w:r w:rsidR="001208D7">
        <w:rPr>
          <w:rFonts w:asciiTheme="minorHAnsi" w:hAnsiTheme="minorHAnsi" w:cstheme="minorHAnsi"/>
          <w:szCs w:val="21"/>
        </w:rPr>
        <w:t xml:space="preserve">the </w:t>
      </w:r>
      <w:r w:rsidR="002346A5" w:rsidRPr="009D7B6D">
        <w:rPr>
          <w:rFonts w:asciiTheme="minorHAnsi" w:hAnsiTheme="minorHAnsi" w:cstheme="minorHAnsi"/>
          <w:szCs w:val="21"/>
        </w:rPr>
        <w:t>socio</w:t>
      </w:r>
      <w:r w:rsidR="00B04FCE">
        <w:rPr>
          <w:rFonts w:asciiTheme="minorHAnsi" w:hAnsiTheme="minorHAnsi" w:cstheme="minorHAnsi"/>
          <w:szCs w:val="21"/>
        </w:rPr>
        <w:noBreakHyphen/>
      </w:r>
      <w:r w:rsidR="002346A5" w:rsidRPr="009D7B6D">
        <w:rPr>
          <w:rFonts w:asciiTheme="minorHAnsi" w:hAnsiTheme="minorHAnsi" w:cstheme="minorHAnsi"/>
          <w:szCs w:val="21"/>
        </w:rPr>
        <w:t xml:space="preserve">economic area </w:t>
      </w:r>
      <w:r w:rsidR="00B6143C">
        <w:rPr>
          <w:rFonts w:asciiTheme="minorHAnsi" w:hAnsiTheme="minorHAnsi" w:cstheme="minorHAnsi"/>
          <w:szCs w:val="21"/>
        </w:rPr>
        <w:t xml:space="preserve">in which </w:t>
      </w:r>
      <w:r>
        <w:rPr>
          <w:rFonts w:asciiTheme="minorHAnsi" w:hAnsiTheme="minorHAnsi" w:cstheme="minorHAnsi"/>
          <w:szCs w:val="21"/>
        </w:rPr>
        <w:t xml:space="preserve">they </w:t>
      </w:r>
      <w:r w:rsidR="00B6143C">
        <w:rPr>
          <w:rFonts w:asciiTheme="minorHAnsi" w:hAnsiTheme="minorHAnsi" w:cstheme="minorHAnsi"/>
          <w:szCs w:val="21"/>
        </w:rPr>
        <w:t>live</w:t>
      </w:r>
      <w:r w:rsidR="002346A5" w:rsidRPr="009D7B6D">
        <w:rPr>
          <w:rFonts w:asciiTheme="minorHAnsi" w:hAnsiTheme="minorHAnsi" w:cstheme="minorHAnsi"/>
          <w:szCs w:val="21"/>
        </w:rPr>
        <w:t xml:space="preserve"> h</w:t>
      </w:r>
      <w:r w:rsidR="00B05CF3">
        <w:rPr>
          <w:rFonts w:asciiTheme="minorHAnsi" w:hAnsiTheme="minorHAnsi" w:cstheme="minorHAnsi"/>
          <w:szCs w:val="21"/>
        </w:rPr>
        <w:t>as</w:t>
      </w:r>
      <w:r w:rsidR="002346A5" w:rsidRPr="009D7B6D">
        <w:rPr>
          <w:rFonts w:asciiTheme="minorHAnsi" w:hAnsiTheme="minorHAnsi" w:cstheme="minorHAnsi"/>
          <w:szCs w:val="21"/>
        </w:rPr>
        <w:t xml:space="preserve"> </w:t>
      </w:r>
      <w:r>
        <w:rPr>
          <w:rFonts w:asciiTheme="minorHAnsi" w:hAnsiTheme="minorHAnsi" w:cstheme="minorHAnsi"/>
          <w:szCs w:val="21"/>
        </w:rPr>
        <w:t xml:space="preserve">a greater </w:t>
      </w:r>
      <w:r w:rsidR="002346A5" w:rsidRPr="009D7B6D">
        <w:rPr>
          <w:rFonts w:asciiTheme="minorHAnsi" w:hAnsiTheme="minorHAnsi" w:cstheme="minorHAnsi"/>
          <w:szCs w:val="21"/>
        </w:rPr>
        <w:t>effect on</w:t>
      </w:r>
      <w:r w:rsidR="00B05CF3">
        <w:rPr>
          <w:rFonts w:asciiTheme="minorHAnsi" w:hAnsiTheme="minorHAnsi" w:cstheme="minorHAnsi"/>
          <w:szCs w:val="21"/>
        </w:rPr>
        <w:t xml:space="preserve"> the</w:t>
      </w:r>
      <w:r w:rsidR="001208D7">
        <w:rPr>
          <w:rFonts w:asciiTheme="minorHAnsi" w:hAnsiTheme="minorHAnsi" w:cstheme="minorHAnsi"/>
          <w:szCs w:val="21"/>
        </w:rPr>
        <w:t>ir</w:t>
      </w:r>
      <w:r w:rsidR="00B05CF3">
        <w:rPr>
          <w:rFonts w:asciiTheme="minorHAnsi" w:hAnsiTheme="minorHAnsi" w:cstheme="minorHAnsi"/>
          <w:szCs w:val="21"/>
        </w:rPr>
        <w:t xml:space="preserve"> projected time receiving income support</w:t>
      </w:r>
      <w:r>
        <w:rPr>
          <w:rFonts w:asciiTheme="minorHAnsi" w:hAnsiTheme="minorHAnsi" w:cstheme="minorHAnsi"/>
          <w:szCs w:val="21"/>
        </w:rPr>
        <w:t xml:space="preserve"> than</w:t>
      </w:r>
      <w:r w:rsidR="002346A5" w:rsidRPr="009D7B6D">
        <w:rPr>
          <w:rFonts w:asciiTheme="minorHAnsi" w:hAnsiTheme="minorHAnsi" w:cstheme="minorHAnsi"/>
          <w:szCs w:val="21"/>
        </w:rPr>
        <w:t xml:space="preserve"> </w:t>
      </w:r>
      <w:r w:rsidR="000D3F35">
        <w:rPr>
          <w:rFonts w:asciiTheme="minorHAnsi" w:hAnsiTheme="minorHAnsi" w:cstheme="minorHAnsi"/>
          <w:szCs w:val="21"/>
        </w:rPr>
        <w:t xml:space="preserve">for </w:t>
      </w:r>
      <w:r w:rsidR="002346A5" w:rsidRPr="009D7B6D">
        <w:rPr>
          <w:rFonts w:asciiTheme="minorHAnsi" w:hAnsiTheme="minorHAnsi" w:cstheme="minorHAnsi"/>
          <w:szCs w:val="21"/>
        </w:rPr>
        <w:t>partnered people without children</w:t>
      </w:r>
      <w:r w:rsidR="004A6DE5">
        <w:rPr>
          <w:rFonts w:asciiTheme="minorHAnsi" w:hAnsiTheme="minorHAnsi" w:cstheme="minorHAnsi"/>
          <w:szCs w:val="21"/>
        </w:rPr>
        <w:t xml:space="preserve"> in the same age group</w:t>
      </w:r>
      <w:r w:rsidR="002346A5" w:rsidRPr="009D7B6D">
        <w:rPr>
          <w:rFonts w:asciiTheme="minorHAnsi" w:hAnsiTheme="minorHAnsi" w:cstheme="minorHAnsi"/>
          <w:szCs w:val="21"/>
        </w:rPr>
        <w:t xml:space="preserve">. </w:t>
      </w:r>
      <w:r w:rsidR="004A6DE5">
        <w:rPr>
          <w:rFonts w:asciiTheme="minorHAnsi" w:hAnsiTheme="minorHAnsi" w:cstheme="minorHAnsi"/>
          <w:szCs w:val="21"/>
        </w:rPr>
        <w:t>As</w:t>
      </w:r>
      <w:r w:rsidR="00B5424B">
        <w:rPr>
          <w:rFonts w:asciiTheme="minorHAnsi" w:hAnsiTheme="minorHAnsi" w:cstheme="minorHAnsi"/>
          <w:szCs w:val="21"/>
        </w:rPr>
        <w:t> </w:t>
      </w:r>
      <w:r w:rsidR="008C4B81">
        <w:rPr>
          <w:rFonts w:asciiTheme="minorHAnsi" w:hAnsiTheme="minorHAnsi" w:cstheme="minorHAnsi"/>
          <w:szCs w:val="21"/>
        </w:rPr>
        <w:fldChar w:fldCharType="begin"/>
      </w:r>
      <w:r w:rsidR="008C4B81">
        <w:rPr>
          <w:rFonts w:asciiTheme="minorHAnsi" w:hAnsiTheme="minorHAnsi" w:cstheme="minorHAnsi"/>
          <w:szCs w:val="21"/>
        </w:rPr>
        <w:instrText xml:space="preserve"> REF _Ref153294248 \h  \* MERGEFORMAT </w:instrText>
      </w:r>
      <w:r w:rsidR="008C4B81">
        <w:rPr>
          <w:rFonts w:asciiTheme="minorHAnsi" w:hAnsiTheme="minorHAnsi" w:cstheme="minorHAnsi"/>
          <w:szCs w:val="21"/>
        </w:rPr>
      </w:r>
      <w:r w:rsidR="008C4B81">
        <w:rPr>
          <w:rFonts w:asciiTheme="minorHAnsi" w:hAnsiTheme="minorHAnsi" w:cstheme="minorHAnsi"/>
          <w:szCs w:val="21"/>
        </w:rPr>
        <w:fldChar w:fldCharType="separate"/>
      </w:r>
      <w:r w:rsidR="00722C0A" w:rsidRPr="00722C0A">
        <w:rPr>
          <w:rFonts w:asciiTheme="minorHAnsi" w:hAnsiTheme="minorHAnsi" w:cstheme="minorHAnsi"/>
          <w:szCs w:val="21"/>
        </w:rPr>
        <w:t>Figure 4.5</w:t>
      </w:r>
      <w:r w:rsidR="008C4B81">
        <w:rPr>
          <w:rFonts w:asciiTheme="minorHAnsi" w:hAnsiTheme="minorHAnsi" w:cstheme="minorHAnsi"/>
          <w:szCs w:val="21"/>
        </w:rPr>
        <w:fldChar w:fldCharType="end"/>
      </w:r>
      <w:r w:rsidR="008C4B81">
        <w:rPr>
          <w:rFonts w:asciiTheme="minorHAnsi" w:hAnsiTheme="minorHAnsi" w:cstheme="minorHAnsi"/>
          <w:szCs w:val="21"/>
        </w:rPr>
        <w:t xml:space="preserve"> </w:t>
      </w:r>
      <w:r w:rsidR="004A6DE5">
        <w:rPr>
          <w:rFonts w:asciiTheme="minorHAnsi" w:hAnsiTheme="minorHAnsi" w:cstheme="minorHAnsi"/>
          <w:szCs w:val="21"/>
        </w:rPr>
        <w:t>shows, s</w:t>
      </w:r>
      <w:r w:rsidR="002346A5" w:rsidRPr="009D7B6D">
        <w:rPr>
          <w:rFonts w:asciiTheme="minorHAnsi" w:hAnsiTheme="minorHAnsi" w:cstheme="minorHAnsi"/>
          <w:szCs w:val="21"/>
        </w:rPr>
        <w:t xml:space="preserve">ingle people </w:t>
      </w:r>
      <w:r w:rsidR="000D3F35">
        <w:rPr>
          <w:rFonts w:asciiTheme="minorHAnsi" w:hAnsiTheme="minorHAnsi" w:cstheme="minorHAnsi"/>
          <w:szCs w:val="21"/>
        </w:rPr>
        <w:t>without children</w:t>
      </w:r>
      <w:r w:rsidR="002346A5" w:rsidRPr="009D7B6D">
        <w:rPr>
          <w:rFonts w:asciiTheme="minorHAnsi" w:hAnsiTheme="minorHAnsi" w:cstheme="minorHAnsi"/>
          <w:szCs w:val="21"/>
        </w:rPr>
        <w:t xml:space="preserve"> in the </w:t>
      </w:r>
      <w:r w:rsidR="001208D7">
        <w:rPr>
          <w:rFonts w:asciiTheme="minorHAnsi" w:hAnsiTheme="minorHAnsi" w:cstheme="minorHAnsi"/>
          <w:szCs w:val="21"/>
        </w:rPr>
        <w:t xml:space="preserve">most disadvantaged </w:t>
      </w:r>
      <w:r w:rsidR="00D3169D">
        <w:rPr>
          <w:rFonts w:asciiTheme="minorHAnsi" w:hAnsiTheme="minorHAnsi" w:cstheme="minorHAnsi"/>
          <w:szCs w:val="21"/>
        </w:rPr>
        <w:t>socio</w:t>
      </w:r>
      <w:r w:rsidR="00B04FCE">
        <w:rPr>
          <w:rFonts w:asciiTheme="minorHAnsi" w:hAnsiTheme="minorHAnsi" w:cstheme="minorHAnsi"/>
          <w:szCs w:val="21"/>
        </w:rPr>
        <w:noBreakHyphen/>
      </w:r>
      <w:r w:rsidR="00D3169D">
        <w:rPr>
          <w:rFonts w:asciiTheme="minorHAnsi" w:hAnsiTheme="minorHAnsi" w:cstheme="minorHAnsi"/>
          <w:szCs w:val="21"/>
        </w:rPr>
        <w:t>economic areas</w:t>
      </w:r>
      <w:r w:rsidR="00B05CF3">
        <w:rPr>
          <w:rFonts w:asciiTheme="minorHAnsi" w:hAnsiTheme="minorHAnsi" w:cstheme="minorHAnsi"/>
          <w:szCs w:val="21"/>
        </w:rPr>
        <w:t xml:space="preserve"> </w:t>
      </w:r>
      <w:r w:rsidR="001208D7">
        <w:rPr>
          <w:rFonts w:asciiTheme="minorHAnsi" w:hAnsiTheme="minorHAnsi" w:cstheme="minorHAnsi"/>
          <w:szCs w:val="21"/>
        </w:rPr>
        <w:t>(lowest</w:t>
      </w:r>
      <w:r w:rsidR="001208D7" w:rsidRPr="009D7B6D">
        <w:rPr>
          <w:rFonts w:asciiTheme="minorHAnsi" w:hAnsiTheme="minorHAnsi" w:cstheme="minorHAnsi"/>
          <w:szCs w:val="21"/>
        </w:rPr>
        <w:t xml:space="preserve"> </w:t>
      </w:r>
      <w:r w:rsidR="001208D7">
        <w:rPr>
          <w:rFonts w:asciiTheme="minorHAnsi" w:hAnsiTheme="minorHAnsi" w:cstheme="minorHAnsi"/>
          <w:szCs w:val="21"/>
        </w:rPr>
        <w:t xml:space="preserve">20%) </w:t>
      </w:r>
      <w:r w:rsidR="002346A5" w:rsidRPr="009D7B6D">
        <w:rPr>
          <w:rFonts w:asciiTheme="minorHAnsi" w:hAnsiTheme="minorHAnsi" w:cstheme="minorHAnsi"/>
          <w:szCs w:val="21"/>
        </w:rPr>
        <w:t xml:space="preserve">are projected to spend 15% of </w:t>
      </w:r>
      <w:r w:rsidR="00B05CF3">
        <w:rPr>
          <w:rFonts w:asciiTheme="minorHAnsi" w:hAnsiTheme="minorHAnsi" w:cstheme="minorHAnsi"/>
          <w:szCs w:val="21"/>
        </w:rPr>
        <w:t xml:space="preserve">their </w:t>
      </w:r>
      <w:r w:rsidR="00B6143C">
        <w:rPr>
          <w:rFonts w:asciiTheme="minorHAnsi" w:hAnsiTheme="minorHAnsi" w:cstheme="minorHAnsi"/>
          <w:szCs w:val="21"/>
        </w:rPr>
        <w:t xml:space="preserve">working </w:t>
      </w:r>
      <w:r w:rsidR="00B05CF3">
        <w:rPr>
          <w:rFonts w:asciiTheme="minorHAnsi" w:hAnsiTheme="minorHAnsi" w:cstheme="minorHAnsi"/>
          <w:szCs w:val="21"/>
        </w:rPr>
        <w:t>life before retirement receiving income support</w:t>
      </w:r>
      <w:r w:rsidR="002346A5" w:rsidRPr="009D7B6D">
        <w:rPr>
          <w:rFonts w:asciiTheme="minorHAnsi" w:hAnsiTheme="minorHAnsi" w:cstheme="minorHAnsi"/>
          <w:szCs w:val="21"/>
        </w:rPr>
        <w:t xml:space="preserve">, compared to 6% for </w:t>
      </w:r>
      <w:r w:rsidR="000D3F35">
        <w:rPr>
          <w:rFonts w:asciiTheme="minorHAnsi" w:hAnsiTheme="minorHAnsi" w:cstheme="minorHAnsi"/>
          <w:szCs w:val="21"/>
        </w:rPr>
        <w:t>those</w:t>
      </w:r>
      <w:r w:rsidR="002346A5" w:rsidRPr="009D7B6D">
        <w:rPr>
          <w:rFonts w:asciiTheme="minorHAnsi" w:hAnsiTheme="minorHAnsi" w:cstheme="minorHAnsi"/>
          <w:szCs w:val="21"/>
        </w:rPr>
        <w:t xml:space="preserve"> in the </w:t>
      </w:r>
      <w:r w:rsidR="001208D7">
        <w:rPr>
          <w:rFonts w:asciiTheme="minorHAnsi" w:hAnsiTheme="minorHAnsi" w:cstheme="minorHAnsi"/>
          <w:szCs w:val="21"/>
        </w:rPr>
        <w:t>most advantaged</w:t>
      </w:r>
      <w:r w:rsidR="00B04FCE">
        <w:rPr>
          <w:rFonts w:asciiTheme="minorHAnsi" w:hAnsiTheme="minorHAnsi" w:cstheme="minorHAnsi"/>
          <w:szCs w:val="21"/>
        </w:rPr>
        <w:t xml:space="preserve"> </w:t>
      </w:r>
      <w:r w:rsidR="002C1289">
        <w:rPr>
          <w:rFonts w:asciiTheme="minorHAnsi" w:hAnsiTheme="minorHAnsi" w:cstheme="minorHAnsi"/>
          <w:szCs w:val="21"/>
        </w:rPr>
        <w:t>socio</w:t>
      </w:r>
      <w:r w:rsidR="00B04FCE">
        <w:rPr>
          <w:rFonts w:asciiTheme="minorHAnsi" w:hAnsiTheme="minorHAnsi" w:cstheme="minorHAnsi"/>
          <w:szCs w:val="21"/>
        </w:rPr>
        <w:noBreakHyphen/>
      </w:r>
      <w:r w:rsidR="002C1289">
        <w:rPr>
          <w:rFonts w:asciiTheme="minorHAnsi" w:hAnsiTheme="minorHAnsi" w:cstheme="minorHAnsi"/>
          <w:szCs w:val="21"/>
        </w:rPr>
        <w:t>economic areas</w:t>
      </w:r>
      <w:r w:rsidR="001208D7">
        <w:rPr>
          <w:rFonts w:asciiTheme="minorHAnsi" w:hAnsiTheme="minorHAnsi" w:cstheme="minorHAnsi"/>
          <w:szCs w:val="21"/>
        </w:rPr>
        <w:t xml:space="preserve"> (highest 20%)</w:t>
      </w:r>
      <w:r w:rsidR="002346A5" w:rsidRPr="009D7B6D">
        <w:rPr>
          <w:rFonts w:asciiTheme="minorHAnsi" w:hAnsiTheme="minorHAnsi" w:cstheme="minorHAnsi"/>
          <w:szCs w:val="21"/>
        </w:rPr>
        <w:t>.</w:t>
      </w:r>
      <w:r w:rsidR="00D27014">
        <w:rPr>
          <w:rFonts w:asciiTheme="minorHAnsi" w:hAnsiTheme="minorHAnsi" w:cstheme="minorHAnsi"/>
          <w:szCs w:val="21"/>
        </w:rPr>
        <w:t xml:space="preserve"> P</w:t>
      </w:r>
      <w:r w:rsidR="002346A5" w:rsidRPr="009D7B6D">
        <w:rPr>
          <w:rFonts w:asciiTheme="minorHAnsi" w:hAnsiTheme="minorHAnsi" w:cstheme="minorHAnsi"/>
          <w:szCs w:val="21"/>
        </w:rPr>
        <w:t xml:space="preserve">artnered people </w:t>
      </w:r>
      <w:r w:rsidR="00426DF2">
        <w:rPr>
          <w:rFonts w:asciiTheme="minorHAnsi" w:hAnsiTheme="minorHAnsi" w:cstheme="minorHAnsi"/>
          <w:szCs w:val="21"/>
        </w:rPr>
        <w:t>without</w:t>
      </w:r>
      <w:r w:rsidR="002346A5" w:rsidRPr="009D7B6D">
        <w:rPr>
          <w:rFonts w:asciiTheme="minorHAnsi" w:hAnsiTheme="minorHAnsi" w:cstheme="minorHAnsi"/>
          <w:szCs w:val="21"/>
        </w:rPr>
        <w:t xml:space="preserve"> children</w:t>
      </w:r>
      <w:r w:rsidR="004B6A5B">
        <w:rPr>
          <w:rFonts w:asciiTheme="minorHAnsi" w:hAnsiTheme="minorHAnsi" w:cstheme="minorHAnsi"/>
          <w:szCs w:val="21"/>
        </w:rPr>
        <w:t xml:space="preserve"> </w:t>
      </w:r>
      <w:r w:rsidR="002346A5" w:rsidRPr="009D7B6D">
        <w:rPr>
          <w:rFonts w:asciiTheme="minorHAnsi" w:hAnsiTheme="minorHAnsi" w:cstheme="minorHAnsi"/>
          <w:szCs w:val="21"/>
        </w:rPr>
        <w:t xml:space="preserve">in </w:t>
      </w:r>
      <w:r w:rsidR="00426DF2">
        <w:rPr>
          <w:rFonts w:asciiTheme="minorHAnsi" w:hAnsiTheme="minorHAnsi" w:cstheme="minorHAnsi"/>
          <w:szCs w:val="21"/>
        </w:rPr>
        <w:t xml:space="preserve">the </w:t>
      </w:r>
      <w:r w:rsidR="000D3F35">
        <w:rPr>
          <w:rFonts w:asciiTheme="minorHAnsi" w:hAnsiTheme="minorHAnsi" w:cstheme="minorHAnsi"/>
          <w:szCs w:val="21"/>
        </w:rPr>
        <w:t xml:space="preserve">lowest </w:t>
      </w:r>
      <w:r w:rsidR="00426DF2">
        <w:rPr>
          <w:rFonts w:asciiTheme="minorHAnsi" w:hAnsiTheme="minorHAnsi" w:cstheme="minorHAnsi"/>
          <w:szCs w:val="21"/>
        </w:rPr>
        <w:t xml:space="preserve">20% </w:t>
      </w:r>
      <w:r w:rsidR="00B6143C">
        <w:rPr>
          <w:rFonts w:asciiTheme="minorHAnsi" w:hAnsiTheme="minorHAnsi" w:cstheme="minorHAnsi"/>
          <w:szCs w:val="21"/>
        </w:rPr>
        <w:t xml:space="preserve">of </w:t>
      </w:r>
      <w:r w:rsidR="00426DF2">
        <w:rPr>
          <w:rFonts w:asciiTheme="minorHAnsi" w:hAnsiTheme="minorHAnsi" w:cstheme="minorHAnsi"/>
          <w:szCs w:val="21"/>
        </w:rPr>
        <w:t>socio</w:t>
      </w:r>
      <w:r w:rsidR="00B04FCE">
        <w:rPr>
          <w:rFonts w:asciiTheme="minorHAnsi" w:hAnsiTheme="minorHAnsi" w:cstheme="minorHAnsi"/>
          <w:szCs w:val="21"/>
        </w:rPr>
        <w:noBreakHyphen/>
      </w:r>
      <w:r w:rsidR="00426DF2">
        <w:rPr>
          <w:rFonts w:asciiTheme="minorHAnsi" w:hAnsiTheme="minorHAnsi" w:cstheme="minorHAnsi"/>
          <w:szCs w:val="21"/>
        </w:rPr>
        <w:t xml:space="preserve">economic </w:t>
      </w:r>
      <w:r w:rsidR="009E7F8E">
        <w:rPr>
          <w:rFonts w:asciiTheme="minorHAnsi" w:hAnsiTheme="minorHAnsi" w:cstheme="minorHAnsi"/>
          <w:szCs w:val="21"/>
        </w:rPr>
        <w:t xml:space="preserve">areas </w:t>
      </w:r>
      <w:r w:rsidR="009E7F8E" w:rsidRPr="009D7B6D" w:rsidDel="00DE23CF">
        <w:rPr>
          <w:rFonts w:asciiTheme="minorHAnsi" w:hAnsiTheme="minorHAnsi" w:cstheme="minorHAnsi"/>
          <w:szCs w:val="21"/>
        </w:rPr>
        <w:t>are</w:t>
      </w:r>
      <w:r w:rsidR="002346A5" w:rsidRPr="009D7B6D">
        <w:rPr>
          <w:rFonts w:asciiTheme="minorHAnsi" w:hAnsiTheme="minorHAnsi" w:cstheme="minorHAnsi"/>
          <w:szCs w:val="21"/>
        </w:rPr>
        <w:t xml:space="preserve"> projected to spend 5% </w:t>
      </w:r>
      <w:r w:rsidR="00E262F1" w:rsidRPr="009D7B6D">
        <w:rPr>
          <w:rFonts w:asciiTheme="minorHAnsi" w:hAnsiTheme="minorHAnsi" w:cstheme="minorHAnsi"/>
          <w:szCs w:val="21"/>
        </w:rPr>
        <w:t xml:space="preserve">of </w:t>
      </w:r>
      <w:r w:rsidR="00E262F1">
        <w:rPr>
          <w:rFonts w:asciiTheme="minorHAnsi" w:hAnsiTheme="minorHAnsi" w:cstheme="minorHAnsi"/>
          <w:szCs w:val="21"/>
        </w:rPr>
        <w:t xml:space="preserve">their </w:t>
      </w:r>
      <w:r w:rsidR="00B6143C">
        <w:rPr>
          <w:rFonts w:asciiTheme="minorHAnsi" w:hAnsiTheme="minorHAnsi" w:cstheme="minorHAnsi"/>
          <w:szCs w:val="21"/>
        </w:rPr>
        <w:t xml:space="preserve">working </w:t>
      </w:r>
      <w:r w:rsidR="00E262F1">
        <w:rPr>
          <w:rFonts w:asciiTheme="minorHAnsi" w:hAnsiTheme="minorHAnsi" w:cstheme="minorHAnsi"/>
          <w:szCs w:val="21"/>
        </w:rPr>
        <w:t xml:space="preserve">life before retirement </w:t>
      </w:r>
      <w:r w:rsidR="002346A5" w:rsidRPr="009D7B6D">
        <w:rPr>
          <w:rFonts w:asciiTheme="minorHAnsi" w:hAnsiTheme="minorHAnsi" w:cstheme="minorHAnsi"/>
          <w:szCs w:val="21"/>
        </w:rPr>
        <w:t xml:space="preserve">on </w:t>
      </w:r>
      <w:r w:rsidR="00D41BAB">
        <w:rPr>
          <w:rFonts w:asciiTheme="minorHAnsi" w:hAnsiTheme="minorHAnsi" w:cstheme="minorHAnsi"/>
          <w:szCs w:val="21"/>
        </w:rPr>
        <w:t>income support</w:t>
      </w:r>
      <w:r w:rsidR="002346A5" w:rsidRPr="009D7B6D">
        <w:rPr>
          <w:rFonts w:asciiTheme="minorHAnsi" w:hAnsiTheme="minorHAnsi" w:cstheme="minorHAnsi"/>
          <w:szCs w:val="21"/>
        </w:rPr>
        <w:t xml:space="preserve">, </w:t>
      </w:r>
      <w:r w:rsidR="00E262F1">
        <w:rPr>
          <w:rFonts w:asciiTheme="minorHAnsi" w:hAnsiTheme="minorHAnsi" w:cstheme="minorHAnsi"/>
          <w:szCs w:val="21"/>
        </w:rPr>
        <w:t xml:space="preserve">compared </w:t>
      </w:r>
      <w:r w:rsidR="00E85BEC">
        <w:rPr>
          <w:rFonts w:asciiTheme="minorHAnsi" w:hAnsiTheme="minorHAnsi" w:cstheme="minorHAnsi"/>
          <w:szCs w:val="21"/>
        </w:rPr>
        <w:t xml:space="preserve">to </w:t>
      </w:r>
      <w:r w:rsidR="00E85BEC" w:rsidRPr="009D7B6D">
        <w:rPr>
          <w:rFonts w:asciiTheme="minorHAnsi" w:hAnsiTheme="minorHAnsi" w:cstheme="minorHAnsi"/>
          <w:szCs w:val="21"/>
        </w:rPr>
        <w:t>3</w:t>
      </w:r>
      <w:r w:rsidR="002346A5" w:rsidRPr="009D7B6D">
        <w:rPr>
          <w:rFonts w:asciiTheme="minorHAnsi" w:hAnsiTheme="minorHAnsi" w:cstheme="minorHAnsi"/>
          <w:szCs w:val="21"/>
        </w:rPr>
        <w:t xml:space="preserve">% for </w:t>
      </w:r>
      <w:r w:rsidR="000D3F35">
        <w:rPr>
          <w:rFonts w:asciiTheme="minorHAnsi" w:hAnsiTheme="minorHAnsi" w:cstheme="minorHAnsi"/>
          <w:szCs w:val="21"/>
        </w:rPr>
        <w:t>those</w:t>
      </w:r>
      <w:r w:rsidR="00E262F1" w:rsidRPr="009D7B6D">
        <w:rPr>
          <w:rFonts w:asciiTheme="minorHAnsi" w:hAnsiTheme="minorHAnsi" w:cstheme="minorHAnsi"/>
          <w:szCs w:val="21"/>
        </w:rPr>
        <w:t xml:space="preserve"> </w:t>
      </w:r>
      <w:r w:rsidR="002346A5" w:rsidRPr="009D7B6D">
        <w:rPr>
          <w:rFonts w:asciiTheme="minorHAnsi" w:hAnsiTheme="minorHAnsi" w:cstheme="minorHAnsi"/>
          <w:szCs w:val="21"/>
        </w:rPr>
        <w:t xml:space="preserve">in the </w:t>
      </w:r>
      <w:r w:rsidR="000D3F35">
        <w:rPr>
          <w:rFonts w:asciiTheme="minorHAnsi" w:hAnsiTheme="minorHAnsi" w:cstheme="minorHAnsi"/>
          <w:szCs w:val="21"/>
        </w:rPr>
        <w:t xml:space="preserve">highest </w:t>
      </w:r>
      <w:r w:rsidR="00CC65D6">
        <w:rPr>
          <w:rFonts w:asciiTheme="minorHAnsi" w:hAnsiTheme="minorHAnsi" w:cstheme="minorHAnsi"/>
          <w:szCs w:val="21"/>
        </w:rPr>
        <w:t xml:space="preserve">20% </w:t>
      </w:r>
      <w:r w:rsidR="00B6143C">
        <w:rPr>
          <w:rFonts w:asciiTheme="minorHAnsi" w:hAnsiTheme="minorHAnsi" w:cstheme="minorHAnsi"/>
          <w:szCs w:val="21"/>
        </w:rPr>
        <w:t xml:space="preserve">of </w:t>
      </w:r>
      <w:r w:rsidR="00CC65D6">
        <w:rPr>
          <w:rFonts w:asciiTheme="minorHAnsi" w:hAnsiTheme="minorHAnsi" w:cstheme="minorHAnsi"/>
          <w:szCs w:val="21"/>
        </w:rPr>
        <w:t>socio</w:t>
      </w:r>
      <w:r w:rsidR="00B04FCE">
        <w:rPr>
          <w:rFonts w:asciiTheme="minorHAnsi" w:hAnsiTheme="minorHAnsi" w:cstheme="minorHAnsi"/>
          <w:szCs w:val="21"/>
        </w:rPr>
        <w:noBreakHyphen/>
      </w:r>
      <w:r w:rsidR="00CC65D6">
        <w:rPr>
          <w:rFonts w:asciiTheme="minorHAnsi" w:hAnsiTheme="minorHAnsi" w:cstheme="minorHAnsi"/>
          <w:szCs w:val="21"/>
        </w:rPr>
        <w:t>economic areas</w:t>
      </w:r>
      <w:r w:rsidR="006A0CF2" w:rsidRPr="009D7B6D">
        <w:rPr>
          <w:rFonts w:asciiTheme="minorHAnsi" w:hAnsiTheme="minorHAnsi" w:cstheme="minorHAnsi"/>
          <w:szCs w:val="21"/>
        </w:rPr>
        <w:t>.</w:t>
      </w:r>
    </w:p>
    <w:p w14:paraId="5FCD0991" w14:textId="5182DF38" w:rsidR="008C4B81" w:rsidRPr="00A13641" w:rsidRDefault="007855DD" w:rsidP="005E332C">
      <w:pPr>
        <w:pStyle w:val="FigureMainHeading"/>
      </w:pPr>
      <w:bookmarkStart w:id="48" w:name="_Ref153294248"/>
      <w:r>
        <w:t>Figure </w:t>
      </w:r>
      <w:r w:rsidR="00B80D45">
        <w:fldChar w:fldCharType="begin"/>
      </w:r>
      <w:r w:rsidR="00B80D45">
        <w:instrText xml:space="preserve"> STYLEREF 1 \s </w:instrText>
      </w:r>
      <w:r w:rsidR="00B80D45">
        <w:fldChar w:fldCharType="separate"/>
      </w:r>
      <w:r w:rsidR="00722C0A">
        <w:rPr>
          <w:noProof/>
        </w:rPr>
        <w:t>4</w:t>
      </w:r>
      <w:r w:rsidR="00B80D45">
        <w:rPr>
          <w:noProof/>
        </w:rPr>
        <w:fldChar w:fldCharType="end"/>
      </w:r>
      <w:r w:rsidR="00C95BE9">
        <w:t>.</w:t>
      </w:r>
      <w:r w:rsidR="00B80D45">
        <w:fldChar w:fldCharType="begin"/>
      </w:r>
      <w:r w:rsidR="00B80D45">
        <w:instrText xml:space="preserve"> SEQ Figure \* ARABIC \s 1 </w:instrText>
      </w:r>
      <w:r w:rsidR="00B80D45">
        <w:fldChar w:fldCharType="separate"/>
      </w:r>
      <w:r w:rsidR="00722C0A">
        <w:rPr>
          <w:noProof/>
        </w:rPr>
        <w:t>5</w:t>
      </w:r>
      <w:r w:rsidR="00B80D45">
        <w:rPr>
          <w:noProof/>
        </w:rPr>
        <w:fldChar w:fldCharType="end"/>
      </w:r>
      <w:bookmarkEnd w:id="48"/>
      <w:r w:rsidR="005E332C">
        <w:t>:</w:t>
      </w:r>
      <w:r w:rsidR="005E332C">
        <w:tab/>
      </w:r>
      <w:r w:rsidR="008C4B81">
        <w:t xml:space="preserve">Average </w:t>
      </w:r>
      <w:r w:rsidR="008C4B81" w:rsidRPr="008C4B81">
        <w:t>projected</w:t>
      </w:r>
      <w:r w:rsidR="008C4B81">
        <w:t xml:space="preserve"> </w:t>
      </w:r>
      <w:r w:rsidR="008C4B81" w:rsidRPr="008C4B81">
        <w:t>time</w:t>
      </w:r>
      <w:r w:rsidR="008C4B81">
        <w:t xml:space="preserve"> receiving </w:t>
      </w:r>
      <w:r w:rsidR="008C4B81" w:rsidRPr="008C4B81">
        <w:t xml:space="preserve">income </w:t>
      </w:r>
      <w:r w:rsidR="00584485" w:rsidRPr="008C4B81">
        <w:t>support before retirement for people aged 26 to 44 without children</w:t>
      </w:r>
    </w:p>
    <w:p w14:paraId="771E2D80" w14:textId="01B2279C" w:rsidR="00E735D5" w:rsidRPr="009D7B6D" w:rsidRDefault="002C1F90" w:rsidP="00584485">
      <w:pPr>
        <w:pStyle w:val="ChartGraphic"/>
        <w:rPr>
          <w:noProof/>
          <w:sz w:val="24"/>
        </w:rPr>
      </w:pPr>
      <w:r>
        <w:rPr>
          <w:noProof/>
        </w:rPr>
        <w:drawing>
          <wp:inline distT="0" distB="0" distL="0" distR="0" wp14:anchorId="2AA63AF4" wp14:editId="46306DB9">
            <wp:extent cx="4319905" cy="2699385"/>
            <wp:effectExtent l="0" t="0" r="4445" b="5715"/>
            <wp:docPr id="246" name="Chart 246" descr="This chart shows the average projected time receiving pre-retirement income support for people aged 26 to 44 without children, split by their partnership and SEIFA status. When split by SEIFA quintiles, those who are single have a more varied spread of average time receiving pre-retirement income support (15%-6%=9%), compared to those who are partnered (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7F04842" w14:textId="77777777" w:rsidR="00523C23" w:rsidRPr="00EC4FC8" w:rsidRDefault="00523C23" w:rsidP="00EC4FC8">
      <w:bookmarkStart w:id="49" w:name="_Toc153355579"/>
      <w:bookmarkStart w:id="50" w:name="_Toc155358645"/>
    </w:p>
    <w:p w14:paraId="54A91237" w14:textId="77777777" w:rsidR="00EC4FC8" w:rsidRPr="00EC4FC8" w:rsidRDefault="00EC4FC8" w:rsidP="00EC4FC8">
      <w:pPr>
        <w:sectPr w:rsidR="00EC4FC8" w:rsidRPr="00EC4FC8" w:rsidSect="00B46214">
          <w:footerReference w:type="default" r:id="rId55"/>
          <w:pgSz w:w="16838" w:h="11906" w:orient="landscape" w:code="9"/>
          <w:pgMar w:top="1418" w:right="1134" w:bottom="1418" w:left="1134" w:header="425" w:footer="680" w:gutter="0"/>
          <w:cols w:num="2" w:space="709"/>
          <w:docGrid w:linePitch="360"/>
        </w:sectPr>
      </w:pPr>
    </w:p>
    <w:p w14:paraId="06C412D3" w14:textId="0A80C469" w:rsidR="008549B5" w:rsidRPr="0045062D" w:rsidRDefault="001942EA" w:rsidP="00EC4FC8">
      <w:pPr>
        <w:pStyle w:val="Heading1"/>
      </w:pPr>
      <w:bookmarkStart w:id="51" w:name="_Toc160109475"/>
      <w:r>
        <w:lastRenderedPageBreak/>
        <w:t xml:space="preserve">Older </w:t>
      </w:r>
      <w:r w:rsidRPr="00EC4FC8">
        <w:t>working</w:t>
      </w:r>
      <w:r>
        <w:t xml:space="preserve"> age</w:t>
      </w:r>
      <w:r w:rsidR="008549B5" w:rsidRPr="0045062D">
        <w:t xml:space="preserve"> </w:t>
      </w:r>
      <w:r>
        <w:t>(</w:t>
      </w:r>
      <w:r w:rsidR="008549B5" w:rsidRPr="0045062D">
        <w:t>45 to 66</w:t>
      </w:r>
      <w:r>
        <w:t>)</w:t>
      </w:r>
      <w:bookmarkEnd w:id="49"/>
      <w:bookmarkEnd w:id="50"/>
      <w:bookmarkEnd w:id="51"/>
    </w:p>
    <w:p w14:paraId="2B12CA26" w14:textId="1CFF675F" w:rsidR="008549B5" w:rsidRPr="00D27014" w:rsidRDefault="00B65CFB" w:rsidP="00D27014">
      <w:pPr>
        <w:rPr>
          <w:rFonts w:asciiTheme="minorHAnsi" w:hAnsiTheme="minorHAnsi" w:cstheme="minorHAnsi"/>
          <w:sz w:val="24"/>
          <w:szCs w:val="21"/>
        </w:rPr>
      </w:pPr>
      <w:r>
        <w:rPr>
          <w:rFonts w:asciiTheme="minorHAnsi" w:hAnsiTheme="minorHAnsi" w:cstheme="minorHAnsi"/>
          <w:szCs w:val="21"/>
        </w:rPr>
        <w:t>For many Australians in this age group, the</w:t>
      </w:r>
      <w:r w:rsidR="00796EE6">
        <w:rPr>
          <w:rFonts w:asciiTheme="minorHAnsi" w:hAnsiTheme="minorHAnsi" w:cstheme="minorHAnsi"/>
          <w:szCs w:val="21"/>
        </w:rPr>
        <w:t xml:space="preserve"> length of time on </w:t>
      </w:r>
      <w:r w:rsidR="005E332C">
        <w:rPr>
          <w:rFonts w:asciiTheme="minorHAnsi" w:hAnsiTheme="minorHAnsi" w:cstheme="minorHAnsi"/>
          <w:szCs w:val="21"/>
        </w:rPr>
        <w:t>JobSeeker Payment</w:t>
      </w:r>
      <w:r w:rsidR="00796EE6">
        <w:rPr>
          <w:rFonts w:asciiTheme="minorHAnsi" w:hAnsiTheme="minorHAnsi" w:cstheme="minorHAnsi"/>
          <w:szCs w:val="21"/>
        </w:rPr>
        <w:t xml:space="preserve"> </w:t>
      </w:r>
      <w:r>
        <w:rPr>
          <w:rFonts w:asciiTheme="minorHAnsi" w:hAnsiTheme="minorHAnsi" w:cstheme="minorHAnsi"/>
          <w:szCs w:val="21"/>
        </w:rPr>
        <w:t>is associated with a greater likelihood of continuing to receive income support in th</w:t>
      </w:r>
      <w:r w:rsidR="00796EE6">
        <w:rPr>
          <w:rFonts w:asciiTheme="minorHAnsi" w:hAnsiTheme="minorHAnsi" w:cstheme="minorHAnsi"/>
          <w:szCs w:val="21"/>
        </w:rPr>
        <w:t xml:space="preserve">e future, which then flows </w:t>
      </w:r>
      <w:r>
        <w:rPr>
          <w:rFonts w:asciiTheme="minorHAnsi" w:hAnsiTheme="minorHAnsi" w:cstheme="minorHAnsi"/>
          <w:szCs w:val="21"/>
        </w:rPr>
        <w:t>on</w:t>
      </w:r>
      <w:r w:rsidR="00796EE6">
        <w:rPr>
          <w:rFonts w:asciiTheme="minorHAnsi" w:hAnsiTheme="minorHAnsi" w:cstheme="minorHAnsi"/>
          <w:szCs w:val="21"/>
        </w:rPr>
        <w:t>to Age Pension.</w:t>
      </w:r>
      <w:r>
        <w:rPr>
          <w:rFonts w:asciiTheme="minorHAnsi" w:hAnsiTheme="minorHAnsi" w:cstheme="minorHAnsi"/>
          <w:szCs w:val="21"/>
        </w:rPr>
        <w:t xml:space="preserve"> </w:t>
      </w:r>
      <w:r w:rsidR="00796EE6">
        <w:rPr>
          <w:rFonts w:asciiTheme="minorHAnsi" w:hAnsiTheme="minorHAnsi" w:cstheme="minorHAnsi"/>
          <w:szCs w:val="21"/>
        </w:rPr>
        <w:t>This is particularly the case for women and people with a partial capacity to work</w:t>
      </w:r>
      <w:r w:rsidR="008549B5" w:rsidRPr="00D27014">
        <w:rPr>
          <w:rFonts w:asciiTheme="minorHAnsi" w:hAnsiTheme="minorHAnsi" w:cstheme="minorHAnsi"/>
          <w:szCs w:val="21"/>
        </w:rPr>
        <w:t>. There</w:t>
      </w:r>
      <w:r w:rsidR="008549B5" w:rsidRPr="00D27014" w:rsidDel="00646B3E">
        <w:rPr>
          <w:rFonts w:asciiTheme="minorHAnsi" w:hAnsiTheme="minorHAnsi" w:cstheme="minorHAnsi"/>
          <w:szCs w:val="21"/>
        </w:rPr>
        <w:t xml:space="preserve"> </w:t>
      </w:r>
      <w:r w:rsidR="00646B3E">
        <w:rPr>
          <w:rFonts w:asciiTheme="minorHAnsi" w:hAnsiTheme="minorHAnsi" w:cstheme="minorHAnsi"/>
          <w:szCs w:val="21"/>
        </w:rPr>
        <w:t>were</w:t>
      </w:r>
      <w:r w:rsidR="00646B3E" w:rsidRPr="00D27014">
        <w:rPr>
          <w:rFonts w:asciiTheme="minorHAnsi" w:hAnsiTheme="minorHAnsi" w:cstheme="minorHAnsi"/>
          <w:szCs w:val="21"/>
        </w:rPr>
        <w:t xml:space="preserve"> </w:t>
      </w:r>
      <w:r w:rsidR="008549B5" w:rsidRPr="00D27014">
        <w:rPr>
          <w:rFonts w:asciiTheme="minorHAnsi" w:hAnsiTheme="minorHAnsi" w:cstheme="minorHAnsi"/>
          <w:szCs w:val="21"/>
        </w:rPr>
        <w:t>6.7</w:t>
      </w:r>
      <w:r w:rsidR="00F40387">
        <w:rPr>
          <w:rFonts w:asciiTheme="minorHAnsi" w:hAnsiTheme="minorHAnsi" w:cstheme="minorHAnsi"/>
          <w:szCs w:val="21"/>
        </w:rPr>
        <w:t> million</w:t>
      </w:r>
      <w:r w:rsidR="008549B5" w:rsidRPr="00D27014">
        <w:rPr>
          <w:rFonts w:asciiTheme="minorHAnsi" w:hAnsiTheme="minorHAnsi" w:cstheme="minorHAnsi"/>
          <w:szCs w:val="21"/>
        </w:rPr>
        <w:t xml:space="preserve"> people aged 45 to 66 </w:t>
      </w:r>
      <w:r w:rsidR="008C6BAE">
        <w:rPr>
          <w:rFonts w:asciiTheme="minorHAnsi" w:hAnsiTheme="minorHAnsi" w:cstheme="minorHAnsi"/>
          <w:szCs w:val="21"/>
        </w:rPr>
        <w:t>on</w:t>
      </w:r>
      <w:r w:rsidR="00646B3E">
        <w:rPr>
          <w:rFonts w:asciiTheme="minorHAnsi" w:hAnsiTheme="minorHAnsi" w:cstheme="minorHAnsi"/>
          <w:szCs w:val="21"/>
        </w:rPr>
        <w:t xml:space="preserve"> 30</w:t>
      </w:r>
      <w:r w:rsidR="00E46C6A">
        <w:rPr>
          <w:rFonts w:asciiTheme="minorHAnsi" w:hAnsiTheme="minorHAnsi" w:cstheme="minorHAnsi"/>
          <w:szCs w:val="21"/>
        </w:rPr>
        <w:t> June </w:t>
      </w:r>
      <w:r w:rsidR="00646B3E">
        <w:rPr>
          <w:rFonts w:asciiTheme="minorHAnsi" w:hAnsiTheme="minorHAnsi" w:cstheme="minorHAnsi"/>
          <w:szCs w:val="21"/>
        </w:rPr>
        <w:t xml:space="preserve">2022, </w:t>
      </w:r>
      <w:r w:rsidR="008549B5" w:rsidRPr="00D27014">
        <w:rPr>
          <w:rFonts w:asciiTheme="minorHAnsi" w:hAnsiTheme="minorHAnsi" w:cstheme="minorHAnsi"/>
          <w:szCs w:val="21"/>
        </w:rPr>
        <w:t>making up 26% of the</w:t>
      </w:r>
      <w:r w:rsidR="00646B3E">
        <w:rPr>
          <w:rFonts w:asciiTheme="minorHAnsi" w:hAnsiTheme="minorHAnsi" w:cstheme="minorHAnsi"/>
          <w:szCs w:val="21"/>
        </w:rPr>
        <w:t xml:space="preserve"> Australian</w:t>
      </w:r>
      <w:r w:rsidR="008549B5" w:rsidRPr="00D27014">
        <w:rPr>
          <w:rFonts w:asciiTheme="minorHAnsi" w:hAnsiTheme="minorHAnsi" w:cstheme="minorHAnsi"/>
          <w:szCs w:val="21"/>
        </w:rPr>
        <w:t xml:space="preserve"> population.</w:t>
      </w:r>
    </w:p>
    <w:p w14:paraId="35FB1DD4" w14:textId="77777777" w:rsidR="002220A4" w:rsidRDefault="00523C23" w:rsidP="002220A4">
      <w:pPr>
        <w:pStyle w:val="FigureMainHeading"/>
        <w:spacing w:after="0"/>
      </w:pPr>
      <w:r w:rsidRPr="00D27014">
        <w:t>Australian population</w:t>
      </w:r>
    </w:p>
    <w:p w14:paraId="2C5D1CDE" w14:textId="3AC34313" w:rsidR="00307825" w:rsidRPr="00307825" w:rsidRDefault="002220A4" w:rsidP="00C31834">
      <w:pPr>
        <w:pStyle w:val="ChartGraphic"/>
      </w:pPr>
      <w:r>
        <w:rPr>
          <w:noProof/>
        </w:rPr>
        <w:drawing>
          <wp:inline distT="0" distB="0" distL="0" distR="0" wp14:anchorId="6F6B01D4" wp14:editId="5F3B81DD">
            <wp:extent cx="4410000" cy="367200"/>
            <wp:effectExtent l="0" t="0" r="0" b="0"/>
            <wp:docPr id="226" name="Chart 226" descr="This picture shows that the people in this subsection, that is, aged 45 to 66, make up 26% of the Australian popu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D2D1F95" w14:textId="212220E9" w:rsidR="008549B5" w:rsidRDefault="008549B5" w:rsidP="00EF5B7F">
      <w:pPr>
        <w:pStyle w:val="Heading2notnumbered"/>
      </w:pPr>
      <w:r w:rsidRPr="00D27014">
        <w:t xml:space="preserve">16% of people aged 45 to 66 </w:t>
      </w:r>
      <w:r w:rsidR="00646B3E">
        <w:t>received</w:t>
      </w:r>
      <w:r w:rsidRPr="00D27014">
        <w:t xml:space="preserve"> income support </w:t>
      </w:r>
      <w:r w:rsidR="00EC6578">
        <w:t>on</w:t>
      </w:r>
      <w:r w:rsidR="00646B3E">
        <w:t xml:space="preserve"> 30</w:t>
      </w:r>
      <w:r w:rsidR="00E46C6A">
        <w:t> June </w:t>
      </w:r>
      <w:r w:rsidR="00646B3E">
        <w:t>2022</w:t>
      </w:r>
      <w:r w:rsidR="00C23615">
        <w:t>, and</w:t>
      </w:r>
      <w:r w:rsidRPr="00D27014">
        <w:t xml:space="preserve"> a further </w:t>
      </w:r>
      <w:r w:rsidR="00EC6578">
        <w:t>6</w:t>
      </w:r>
      <w:r w:rsidRPr="00D27014">
        <w:t xml:space="preserve">% </w:t>
      </w:r>
      <w:r w:rsidR="00241EF2">
        <w:t>receiv</w:t>
      </w:r>
      <w:r w:rsidR="00C23615">
        <w:t>ed</w:t>
      </w:r>
      <w:r w:rsidRPr="00D27014">
        <w:t xml:space="preserve"> supplementary payments</w:t>
      </w:r>
      <w:r w:rsidR="00646B3E">
        <w:t xml:space="preserve"> at some point over </w:t>
      </w:r>
      <w:r w:rsidR="00C23615">
        <w:t>2021</w:t>
      </w:r>
      <w:r w:rsidR="009F12CC">
        <w:t>–</w:t>
      </w:r>
      <w:r w:rsidR="00C23615">
        <w:t>22</w:t>
      </w:r>
      <w:r w:rsidRPr="00D27014">
        <w:t>. Women</w:t>
      </w:r>
      <w:r w:rsidRPr="00D27014" w:rsidDel="00E262F1">
        <w:t xml:space="preserve"> </w:t>
      </w:r>
      <w:r w:rsidR="004A03DA">
        <w:t>comprised</w:t>
      </w:r>
      <w:r w:rsidRPr="00D27014">
        <w:t xml:space="preserve"> 56% of </w:t>
      </w:r>
      <w:r w:rsidR="00974E99">
        <w:t xml:space="preserve">people receiving </w:t>
      </w:r>
      <w:r w:rsidRPr="00D27014">
        <w:t xml:space="preserve">income support </w:t>
      </w:r>
      <w:r w:rsidR="004A03DA">
        <w:t>in this age group</w:t>
      </w:r>
      <w:r w:rsidRPr="00D27014">
        <w:t>.</w:t>
      </w:r>
    </w:p>
    <w:p w14:paraId="4D1FA50B" w14:textId="32F137D3" w:rsidR="00730F12" w:rsidRPr="00D27014" w:rsidRDefault="00730F12" w:rsidP="00730F12">
      <w:pPr>
        <w:spacing w:after="120"/>
        <w:rPr>
          <w:rFonts w:asciiTheme="minorHAnsi" w:hAnsiTheme="minorHAnsi" w:cstheme="minorHAnsi"/>
          <w:szCs w:val="21"/>
        </w:rPr>
      </w:pPr>
      <w:r>
        <w:rPr>
          <w:rFonts w:asciiTheme="minorHAnsi" w:hAnsiTheme="minorHAnsi" w:cstheme="minorHAnsi"/>
          <w:szCs w:val="21"/>
        </w:rPr>
        <w:t>Almost twice as many p</w:t>
      </w:r>
      <w:r w:rsidRPr="0041565C">
        <w:rPr>
          <w:rFonts w:asciiTheme="minorHAnsi" w:hAnsiTheme="minorHAnsi" w:cstheme="minorHAnsi"/>
          <w:szCs w:val="21"/>
        </w:rPr>
        <w:t>eople aged 55 to 66 receive</w:t>
      </w:r>
      <w:r>
        <w:rPr>
          <w:rFonts w:asciiTheme="minorHAnsi" w:hAnsiTheme="minorHAnsi" w:cstheme="minorHAnsi"/>
          <w:szCs w:val="21"/>
        </w:rPr>
        <w:t>d</w:t>
      </w:r>
      <w:r w:rsidRPr="0041565C">
        <w:rPr>
          <w:rFonts w:asciiTheme="minorHAnsi" w:hAnsiTheme="minorHAnsi" w:cstheme="minorHAnsi"/>
          <w:szCs w:val="21"/>
        </w:rPr>
        <w:t xml:space="preserve"> an income support payment</w:t>
      </w:r>
      <w:r>
        <w:rPr>
          <w:rFonts w:asciiTheme="minorHAnsi" w:hAnsiTheme="minorHAnsi" w:cstheme="minorHAnsi"/>
          <w:szCs w:val="21"/>
        </w:rPr>
        <w:t>, compared to</w:t>
      </w:r>
      <w:r w:rsidRPr="0041565C">
        <w:rPr>
          <w:rFonts w:asciiTheme="minorHAnsi" w:hAnsiTheme="minorHAnsi" w:cstheme="minorHAnsi"/>
          <w:szCs w:val="21"/>
        </w:rPr>
        <w:t xml:space="preserve"> those aged 45 to 54</w:t>
      </w:r>
      <w:r>
        <w:rPr>
          <w:rFonts w:asciiTheme="minorHAnsi" w:hAnsiTheme="minorHAnsi" w:cstheme="minorHAnsi"/>
          <w:szCs w:val="21"/>
        </w:rPr>
        <w:t xml:space="preserve"> (</w:t>
      </w:r>
      <w:r>
        <w:rPr>
          <w:rFonts w:asciiTheme="minorHAnsi" w:hAnsiTheme="minorHAnsi" w:cstheme="minorHAnsi"/>
          <w:szCs w:val="21"/>
        </w:rPr>
        <w:fldChar w:fldCharType="begin"/>
      </w:r>
      <w:r>
        <w:rPr>
          <w:rFonts w:asciiTheme="minorHAnsi" w:hAnsiTheme="minorHAnsi" w:cstheme="minorHAnsi"/>
          <w:szCs w:val="21"/>
        </w:rPr>
        <w:instrText xml:space="preserve"> REF _Ref153295483 \h  \* MERGEFORMAT </w:instrText>
      </w:r>
      <w:r>
        <w:rPr>
          <w:rFonts w:asciiTheme="minorHAnsi" w:hAnsiTheme="minorHAnsi" w:cstheme="minorHAnsi"/>
          <w:szCs w:val="21"/>
        </w:rPr>
      </w:r>
      <w:r>
        <w:rPr>
          <w:rFonts w:asciiTheme="minorHAnsi" w:hAnsiTheme="minorHAnsi" w:cstheme="minorHAnsi"/>
          <w:szCs w:val="21"/>
        </w:rPr>
        <w:fldChar w:fldCharType="separate"/>
      </w:r>
      <w:r w:rsidR="00722C0A" w:rsidRPr="00722C0A">
        <w:rPr>
          <w:rFonts w:asciiTheme="minorHAnsi" w:hAnsiTheme="minorHAnsi" w:cstheme="minorHAnsi"/>
          <w:szCs w:val="21"/>
        </w:rPr>
        <w:t>Figure 5.1</w:t>
      </w:r>
      <w:r>
        <w:rPr>
          <w:rFonts w:asciiTheme="minorHAnsi" w:hAnsiTheme="minorHAnsi" w:cstheme="minorHAnsi"/>
          <w:szCs w:val="21"/>
        </w:rPr>
        <w:fldChar w:fldCharType="end"/>
      </w:r>
      <w:r>
        <w:rPr>
          <w:rFonts w:asciiTheme="minorHAnsi" w:hAnsiTheme="minorHAnsi" w:cstheme="minorHAnsi"/>
          <w:szCs w:val="21"/>
        </w:rPr>
        <w:t>)</w:t>
      </w:r>
      <w:r w:rsidRPr="0041565C">
        <w:rPr>
          <w:rFonts w:asciiTheme="minorHAnsi" w:hAnsiTheme="minorHAnsi" w:cstheme="minorHAnsi"/>
          <w:szCs w:val="21"/>
        </w:rPr>
        <w:t xml:space="preserve">. </w:t>
      </w:r>
      <w:r w:rsidRPr="00D27014">
        <w:rPr>
          <w:rFonts w:asciiTheme="minorHAnsi" w:hAnsiTheme="minorHAnsi" w:cstheme="minorHAnsi"/>
          <w:szCs w:val="21"/>
        </w:rPr>
        <w:t xml:space="preserve">The main </w:t>
      </w:r>
      <w:r>
        <w:rPr>
          <w:rFonts w:asciiTheme="minorHAnsi" w:hAnsiTheme="minorHAnsi" w:cstheme="minorHAnsi"/>
          <w:szCs w:val="21"/>
        </w:rPr>
        <w:t>reason for this difference</w:t>
      </w:r>
      <w:r w:rsidRPr="00D27014">
        <w:rPr>
          <w:rFonts w:asciiTheme="minorHAnsi" w:hAnsiTheme="minorHAnsi" w:cstheme="minorHAnsi"/>
          <w:szCs w:val="21"/>
        </w:rPr>
        <w:t xml:space="preserve"> </w:t>
      </w:r>
      <w:r>
        <w:rPr>
          <w:rFonts w:asciiTheme="minorHAnsi" w:hAnsiTheme="minorHAnsi" w:cstheme="minorHAnsi"/>
          <w:szCs w:val="21"/>
        </w:rPr>
        <w:t>was</w:t>
      </w:r>
      <w:r w:rsidRPr="00D27014">
        <w:rPr>
          <w:rFonts w:asciiTheme="minorHAnsi" w:hAnsiTheme="minorHAnsi" w:cstheme="minorHAnsi"/>
          <w:szCs w:val="21"/>
        </w:rPr>
        <w:t xml:space="preserve"> the </w:t>
      </w:r>
      <w:r>
        <w:rPr>
          <w:rFonts w:asciiTheme="minorHAnsi" w:hAnsiTheme="minorHAnsi" w:cstheme="minorHAnsi"/>
          <w:szCs w:val="21"/>
        </w:rPr>
        <w:t xml:space="preserve">greater </w:t>
      </w:r>
      <w:r w:rsidRPr="00D27014">
        <w:rPr>
          <w:rFonts w:asciiTheme="minorHAnsi" w:hAnsiTheme="minorHAnsi" w:cstheme="minorHAnsi"/>
          <w:szCs w:val="21"/>
        </w:rPr>
        <w:t xml:space="preserve">number of people </w:t>
      </w:r>
      <w:r>
        <w:rPr>
          <w:rFonts w:asciiTheme="minorHAnsi" w:hAnsiTheme="minorHAnsi" w:cstheme="minorHAnsi"/>
          <w:szCs w:val="21"/>
        </w:rPr>
        <w:t>receiving</w:t>
      </w:r>
      <w:r w:rsidRPr="00D27014">
        <w:rPr>
          <w:rFonts w:asciiTheme="minorHAnsi" w:hAnsiTheme="minorHAnsi" w:cstheme="minorHAnsi"/>
          <w:szCs w:val="21"/>
        </w:rPr>
        <w:t xml:space="preserve"> Disability Support Pension </w:t>
      </w:r>
      <w:r>
        <w:rPr>
          <w:rFonts w:asciiTheme="minorHAnsi" w:hAnsiTheme="minorHAnsi" w:cstheme="minorHAnsi"/>
          <w:szCs w:val="21"/>
        </w:rPr>
        <w:t>(DSP)</w:t>
      </w:r>
      <w:r w:rsidRPr="00D27014">
        <w:rPr>
          <w:rFonts w:asciiTheme="minorHAnsi" w:hAnsiTheme="minorHAnsi" w:cstheme="minorHAnsi"/>
          <w:szCs w:val="21"/>
        </w:rPr>
        <w:t xml:space="preserve"> and Carer Payment</w:t>
      </w:r>
      <w:r>
        <w:rPr>
          <w:rFonts w:asciiTheme="minorHAnsi" w:hAnsiTheme="minorHAnsi" w:cstheme="minorHAnsi"/>
          <w:szCs w:val="21"/>
        </w:rPr>
        <w:t xml:space="preserve"> in the older age group</w:t>
      </w:r>
      <w:r w:rsidRPr="00D27014">
        <w:rPr>
          <w:rFonts w:asciiTheme="minorHAnsi" w:hAnsiTheme="minorHAnsi" w:cstheme="minorHAnsi"/>
          <w:szCs w:val="21"/>
        </w:rPr>
        <w:t xml:space="preserve">. </w:t>
      </w:r>
      <w:r>
        <w:rPr>
          <w:rFonts w:asciiTheme="minorHAnsi" w:hAnsiTheme="minorHAnsi" w:cstheme="minorHAnsi"/>
          <w:szCs w:val="21"/>
        </w:rPr>
        <w:t>People receiving DSP and Carer Payment</w:t>
      </w:r>
      <w:r w:rsidRPr="00D27014">
        <w:rPr>
          <w:rFonts w:asciiTheme="minorHAnsi" w:hAnsiTheme="minorHAnsi" w:cstheme="minorHAnsi"/>
          <w:szCs w:val="21"/>
        </w:rPr>
        <w:t xml:space="preserve"> are </w:t>
      </w:r>
      <w:r>
        <w:rPr>
          <w:rFonts w:asciiTheme="minorHAnsi" w:hAnsiTheme="minorHAnsi" w:cstheme="minorHAnsi"/>
          <w:szCs w:val="21"/>
        </w:rPr>
        <w:t xml:space="preserve">considered </w:t>
      </w:r>
      <w:r>
        <w:rPr>
          <w:rFonts w:asciiTheme="minorHAnsi" w:eastAsiaTheme="majorEastAsia" w:hAnsiTheme="minorHAnsi" w:cstheme="minorHAnsi"/>
          <w:bCs/>
          <w:color w:val="000000" w:themeColor="text1"/>
          <w:szCs w:val="21"/>
        </w:rPr>
        <w:t>as part of the In</w:t>
      </w:r>
      <w:r w:rsidR="00B04FCE">
        <w:rPr>
          <w:rFonts w:asciiTheme="minorHAnsi" w:eastAsiaTheme="majorEastAsia" w:hAnsiTheme="minorHAnsi" w:cstheme="minorHAnsi"/>
          <w:bCs/>
          <w:color w:val="000000" w:themeColor="text1"/>
          <w:szCs w:val="21"/>
        </w:rPr>
        <w:noBreakHyphen/>
      </w:r>
      <w:r>
        <w:rPr>
          <w:rFonts w:asciiTheme="minorHAnsi" w:eastAsiaTheme="majorEastAsia" w:hAnsiTheme="minorHAnsi" w:cstheme="minorHAnsi"/>
          <w:bCs/>
          <w:color w:val="000000" w:themeColor="text1"/>
          <w:szCs w:val="21"/>
        </w:rPr>
        <w:t>Depth Focus groups later in this report</w:t>
      </w:r>
      <w:r w:rsidRPr="00D27014" w:rsidDel="006C0D69">
        <w:rPr>
          <w:rFonts w:asciiTheme="minorHAnsi" w:hAnsiTheme="minorHAnsi" w:cstheme="minorHAnsi"/>
          <w:szCs w:val="21"/>
        </w:rPr>
        <w:t xml:space="preserve"> </w:t>
      </w:r>
      <w:r>
        <w:rPr>
          <w:rFonts w:asciiTheme="minorHAnsi" w:hAnsiTheme="minorHAnsi" w:cstheme="minorHAnsi"/>
          <w:szCs w:val="21"/>
        </w:rPr>
        <w:t xml:space="preserve">(including the sections on </w:t>
      </w:r>
      <w:r w:rsidRPr="00D27014">
        <w:rPr>
          <w:rFonts w:asciiTheme="minorHAnsi" w:hAnsiTheme="minorHAnsi" w:cstheme="minorHAnsi"/>
          <w:szCs w:val="21"/>
        </w:rPr>
        <w:t xml:space="preserve">People receiving </w:t>
      </w:r>
      <w:r>
        <w:rPr>
          <w:rFonts w:asciiTheme="minorHAnsi" w:hAnsiTheme="minorHAnsi" w:cstheme="minorHAnsi"/>
          <w:szCs w:val="21"/>
        </w:rPr>
        <w:t>payments to support caring,</w:t>
      </w:r>
      <w:r w:rsidRPr="00D27014">
        <w:rPr>
          <w:rFonts w:asciiTheme="minorHAnsi" w:hAnsiTheme="minorHAnsi" w:cstheme="minorHAnsi"/>
          <w:szCs w:val="21"/>
        </w:rPr>
        <w:t xml:space="preserve"> and People </w:t>
      </w:r>
      <w:r>
        <w:rPr>
          <w:rFonts w:asciiTheme="minorHAnsi" w:hAnsiTheme="minorHAnsi" w:cstheme="minorHAnsi"/>
          <w:szCs w:val="21"/>
        </w:rPr>
        <w:t>r</w:t>
      </w:r>
      <w:r w:rsidRPr="00D27014">
        <w:rPr>
          <w:rFonts w:asciiTheme="minorHAnsi" w:hAnsiTheme="minorHAnsi" w:cstheme="minorHAnsi"/>
          <w:szCs w:val="21"/>
        </w:rPr>
        <w:t xml:space="preserve">eceiving </w:t>
      </w:r>
      <w:r w:rsidR="00B475E0">
        <w:rPr>
          <w:rFonts w:asciiTheme="minorHAnsi" w:hAnsiTheme="minorHAnsi" w:cstheme="minorHAnsi"/>
          <w:szCs w:val="21"/>
        </w:rPr>
        <w:t>DSP</w:t>
      </w:r>
      <w:r>
        <w:rPr>
          <w:rFonts w:asciiTheme="minorHAnsi" w:hAnsiTheme="minorHAnsi" w:cstheme="minorHAnsi"/>
          <w:szCs w:val="21"/>
        </w:rPr>
        <w:t>)</w:t>
      </w:r>
      <w:r w:rsidRPr="00D27014">
        <w:rPr>
          <w:rFonts w:asciiTheme="minorHAnsi" w:hAnsiTheme="minorHAnsi" w:cstheme="minorHAnsi"/>
          <w:szCs w:val="21"/>
        </w:rPr>
        <w:t>.</w:t>
      </w:r>
    </w:p>
    <w:p w14:paraId="55694006" w14:textId="13FB12A4" w:rsidR="00C95BE9" w:rsidRDefault="007855DD" w:rsidP="005E332C">
      <w:pPr>
        <w:pStyle w:val="FigureMainHeading"/>
      </w:pPr>
      <w:bookmarkStart w:id="52" w:name="_Ref153295483"/>
      <w:r>
        <w:t>Figure </w:t>
      </w:r>
      <w:r w:rsidR="00B80D45">
        <w:fldChar w:fldCharType="begin"/>
      </w:r>
      <w:r w:rsidR="00B80D45">
        <w:instrText xml:space="preserve"> STYLEREF 1 \s </w:instrText>
      </w:r>
      <w:r w:rsidR="00B80D45">
        <w:fldChar w:fldCharType="separate"/>
      </w:r>
      <w:r w:rsidR="00722C0A">
        <w:rPr>
          <w:noProof/>
        </w:rPr>
        <w:t>5</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1</w:t>
      </w:r>
      <w:r w:rsidR="00B80D45">
        <w:rPr>
          <w:noProof/>
        </w:rPr>
        <w:fldChar w:fldCharType="end"/>
      </w:r>
      <w:bookmarkEnd w:id="52"/>
      <w:r w:rsidR="005E332C">
        <w:t>:</w:t>
      </w:r>
      <w:r w:rsidR="005E332C">
        <w:tab/>
      </w:r>
      <w:r w:rsidR="00C95BE9">
        <w:t>P</w:t>
      </w:r>
      <w:r w:rsidR="00730F12" w:rsidRPr="00A13641">
        <w:t xml:space="preserve">eople </w:t>
      </w:r>
      <w:r w:rsidR="00C95BE9" w:rsidRPr="00A13641">
        <w:t>aged 45 to 66 composition at 30</w:t>
      </w:r>
      <w:r w:rsidR="00E46C6A">
        <w:t> June </w:t>
      </w:r>
      <w:r w:rsidR="00C95BE9" w:rsidRPr="00A13641">
        <w:t>2022</w:t>
      </w:r>
    </w:p>
    <w:p w14:paraId="59DE541E" w14:textId="01E8A75D" w:rsidR="00B04FCE" w:rsidRDefault="00B90E27" w:rsidP="00C95BE9">
      <w:pPr>
        <w:pStyle w:val="ChartGraphic"/>
      </w:pPr>
      <w:r>
        <w:rPr>
          <w:noProof/>
        </w:rPr>
        <w:drawing>
          <wp:inline distT="0" distB="0" distL="0" distR="0" wp14:anchorId="2934D4E4" wp14:editId="7E807367">
            <wp:extent cx="4319905" cy="1979295"/>
            <wp:effectExtent l="0" t="0" r="4445" b="1905"/>
            <wp:docPr id="32" name="Chart 32" descr="This chart shows that 84% of people aged 45 to 66 did not receive income support  at 30 June 2022. Of the 16% who did receive income support, 6% were aged 45 to 54, and 10% were aged 55 t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558379A" w14:textId="2B469A0F" w:rsidR="00B04FCE" w:rsidRDefault="00A6524C" w:rsidP="00EF5B7F">
      <w:pPr>
        <w:pStyle w:val="Heading2notnumbered"/>
        <w:rPr>
          <w:noProof/>
        </w:rPr>
      </w:pPr>
      <w:r>
        <w:t>5</w:t>
      </w:r>
      <w:r w:rsidR="00716E58">
        <w:t>3</w:t>
      </w:r>
      <w:r>
        <w:t>%</w:t>
      </w:r>
      <w:r w:rsidRPr="00D27014">
        <w:t xml:space="preserve"> of people </w:t>
      </w:r>
      <w:r>
        <w:t>aged 45 to 66 who received</w:t>
      </w:r>
      <w:r w:rsidRPr="00D27014">
        <w:t xml:space="preserve"> </w:t>
      </w:r>
      <w:r w:rsidR="005E332C">
        <w:t>JobSeeker Payment</w:t>
      </w:r>
      <w:r w:rsidRPr="00D27014">
        <w:t xml:space="preserve"> </w:t>
      </w:r>
      <w:r>
        <w:t>on 30</w:t>
      </w:r>
      <w:r w:rsidR="00E46C6A">
        <w:t> June </w:t>
      </w:r>
      <w:r>
        <w:t xml:space="preserve">2022 </w:t>
      </w:r>
      <w:r w:rsidRPr="00D27014">
        <w:t>ha</w:t>
      </w:r>
      <w:r>
        <w:t>d</w:t>
      </w:r>
      <w:r w:rsidRPr="00D27014">
        <w:t xml:space="preserve"> a </w:t>
      </w:r>
      <w:r>
        <w:t>p</w:t>
      </w:r>
      <w:r w:rsidRPr="00D27014">
        <w:t xml:space="preserve">artial </w:t>
      </w:r>
      <w:r>
        <w:t>c</w:t>
      </w:r>
      <w:r w:rsidRPr="00D27014">
        <w:t xml:space="preserve">apacity to </w:t>
      </w:r>
      <w:r>
        <w:t>w</w:t>
      </w:r>
      <w:r w:rsidRPr="00D27014">
        <w:t>ork.</w:t>
      </w:r>
    </w:p>
    <w:p w14:paraId="1DE737D9" w14:textId="16AECFE8" w:rsidR="00B04FCE" w:rsidRDefault="003869BD" w:rsidP="00430894">
      <w:pPr>
        <w:rPr>
          <w:rFonts w:eastAsiaTheme="majorEastAsia"/>
        </w:rPr>
      </w:pPr>
      <w:r>
        <w:rPr>
          <w:color w:val="000000" w:themeColor="text1"/>
        </w:rPr>
        <w:t xml:space="preserve">Among people aged 45 to 66 </w:t>
      </w:r>
      <w:r w:rsidR="00683D15" w:rsidRPr="00D52F35">
        <w:t xml:space="preserve">receiving </w:t>
      </w:r>
      <w:r w:rsidR="005E332C">
        <w:t>JobSeeker Payment</w:t>
      </w:r>
      <w:r w:rsidR="00A6524C" w:rsidRPr="00D52F35">
        <w:rPr>
          <w:color w:val="000000" w:themeColor="text1"/>
        </w:rPr>
        <w:t xml:space="preserve"> (</w:t>
      </w:r>
      <w:r w:rsidR="00E550AC" w:rsidRPr="00D52F35">
        <w:rPr>
          <w:color w:val="000000" w:themeColor="text1"/>
        </w:rPr>
        <w:fldChar w:fldCharType="begin"/>
      </w:r>
      <w:r w:rsidR="00E550AC" w:rsidRPr="00D52F35">
        <w:rPr>
          <w:color w:val="000000" w:themeColor="text1"/>
        </w:rPr>
        <w:instrText xml:space="preserve"> REF _Ref153538575 \h </w:instrText>
      </w:r>
      <w:r w:rsidR="00613C39" w:rsidRPr="00D52F35">
        <w:rPr>
          <w:color w:val="000000" w:themeColor="text1"/>
        </w:rPr>
        <w:instrText xml:space="preserve"> \* MERGEFORMAT </w:instrText>
      </w:r>
      <w:r w:rsidR="00E550AC" w:rsidRPr="00D52F35">
        <w:rPr>
          <w:color w:val="000000" w:themeColor="text1"/>
        </w:rPr>
      </w:r>
      <w:r w:rsidR="00E550AC" w:rsidRPr="00D52F35">
        <w:rPr>
          <w:color w:val="000000" w:themeColor="text1"/>
        </w:rPr>
        <w:fldChar w:fldCharType="separate"/>
      </w:r>
      <w:r w:rsidR="00722C0A">
        <w:t>Figure 5.2</w:t>
      </w:r>
      <w:r w:rsidR="00E550AC" w:rsidRPr="00D52F35">
        <w:rPr>
          <w:color w:val="000000" w:themeColor="text1"/>
        </w:rPr>
        <w:fldChar w:fldCharType="end"/>
      </w:r>
      <w:r w:rsidR="00A6524C" w:rsidRPr="00D52F35">
        <w:rPr>
          <w:color w:val="000000" w:themeColor="text1"/>
        </w:rPr>
        <w:t xml:space="preserve">), </w:t>
      </w:r>
      <w:r w:rsidR="00873A07" w:rsidRPr="00D52F35">
        <w:rPr>
          <w:rFonts w:eastAsiaTheme="majorEastAsia"/>
        </w:rPr>
        <w:t>49% of those aged 45 to 54 and 57% of those aged 55 to 66 ha</w:t>
      </w:r>
      <w:r>
        <w:rPr>
          <w:rFonts w:eastAsiaTheme="majorEastAsia"/>
        </w:rPr>
        <w:t>d</w:t>
      </w:r>
      <w:r w:rsidR="00873A07" w:rsidRPr="00D52F35">
        <w:rPr>
          <w:rFonts w:eastAsiaTheme="majorEastAsia"/>
        </w:rPr>
        <w:t xml:space="preserve"> a partial capacity to work.</w:t>
      </w:r>
      <w:r w:rsidR="005416F3" w:rsidRPr="005416F3">
        <w:rPr>
          <w:noProof/>
        </w:rPr>
        <w:t xml:space="preserve"> </w:t>
      </w:r>
    </w:p>
    <w:p w14:paraId="69CD84BD" w14:textId="2FAF823B" w:rsidR="002E0F4F" w:rsidRPr="00A13641" w:rsidRDefault="007855DD" w:rsidP="005E332C">
      <w:pPr>
        <w:pStyle w:val="FigureMainHeading"/>
      </w:pPr>
      <w:bookmarkStart w:id="53" w:name="_Ref153538575"/>
      <w:r>
        <w:t>Figure </w:t>
      </w:r>
      <w:r w:rsidR="00B80D45">
        <w:fldChar w:fldCharType="begin"/>
      </w:r>
      <w:r w:rsidR="00B80D45">
        <w:instrText xml:space="preserve"> STYLEREF 1 \s </w:instrText>
      </w:r>
      <w:r w:rsidR="00B80D45">
        <w:fldChar w:fldCharType="separate"/>
      </w:r>
      <w:r w:rsidR="00722C0A">
        <w:rPr>
          <w:noProof/>
        </w:rPr>
        <w:t>5</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2</w:t>
      </w:r>
      <w:r w:rsidR="00B80D45">
        <w:rPr>
          <w:noProof/>
        </w:rPr>
        <w:fldChar w:fldCharType="end"/>
      </w:r>
      <w:bookmarkEnd w:id="53"/>
      <w:r w:rsidR="005E332C">
        <w:t>:</w:t>
      </w:r>
      <w:r w:rsidR="005E332C">
        <w:tab/>
      </w:r>
      <w:r w:rsidR="00C95BE9">
        <w:t>W</w:t>
      </w:r>
      <w:r w:rsidR="00C95BE9" w:rsidRPr="00A13641">
        <w:t xml:space="preserve">ork capacity of </w:t>
      </w:r>
      <w:r w:rsidR="00C95BE9">
        <w:t xml:space="preserve">people aged 45 to 66 receiving </w:t>
      </w:r>
      <w:r w:rsidR="005E332C">
        <w:t>JobSeeker Payment</w:t>
      </w:r>
      <w:r w:rsidR="00C95BE9" w:rsidRPr="00A13641">
        <w:t xml:space="preserve"> at 30</w:t>
      </w:r>
      <w:r w:rsidR="00E46C6A">
        <w:t> June </w:t>
      </w:r>
      <w:r w:rsidR="00C95BE9" w:rsidRPr="00A13641">
        <w:t>2022</w:t>
      </w:r>
    </w:p>
    <w:p w14:paraId="3C521D7D" w14:textId="1C67F412" w:rsidR="00B04FCE" w:rsidRDefault="007A560F" w:rsidP="00C95BE9">
      <w:pPr>
        <w:pStyle w:val="ChartGraphic"/>
        <w:rPr>
          <w:noProof/>
        </w:rPr>
      </w:pPr>
      <w:r>
        <w:rPr>
          <w:noProof/>
        </w:rPr>
        <w:drawing>
          <wp:inline distT="0" distB="0" distL="0" distR="0" wp14:anchorId="1A7A4BD2" wp14:editId="28467CCC">
            <wp:extent cx="4319905" cy="1476375"/>
            <wp:effectExtent l="0" t="0" r="4445" b="0"/>
            <wp:docPr id="16" name="Chart 16" descr="This chart shows that a greater proportion of JSP recipients aged 55 to 66 have a partial capacity to work (57%), than JSP recipients aged 45 to 54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5783B73" w14:textId="7407020A" w:rsidR="00B04FCE" w:rsidRDefault="005835E0" w:rsidP="00EF5B7F">
      <w:pPr>
        <w:pStyle w:val="Heading2notnumbered"/>
      </w:pPr>
      <w:r>
        <w:lastRenderedPageBreak/>
        <w:t xml:space="preserve">Women </w:t>
      </w:r>
      <w:r w:rsidR="00D82E70" w:rsidRPr="00CC7E3C">
        <w:t>aged 45 to 66</w:t>
      </w:r>
      <w:r w:rsidR="00073B68" w:rsidRPr="00A6524C">
        <w:t xml:space="preserve"> </w:t>
      </w:r>
      <w:r>
        <w:t>receiving</w:t>
      </w:r>
      <w:r w:rsidR="00073B68" w:rsidRPr="00CC7E3C">
        <w:t xml:space="preserve"> </w:t>
      </w:r>
      <w:r w:rsidR="005E332C">
        <w:t>JobSeeker Payment</w:t>
      </w:r>
      <w:r w:rsidR="00073B68" w:rsidRPr="00CC7E3C">
        <w:t xml:space="preserve"> on 30</w:t>
      </w:r>
      <w:r w:rsidR="00E46C6A">
        <w:t> June </w:t>
      </w:r>
      <w:r w:rsidR="00073B68" w:rsidRPr="00CC7E3C">
        <w:t>2022</w:t>
      </w:r>
      <w:r w:rsidRPr="00A6524C">
        <w:t xml:space="preserve"> </w:t>
      </w:r>
      <w:r>
        <w:t>spent</w:t>
      </w:r>
      <w:r w:rsidR="00D82E70" w:rsidRPr="00CC3B1A">
        <w:t xml:space="preserve"> </w:t>
      </w:r>
      <w:r w:rsidR="00D82E70" w:rsidRPr="00CC7E3C">
        <w:t xml:space="preserve">longer </w:t>
      </w:r>
      <w:r w:rsidR="00D82E70" w:rsidRPr="00A6524C">
        <w:t xml:space="preserve">on income support over the </w:t>
      </w:r>
      <w:r>
        <w:t>previous</w:t>
      </w:r>
      <w:r w:rsidR="00D82E70" w:rsidRPr="00CC7E3C">
        <w:t xml:space="preserve"> 5</w:t>
      </w:r>
      <w:r w:rsidR="00E46C6A">
        <w:t> year</w:t>
      </w:r>
      <w:r w:rsidR="00D82E70" w:rsidRPr="00CC7E3C">
        <w:t>s</w:t>
      </w:r>
      <w:r w:rsidR="008333B7">
        <w:t xml:space="preserve"> </w:t>
      </w:r>
      <w:r>
        <w:t>than men</w:t>
      </w:r>
      <w:r w:rsidR="008333B7">
        <w:t>.</w:t>
      </w:r>
    </w:p>
    <w:p w14:paraId="40702FB5" w14:textId="317180EF" w:rsidR="00B04FCE" w:rsidRDefault="00A40D98" w:rsidP="004C7831">
      <w:pPr>
        <w:spacing w:after="120"/>
        <w:rPr>
          <w:rFonts w:asciiTheme="minorHAnsi" w:hAnsiTheme="minorHAnsi" w:cstheme="minorHAnsi"/>
        </w:rPr>
      </w:pPr>
      <w:r>
        <w:rPr>
          <w:rFonts w:asciiTheme="minorHAnsi" w:hAnsiTheme="minorHAnsi" w:cstheme="minorHAnsi"/>
        </w:rPr>
        <w:t>While generally p</w:t>
      </w:r>
      <w:r w:rsidR="008333B7">
        <w:rPr>
          <w:rFonts w:asciiTheme="minorHAnsi" w:hAnsiTheme="minorHAnsi" w:cstheme="minorHAnsi"/>
        </w:rPr>
        <w:t>eople wit</w:t>
      </w:r>
      <w:r w:rsidR="000E35BC">
        <w:rPr>
          <w:rFonts w:asciiTheme="minorHAnsi" w:hAnsiTheme="minorHAnsi" w:cstheme="minorHAnsi"/>
        </w:rPr>
        <w:t xml:space="preserve">h </w:t>
      </w:r>
      <w:r w:rsidR="00F35CDB">
        <w:rPr>
          <w:rFonts w:asciiTheme="minorHAnsi" w:hAnsiTheme="minorHAnsi" w:cstheme="minorHAnsi"/>
        </w:rPr>
        <w:t xml:space="preserve">a </w:t>
      </w:r>
      <w:r w:rsidR="000E35BC">
        <w:rPr>
          <w:rFonts w:asciiTheme="minorHAnsi" w:hAnsiTheme="minorHAnsi" w:cstheme="minorHAnsi"/>
        </w:rPr>
        <w:t>partial capacity to work spent</w:t>
      </w:r>
      <w:r w:rsidR="008333B7">
        <w:rPr>
          <w:rFonts w:asciiTheme="minorHAnsi" w:hAnsiTheme="minorHAnsi" w:cstheme="minorHAnsi"/>
        </w:rPr>
        <w:t xml:space="preserve"> longer on income support over the </w:t>
      </w:r>
      <w:r w:rsidR="005835E0">
        <w:rPr>
          <w:rFonts w:asciiTheme="minorHAnsi" w:hAnsiTheme="minorHAnsi" w:cstheme="minorHAnsi"/>
        </w:rPr>
        <w:t>previous</w:t>
      </w:r>
      <w:r w:rsidR="008333B7">
        <w:rPr>
          <w:rFonts w:asciiTheme="minorHAnsi" w:hAnsiTheme="minorHAnsi" w:cstheme="minorHAnsi"/>
        </w:rPr>
        <w:t xml:space="preserve"> 5</w:t>
      </w:r>
      <w:r w:rsidR="00E46C6A">
        <w:rPr>
          <w:rFonts w:asciiTheme="minorHAnsi" w:hAnsiTheme="minorHAnsi" w:cstheme="minorHAnsi"/>
        </w:rPr>
        <w:t> year</w:t>
      </w:r>
      <w:r w:rsidR="008333B7">
        <w:rPr>
          <w:rFonts w:asciiTheme="minorHAnsi" w:hAnsiTheme="minorHAnsi" w:cstheme="minorHAnsi"/>
        </w:rPr>
        <w:t>s than those with full</w:t>
      </w:r>
      <w:r w:rsidR="003A7608">
        <w:rPr>
          <w:rFonts w:asciiTheme="minorHAnsi" w:hAnsiTheme="minorHAnsi" w:cstheme="minorHAnsi"/>
        </w:rPr>
        <w:t xml:space="preserve"> </w:t>
      </w:r>
      <w:r w:rsidR="004D203D">
        <w:rPr>
          <w:rFonts w:asciiTheme="minorHAnsi" w:hAnsiTheme="minorHAnsi" w:cstheme="minorHAnsi"/>
        </w:rPr>
        <w:t>capacity</w:t>
      </w:r>
      <w:r w:rsidR="003A7608">
        <w:rPr>
          <w:rFonts w:asciiTheme="minorHAnsi" w:hAnsiTheme="minorHAnsi" w:cstheme="minorHAnsi"/>
        </w:rPr>
        <w:t xml:space="preserve"> to work</w:t>
      </w:r>
      <w:r>
        <w:rPr>
          <w:rFonts w:asciiTheme="minorHAnsi" w:hAnsiTheme="minorHAnsi" w:cstheme="minorHAnsi"/>
        </w:rPr>
        <w:t xml:space="preserve">, </w:t>
      </w:r>
      <w:r w:rsidR="003A7608">
        <w:rPr>
          <w:rFonts w:asciiTheme="minorHAnsi" w:hAnsiTheme="minorHAnsi" w:cstheme="minorHAnsi"/>
        </w:rPr>
        <w:t xml:space="preserve">women receiving </w:t>
      </w:r>
      <w:r w:rsidR="005E332C">
        <w:rPr>
          <w:rFonts w:asciiTheme="minorHAnsi" w:hAnsiTheme="minorHAnsi" w:cstheme="minorHAnsi"/>
        </w:rPr>
        <w:t>JobSeeker Payment</w:t>
      </w:r>
      <w:r w:rsidR="003A7608">
        <w:rPr>
          <w:rFonts w:asciiTheme="minorHAnsi" w:hAnsiTheme="minorHAnsi" w:cstheme="minorHAnsi"/>
        </w:rPr>
        <w:t xml:space="preserve"> </w:t>
      </w:r>
      <w:r w:rsidR="005835E0">
        <w:rPr>
          <w:rFonts w:asciiTheme="minorHAnsi" w:hAnsiTheme="minorHAnsi" w:cstheme="minorHAnsi"/>
        </w:rPr>
        <w:t>spent</w:t>
      </w:r>
      <w:r w:rsidR="00C8732C">
        <w:rPr>
          <w:rFonts w:asciiTheme="minorHAnsi" w:hAnsiTheme="minorHAnsi" w:cstheme="minorHAnsi"/>
        </w:rPr>
        <w:t xml:space="preserve"> longer on income support than men </w:t>
      </w:r>
      <w:r w:rsidR="003A7608">
        <w:rPr>
          <w:rFonts w:asciiTheme="minorHAnsi" w:hAnsiTheme="minorHAnsi" w:cstheme="minorHAnsi"/>
        </w:rPr>
        <w:t>with the same capacity to work</w:t>
      </w:r>
      <w:r w:rsidR="00C8732C">
        <w:rPr>
          <w:rFonts w:asciiTheme="minorHAnsi" w:hAnsiTheme="minorHAnsi" w:cstheme="minorHAnsi"/>
        </w:rPr>
        <w:t xml:space="preserve">. </w:t>
      </w:r>
      <w:r w:rsidR="005869D4">
        <w:rPr>
          <w:rFonts w:asciiTheme="minorHAnsi" w:hAnsiTheme="minorHAnsi" w:cstheme="minorHAnsi"/>
        </w:rPr>
        <w:t xml:space="preserve">As shown in </w:t>
      </w:r>
      <w:r w:rsidR="001F1413">
        <w:rPr>
          <w:rFonts w:asciiTheme="minorHAnsi" w:hAnsiTheme="minorHAnsi" w:cstheme="minorHAnsi"/>
        </w:rPr>
        <w:fldChar w:fldCharType="begin"/>
      </w:r>
      <w:r w:rsidR="001F1413">
        <w:rPr>
          <w:rFonts w:asciiTheme="minorHAnsi" w:hAnsiTheme="minorHAnsi" w:cstheme="minorHAnsi"/>
        </w:rPr>
        <w:instrText xml:space="preserve"> REF _Ref153296681 \h  \* MERGEFORMAT </w:instrText>
      </w:r>
      <w:r w:rsidR="001F1413">
        <w:rPr>
          <w:rFonts w:asciiTheme="minorHAnsi" w:hAnsiTheme="minorHAnsi" w:cstheme="minorHAnsi"/>
        </w:rPr>
      </w:r>
      <w:r w:rsidR="001F1413">
        <w:rPr>
          <w:rFonts w:asciiTheme="minorHAnsi" w:hAnsiTheme="minorHAnsi" w:cstheme="minorHAnsi"/>
        </w:rPr>
        <w:fldChar w:fldCharType="separate"/>
      </w:r>
      <w:r w:rsidR="00722C0A">
        <w:t>Figure 5.3</w:t>
      </w:r>
      <w:r w:rsidR="001F1413">
        <w:rPr>
          <w:rFonts w:asciiTheme="minorHAnsi" w:hAnsiTheme="minorHAnsi" w:cstheme="minorHAnsi"/>
        </w:rPr>
        <w:fldChar w:fldCharType="end"/>
      </w:r>
      <w:r w:rsidR="005869D4">
        <w:rPr>
          <w:rFonts w:asciiTheme="minorHAnsi" w:hAnsiTheme="minorHAnsi" w:cstheme="minorHAnsi"/>
        </w:rPr>
        <w:t>, w</w:t>
      </w:r>
      <w:r w:rsidR="00C8732C">
        <w:rPr>
          <w:rFonts w:asciiTheme="minorHAnsi" w:hAnsiTheme="minorHAnsi" w:cstheme="minorHAnsi"/>
        </w:rPr>
        <w:t xml:space="preserve">omen with </w:t>
      </w:r>
      <w:r w:rsidR="005835E0">
        <w:rPr>
          <w:rFonts w:asciiTheme="minorHAnsi" w:hAnsiTheme="minorHAnsi" w:cstheme="minorHAnsi"/>
        </w:rPr>
        <w:t xml:space="preserve">a </w:t>
      </w:r>
      <w:r w:rsidR="00C8732C">
        <w:rPr>
          <w:rFonts w:asciiTheme="minorHAnsi" w:hAnsiTheme="minorHAnsi" w:cstheme="minorHAnsi"/>
        </w:rPr>
        <w:t>partial capacity to work spent an average of 4</w:t>
      </w:r>
      <w:r w:rsidR="00E46C6A">
        <w:rPr>
          <w:rFonts w:asciiTheme="minorHAnsi" w:hAnsiTheme="minorHAnsi" w:cstheme="minorHAnsi"/>
        </w:rPr>
        <w:t> year</w:t>
      </w:r>
      <w:r w:rsidR="00C8732C">
        <w:rPr>
          <w:rFonts w:asciiTheme="minorHAnsi" w:hAnsiTheme="minorHAnsi" w:cstheme="minorHAnsi"/>
        </w:rPr>
        <w:t xml:space="preserve">s on income support over the </w:t>
      </w:r>
      <w:r w:rsidR="005835E0">
        <w:rPr>
          <w:rFonts w:asciiTheme="minorHAnsi" w:hAnsiTheme="minorHAnsi" w:cstheme="minorHAnsi"/>
        </w:rPr>
        <w:t>previous</w:t>
      </w:r>
      <w:r w:rsidR="00C8732C">
        <w:rPr>
          <w:rFonts w:asciiTheme="minorHAnsi" w:hAnsiTheme="minorHAnsi" w:cstheme="minorHAnsi"/>
        </w:rPr>
        <w:t xml:space="preserve"> 5</w:t>
      </w:r>
      <w:r w:rsidR="00E46C6A">
        <w:rPr>
          <w:rFonts w:asciiTheme="minorHAnsi" w:hAnsiTheme="minorHAnsi" w:cstheme="minorHAnsi"/>
        </w:rPr>
        <w:t> year</w:t>
      </w:r>
      <w:r w:rsidR="00C8732C">
        <w:rPr>
          <w:rFonts w:asciiTheme="minorHAnsi" w:hAnsiTheme="minorHAnsi" w:cstheme="minorHAnsi"/>
        </w:rPr>
        <w:t xml:space="preserve">s, compared to </w:t>
      </w:r>
      <w:r w:rsidR="005835E0">
        <w:rPr>
          <w:rFonts w:asciiTheme="minorHAnsi" w:hAnsiTheme="minorHAnsi" w:cstheme="minorHAnsi"/>
        </w:rPr>
        <w:t>3.8</w:t>
      </w:r>
      <w:r w:rsidR="00E46C6A">
        <w:rPr>
          <w:rFonts w:asciiTheme="minorHAnsi" w:hAnsiTheme="minorHAnsi" w:cstheme="minorHAnsi"/>
        </w:rPr>
        <w:t> year</w:t>
      </w:r>
      <w:r w:rsidR="005835E0">
        <w:rPr>
          <w:rFonts w:asciiTheme="minorHAnsi" w:hAnsiTheme="minorHAnsi" w:cstheme="minorHAnsi"/>
        </w:rPr>
        <w:t xml:space="preserve">s for </w:t>
      </w:r>
      <w:r w:rsidR="00C8732C">
        <w:rPr>
          <w:rFonts w:asciiTheme="minorHAnsi" w:hAnsiTheme="minorHAnsi" w:cstheme="minorHAnsi"/>
        </w:rPr>
        <w:t>men. People with full capacity to work spent slight</w:t>
      </w:r>
      <w:r w:rsidR="00F35CDB">
        <w:rPr>
          <w:rFonts w:asciiTheme="minorHAnsi" w:hAnsiTheme="minorHAnsi" w:cstheme="minorHAnsi"/>
        </w:rPr>
        <w:t>ly</w:t>
      </w:r>
      <w:r w:rsidR="00C8732C">
        <w:rPr>
          <w:rFonts w:asciiTheme="minorHAnsi" w:hAnsiTheme="minorHAnsi" w:cstheme="minorHAnsi"/>
        </w:rPr>
        <w:t xml:space="preserve"> less time on income </w:t>
      </w:r>
      <w:r w:rsidR="005747FC">
        <w:rPr>
          <w:rFonts w:asciiTheme="minorHAnsi" w:hAnsiTheme="minorHAnsi" w:cstheme="minorHAnsi"/>
        </w:rPr>
        <w:t>support (3.2</w:t>
      </w:r>
      <w:r w:rsidR="00E46C6A">
        <w:rPr>
          <w:rFonts w:asciiTheme="minorHAnsi" w:hAnsiTheme="minorHAnsi" w:cstheme="minorHAnsi"/>
        </w:rPr>
        <w:t> year</w:t>
      </w:r>
      <w:r w:rsidR="005747FC">
        <w:rPr>
          <w:rFonts w:asciiTheme="minorHAnsi" w:hAnsiTheme="minorHAnsi" w:cstheme="minorHAnsi"/>
        </w:rPr>
        <w:t>s for women and 2.9</w:t>
      </w:r>
      <w:r w:rsidR="00E46C6A">
        <w:rPr>
          <w:rFonts w:asciiTheme="minorHAnsi" w:hAnsiTheme="minorHAnsi" w:cstheme="minorHAnsi"/>
        </w:rPr>
        <w:t> year</w:t>
      </w:r>
      <w:r w:rsidR="005747FC">
        <w:rPr>
          <w:rFonts w:asciiTheme="minorHAnsi" w:hAnsiTheme="minorHAnsi" w:cstheme="minorHAnsi"/>
        </w:rPr>
        <w:t>s for men)</w:t>
      </w:r>
      <w:r w:rsidR="00C8732C">
        <w:rPr>
          <w:rFonts w:asciiTheme="minorHAnsi" w:hAnsiTheme="minorHAnsi" w:cstheme="minorHAnsi"/>
        </w:rPr>
        <w:t xml:space="preserve">. </w:t>
      </w:r>
      <w:r w:rsidR="005747FC">
        <w:rPr>
          <w:rFonts w:asciiTheme="minorHAnsi" w:hAnsiTheme="minorHAnsi" w:cstheme="minorHAnsi"/>
        </w:rPr>
        <w:t xml:space="preserve">Over 85% of time on income support </w:t>
      </w:r>
      <w:r w:rsidR="00F35CDB">
        <w:rPr>
          <w:rFonts w:asciiTheme="minorHAnsi" w:hAnsiTheme="minorHAnsi" w:cstheme="minorHAnsi"/>
        </w:rPr>
        <w:t>was</w:t>
      </w:r>
      <w:r w:rsidR="005835E0">
        <w:rPr>
          <w:rFonts w:asciiTheme="minorHAnsi" w:hAnsiTheme="minorHAnsi" w:cstheme="minorHAnsi"/>
        </w:rPr>
        <w:t xml:space="preserve"> on</w:t>
      </w:r>
      <w:r w:rsidR="005747FC">
        <w:rPr>
          <w:rFonts w:asciiTheme="minorHAnsi" w:hAnsiTheme="minorHAnsi" w:cstheme="minorHAnsi"/>
        </w:rPr>
        <w:t xml:space="preserve"> </w:t>
      </w:r>
      <w:r w:rsidR="005E332C">
        <w:rPr>
          <w:rFonts w:asciiTheme="minorHAnsi" w:hAnsiTheme="minorHAnsi" w:cstheme="minorHAnsi"/>
        </w:rPr>
        <w:t>JobSeeker Payment</w:t>
      </w:r>
      <w:r w:rsidR="005747FC">
        <w:rPr>
          <w:rFonts w:asciiTheme="minorHAnsi" w:hAnsiTheme="minorHAnsi" w:cstheme="minorHAnsi"/>
        </w:rPr>
        <w:t>.</w:t>
      </w:r>
    </w:p>
    <w:p w14:paraId="76A4D0FE" w14:textId="738E6E88" w:rsidR="001F1413" w:rsidRPr="00A13641" w:rsidRDefault="007855DD" w:rsidP="005E332C">
      <w:pPr>
        <w:pStyle w:val="FigureMainHeading"/>
      </w:pPr>
      <w:bookmarkStart w:id="54" w:name="_Ref153296681"/>
      <w:r>
        <w:t>Figure </w:t>
      </w:r>
      <w:r w:rsidR="00B80D45">
        <w:fldChar w:fldCharType="begin"/>
      </w:r>
      <w:r w:rsidR="00B80D45">
        <w:instrText xml:space="preserve"> STYLEREF 1 \s </w:instrText>
      </w:r>
      <w:r w:rsidR="00B80D45">
        <w:fldChar w:fldCharType="separate"/>
      </w:r>
      <w:r w:rsidR="00722C0A">
        <w:rPr>
          <w:noProof/>
        </w:rPr>
        <w:t>5</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3</w:t>
      </w:r>
      <w:r w:rsidR="00B80D45">
        <w:rPr>
          <w:noProof/>
        </w:rPr>
        <w:fldChar w:fldCharType="end"/>
      </w:r>
      <w:bookmarkEnd w:id="54"/>
      <w:r w:rsidR="005E332C">
        <w:t>:</w:t>
      </w:r>
      <w:r w:rsidR="005E332C">
        <w:tab/>
      </w:r>
      <w:r w:rsidR="001F1413" w:rsidRPr="00A13641">
        <w:t xml:space="preserve">Average income support payment usage over the </w:t>
      </w:r>
      <w:r w:rsidR="00C95BE9" w:rsidRPr="00A13641">
        <w:t>previous 5</w:t>
      </w:r>
      <w:r w:rsidR="00E46C6A">
        <w:t> year</w:t>
      </w:r>
      <w:r w:rsidR="00C95BE9" w:rsidRPr="00A13641">
        <w:t>s fo</w:t>
      </w:r>
      <w:r w:rsidR="00C95BE9">
        <w:t>r</w:t>
      </w:r>
      <w:r w:rsidR="00C95BE9" w:rsidRPr="00A13641">
        <w:t xml:space="preserve"> people aged 45 to 66</w:t>
      </w:r>
    </w:p>
    <w:p w14:paraId="65AF4997" w14:textId="77363C4E" w:rsidR="00B04FCE" w:rsidRPr="006A01C2" w:rsidRDefault="00EA21E7" w:rsidP="006A01C2">
      <w:pPr>
        <w:pStyle w:val="ChartGraphic"/>
      </w:pPr>
      <w:r>
        <w:rPr>
          <w:noProof/>
        </w:rPr>
        <w:drawing>
          <wp:inline distT="0" distB="0" distL="0" distR="0" wp14:anchorId="366AA93C" wp14:editId="11401510">
            <wp:extent cx="4319905" cy="2895600"/>
            <wp:effectExtent l="0" t="0" r="0" b="0"/>
            <wp:docPr id="45" name="Chart 45" descr="This chart shows the average time receiving income support for people aged 45 to 66 over the previous 5 years (in years), split by gender and payment category:&#10;&#10;- JSP recipients with a partial capacity to work: 4 (female), 3.8 (male)&#10;- JSP recipients with a full capacity to work: 3.2 (female), 2.9 (male)&#10;- People not on income support: 0.2 (female), 0.3 (male)"/>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1D83C04" w14:textId="434ABDE9" w:rsidR="008B69F7" w:rsidRDefault="00027093" w:rsidP="00EF5B7F">
      <w:pPr>
        <w:pStyle w:val="Heading2notnumbered"/>
      </w:pPr>
      <w:r w:rsidRPr="005869D4">
        <w:t xml:space="preserve">Women </w:t>
      </w:r>
      <w:r w:rsidR="00DD012C">
        <w:t>aged 45 to 66</w:t>
      </w:r>
      <w:r w:rsidR="002B0950">
        <w:t xml:space="preserve"> receiving </w:t>
      </w:r>
      <w:r w:rsidR="005E332C">
        <w:t>JobSeeker Payment</w:t>
      </w:r>
      <w:r w:rsidR="002B0950">
        <w:t xml:space="preserve"> on 30</w:t>
      </w:r>
      <w:r w:rsidR="00E46C6A">
        <w:t> June </w:t>
      </w:r>
      <w:r w:rsidR="002B0950">
        <w:t>2022 are projected to spend longer on income support in the next 5</w:t>
      </w:r>
      <w:r w:rsidR="00E46C6A">
        <w:t> year</w:t>
      </w:r>
      <w:r w:rsidR="002B0950">
        <w:t>s than men.</w:t>
      </w:r>
    </w:p>
    <w:p w14:paraId="57D39046" w14:textId="300AFF12" w:rsidR="00B04FCE" w:rsidRDefault="00B607C4" w:rsidP="00D27014">
      <w:pPr>
        <w:spacing w:after="120"/>
        <w:rPr>
          <w:noProof/>
        </w:rPr>
      </w:pPr>
      <w:r>
        <w:rPr>
          <w:rFonts w:asciiTheme="minorHAnsi" w:hAnsiTheme="minorHAnsi" w:cstheme="minorHAnsi"/>
          <w:color w:val="000000" w:themeColor="text1"/>
        </w:rPr>
        <w:t xml:space="preserve">As shown in </w:t>
      </w:r>
      <w:r w:rsidR="00A237FB">
        <w:rPr>
          <w:rFonts w:asciiTheme="minorHAnsi" w:hAnsiTheme="minorHAnsi" w:cstheme="minorHAnsi"/>
          <w:color w:val="000000" w:themeColor="text1"/>
        </w:rPr>
        <w:fldChar w:fldCharType="begin"/>
      </w:r>
      <w:r w:rsidR="00A237FB">
        <w:rPr>
          <w:rFonts w:asciiTheme="minorHAnsi" w:hAnsiTheme="minorHAnsi" w:cstheme="minorHAnsi"/>
          <w:color w:val="000000" w:themeColor="text1"/>
        </w:rPr>
        <w:instrText xml:space="preserve"> REF _Ref153297390 \h  \* MERGEFORMAT </w:instrText>
      </w:r>
      <w:r w:rsidR="00A237FB">
        <w:rPr>
          <w:rFonts w:asciiTheme="minorHAnsi" w:hAnsiTheme="minorHAnsi" w:cstheme="minorHAnsi"/>
          <w:color w:val="000000" w:themeColor="text1"/>
        </w:rPr>
      </w:r>
      <w:r w:rsidR="00A237FB">
        <w:rPr>
          <w:rFonts w:asciiTheme="minorHAnsi" w:hAnsiTheme="minorHAnsi" w:cstheme="minorHAnsi"/>
          <w:color w:val="000000" w:themeColor="text1"/>
        </w:rPr>
        <w:fldChar w:fldCharType="separate"/>
      </w:r>
      <w:r w:rsidR="00722C0A" w:rsidRPr="00722C0A">
        <w:rPr>
          <w:rFonts w:asciiTheme="minorHAnsi" w:hAnsiTheme="minorHAnsi" w:cstheme="minorHAnsi"/>
          <w:color w:val="000000" w:themeColor="text1"/>
        </w:rPr>
        <w:t>Figure 5.4</w:t>
      </w:r>
      <w:r w:rsidR="00A237FB">
        <w:rPr>
          <w:rFonts w:asciiTheme="minorHAnsi" w:hAnsiTheme="minorHAnsi" w:cstheme="minorHAnsi"/>
          <w:color w:val="000000" w:themeColor="text1"/>
        </w:rPr>
        <w:fldChar w:fldCharType="end"/>
      </w:r>
      <w:r w:rsidR="008B69F7">
        <w:rPr>
          <w:rFonts w:asciiTheme="minorHAnsi" w:hAnsiTheme="minorHAnsi" w:cstheme="minorHAnsi"/>
          <w:color w:val="000000" w:themeColor="text1"/>
        </w:rPr>
        <w:t>, people with a partial capacity to work are projected to spen</w:t>
      </w:r>
      <w:r w:rsidR="005869D4">
        <w:rPr>
          <w:rFonts w:asciiTheme="minorHAnsi" w:hAnsiTheme="minorHAnsi" w:cstheme="minorHAnsi"/>
          <w:color w:val="000000" w:themeColor="text1"/>
        </w:rPr>
        <w:t>d</w:t>
      </w:r>
      <w:r w:rsidR="008B69F7">
        <w:rPr>
          <w:rFonts w:asciiTheme="minorHAnsi" w:hAnsiTheme="minorHAnsi" w:cstheme="minorHAnsi"/>
          <w:color w:val="000000" w:themeColor="text1"/>
        </w:rPr>
        <w:t xml:space="preserve"> longer on income support in the next 5</w:t>
      </w:r>
      <w:r w:rsidR="00E46C6A">
        <w:rPr>
          <w:rFonts w:asciiTheme="minorHAnsi" w:hAnsiTheme="minorHAnsi" w:cstheme="minorHAnsi"/>
          <w:color w:val="000000" w:themeColor="text1"/>
        </w:rPr>
        <w:t> year</w:t>
      </w:r>
      <w:r w:rsidR="002B0950">
        <w:rPr>
          <w:rFonts w:asciiTheme="minorHAnsi" w:hAnsiTheme="minorHAnsi" w:cstheme="minorHAnsi"/>
          <w:color w:val="000000" w:themeColor="text1"/>
        </w:rPr>
        <w:t>s than</w:t>
      </w:r>
      <w:r w:rsidR="008B69F7">
        <w:rPr>
          <w:rFonts w:asciiTheme="minorHAnsi" w:hAnsiTheme="minorHAnsi" w:cstheme="minorHAnsi"/>
          <w:color w:val="000000" w:themeColor="text1"/>
        </w:rPr>
        <w:t xml:space="preserve"> those with full capacity to work. </w:t>
      </w:r>
      <w:r w:rsidR="005869D4">
        <w:rPr>
          <w:rFonts w:asciiTheme="minorHAnsi" w:hAnsiTheme="minorHAnsi" w:cstheme="minorHAnsi"/>
          <w:color w:val="000000" w:themeColor="text1"/>
        </w:rPr>
        <w:t>I</w:t>
      </w:r>
      <w:r w:rsidR="002B0950">
        <w:rPr>
          <w:rFonts w:asciiTheme="minorHAnsi" w:hAnsiTheme="minorHAnsi" w:cstheme="minorHAnsi"/>
          <w:color w:val="000000" w:themeColor="text1"/>
        </w:rPr>
        <w:t>t is projected</w:t>
      </w:r>
      <w:r w:rsidR="008B69F7">
        <w:rPr>
          <w:rFonts w:asciiTheme="minorHAnsi" w:hAnsiTheme="minorHAnsi" w:cstheme="minorHAnsi"/>
          <w:color w:val="000000" w:themeColor="text1"/>
        </w:rPr>
        <w:t xml:space="preserve"> that women</w:t>
      </w:r>
      <w:r w:rsidR="005869D4">
        <w:rPr>
          <w:rFonts w:asciiTheme="minorHAnsi" w:hAnsiTheme="minorHAnsi" w:cstheme="minorHAnsi"/>
          <w:color w:val="000000" w:themeColor="text1"/>
        </w:rPr>
        <w:t xml:space="preserve"> will</w:t>
      </w:r>
      <w:r w:rsidR="008B69F7">
        <w:rPr>
          <w:rFonts w:asciiTheme="minorHAnsi" w:hAnsiTheme="minorHAnsi" w:cstheme="minorHAnsi"/>
          <w:color w:val="000000" w:themeColor="text1"/>
        </w:rPr>
        <w:t xml:space="preserve"> spend longer on income support than men</w:t>
      </w:r>
      <w:r w:rsidR="002B0950">
        <w:rPr>
          <w:rFonts w:asciiTheme="minorHAnsi" w:hAnsiTheme="minorHAnsi" w:cstheme="minorHAnsi"/>
          <w:color w:val="000000" w:themeColor="text1"/>
        </w:rPr>
        <w:t xml:space="preserve"> over the next 5</w:t>
      </w:r>
      <w:r w:rsidR="00E46C6A">
        <w:rPr>
          <w:rFonts w:asciiTheme="minorHAnsi" w:hAnsiTheme="minorHAnsi" w:cstheme="minorHAnsi"/>
          <w:color w:val="000000" w:themeColor="text1"/>
        </w:rPr>
        <w:t> year</w:t>
      </w:r>
      <w:r w:rsidR="002B0950">
        <w:rPr>
          <w:rFonts w:asciiTheme="minorHAnsi" w:hAnsiTheme="minorHAnsi" w:cstheme="minorHAnsi"/>
          <w:color w:val="000000" w:themeColor="text1"/>
        </w:rPr>
        <w:t>s</w:t>
      </w:r>
      <w:r w:rsidR="008B69F7">
        <w:rPr>
          <w:rFonts w:asciiTheme="minorHAnsi" w:hAnsiTheme="minorHAnsi" w:cstheme="minorHAnsi"/>
          <w:color w:val="000000" w:themeColor="text1"/>
        </w:rPr>
        <w:t xml:space="preserve"> regardless of capacity to work. </w:t>
      </w:r>
      <w:r w:rsidR="002B0950">
        <w:rPr>
          <w:rFonts w:asciiTheme="minorHAnsi" w:hAnsiTheme="minorHAnsi" w:cstheme="minorHAnsi"/>
          <w:color w:val="000000" w:themeColor="text1"/>
        </w:rPr>
        <w:t>In the next 5</w:t>
      </w:r>
      <w:r w:rsidR="00E46C6A">
        <w:rPr>
          <w:rFonts w:asciiTheme="minorHAnsi" w:hAnsiTheme="minorHAnsi" w:cstheme="minorHAnsi"/>
          <w:color w:val="000000" w:themeColor="text1"/>
        </w:rPr>
        <w:t> year</w:t>
      </w:r>
      <w:r w:rsidR="002B0950">
        <w:rPr>
          <w:rFonts w:asciiTheme="minorHAnsi" w:hAnsiTheme="minorHAnsi" w:cstheme="minorHAnsi"/>
          <w:color w:val="000000" w:themeColor="text1"/>
        </w:rPr>
        <w:t>s, women with a partial capacity to work are projected to spend an average of 4.2</w:t>
      </w:r>
      <w:r w:rsidR="00E46C6A">
        <w:rPr>
          <w:rFonts w:asciiTheme="minorHAnsi" w:hAnsiTheme="minorHAnsi" w:cstheme="minorHAnsi"/>
          <w:color w:val="000000" w:themeColor="text1"/>
        </w:rPr>
        <w:t> year</w:t>
      </w:r>
      <w:r w:rsidR="002B0950">
        <w:rPr>
          <w:rFonts w:asciiTheme="minorHAnsi" w:hAnsiTheme="minorHAnsi" w:cstheme="minorHAnsi"/>
          <w:color w:val="000000" w:themeColor="text1"/>
        </w:rPr>
        <w:t>s on income support, compared to 4</w:t>
      </w:r>
      <w:r w:rsidR="00E46C6A">
        <w:rPr>
          <w:rFonts w:asciiTheme="minorHAnsi" w:hAnsiTheme="minorHAnsi" w:cstheme="minorHAnsi"/>
          <w:color w:val="000000" w:themeColor="text1"/>
        </w:rPr>
        <w:t> year</w:t>
      </w:r>
      <w:r w:rsidR="002B0950">
        <w:rPr>
          <w:rFonts w:asciiTheme="minorHAnsi" w:hAnsiTheme="minorHAnsi" w:cstheme="minorHAnsi"/>
          <w:color w:val="000000" w:themeColor="text1"/>
        </w:rPr>
        <w:t>s for men.</w:t>
      </w:r>
      <w:r w:rsidR="009263FE">
        <w:rPr>
          <w:rFonts w:asciiTheme="minorHAnsi" w:hAnsiTheme="minorHAnsi" w:cstheme="minorHAnsi"/>
          <w:color w:val="000000" w:themeColor="text1"/>
        </w:rPr>
        <w:t xml:space="preserve"> People with full capacity to work are projected to spend slightly less time on income support (3.7</w:t>
      </w:r>
      <w:r w:rsidR="00E46C6A">
        <w:rPr>
          <w:rFonts w:asciiTheme="minorHAnsi" w:hAnsiTheme="minorHAnsi" w:cstheme="minorHAnsi"/>
          <w:color w:val="000000" w:themeColor="text1"/>
        </w:rPr>
        <w:t> year</w:t>
      </w:r>
      <w:r w:rsidR="009263FE">
        <w:rPr>
          <w:rFonts w:asciiTheme="minorHAnsi" w:hAnsiTheme="minorHAnsi" w:cstheme="minorHAnsi"/>
          <w:color w:val="000000" w:themeColor="text1"/>
        </w:rPr>
        <w:t>s for women and 3.4</w:t>
      </w:r>
      <w:r w:rsidR="00E46C6A">
        <w:rPr>
          <w:rFonts w:asciiTheme="minorHAnsi" w:hAnsiTheme="minorHAnsi" w:cstheme="minorHAnsi"/>
          <w:color w:val="000000" w:themeColor="text1"/>
        </w:rPr>
        <w:t> year</w:t>
      </w:r>
      <w:r w:rsidR="009263FE">
        <w:rPr>
          <w:rFonts w:asciiTheme="minorHAnsi" w:hAnsiTheme="minorHAnsi" w:cstheme="minorHAnsi"/>
          <w:color w:val="000000" w:themeColor="text1"/>
        </w:rPr>
        <w:t>s for men).</w:t>
      </w:r>
    </w:p>
    <w:p w14:paraId="09FDF985" w14:textId="194102B9" w:rsidR="002E0F4F" w:rsidRPr="00A13641" w:rsidRDefault="007855DD" w:rsidP="005E332C">
      <w:pPr>
        <w:pStyle w:val="FigureMainHeading"/>
      </w:pPr>
      <w:bookmarkStart w:id="55" w:name="_Ref153297390"/>
      <w:r>
        <w:t>Figure </w:t>
      </w:r>
      <w:r w:rsidR="00B80D45">
        <w:fldChar w:fldCharType="begin"/>
      </w:r>
      <w:r w:rsidR="00B80D45">
        <w:instrText xml:space="preserve"> STYLEREF 1 \s </w:instrText>
      </w:r>
      <w:r w:rsidR="00B80D45">
        <w:fldChar w:fldCharType="separate"/>
      </w:r>
      <w:r w:rsidR="00722C0A">
        <w:rPr>
          <w:noProof/>
        </w:rPr>
        <w:t>5</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4</w:t>
      </w:r>
      <w:r w:rsidR="00B80D45">
        <w:rPr>
          <w:noProof/>
        </w:rPr>
        <w:fldChar w:fldCharType="end"/>
      </w:r>
      <w:bookmarkEnd w:id="55"/>
      <w:r w:rsidR="005E332C">
        <w:t>:</w:t>
      </w:r>
      <w:r w:rsidR="005E332C">
        <w:tab/>
      </w:r>
      <w:r w:rsidR="002E0F4F" w:rsidRPr="00A13641">
        <w:t xml:space="preserve">Average projected time </w:t>
      </w:r>
      <w:r w:rsidR="00C95BE9" w:rsidRPr="00A13641">
        <w:t>receiving income support over the next 5</w:t>
      </w:r>
      <w:r w:rsidR="00E46C6A">
        <w:t> year</w:t>
      </w:r>
      <w:r w:rsidR="00C95BE9" w:rsidRPr="00A13641">
        <w:t>s for people aged 45 to 66</w:t>
      </w:r>
    </w:p>
    <w:p w14:paraId="04C47EBF" w14:textId="102058FD" w:rsidR="00B04FCE" w:rsidRPr="006A01C2" w:rsidRDefault="008B7540" w:rsidP="006A01C2">
      <w:pPr>
        <w:pStyle w:val="ChartGraphic"/>
      </w:pPr>
      <w:r>
        <w:rPr>
          <w:noProof/>
        </w:rPr>
        <w:drawing>
          <wp:inline distT="0" distB="0" distL="0" distR="0" wp14:anchorId="56CB6425" wp14:editId="452F6AD7">
            <wp:extent cx="4319905" cy="3009900"/>
            <wp:effectExtent l="0" t="0" r="0" b="0"/>
            <wp:docPr id="254" name="Chart 254" descr="This chart shows the average projected time receiving income support for people aged 45 to 66 over the next 5 years (in years), split by gender and payment category:&#10;&#10;- JSP recipients with a partial capacity to work: 4.2 (female), 4 (male)&#10;- JSP recipients with a full capacity to work: 3.7 (female), 3.4 (male)&#10;- People not on income support: 0.3 (female), 0.2 (male)"/>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2E01412" w14:textId="5C5721B5" w:rsidR="00DD012C" w:rsidRPr="00A13641" w:rsidRDefault="00DD012C" w:rsidP="00EF5B7F">
      <w:pPr>
        <w:pStyle w:val="Heading2notnumbered"/>
      </w:pPr>
      <w:r w:rsidRPr="00A13641">
        <w:lastRenderedPageBreak/>
        <w:t xml:space="preserve">People aged 45 to 66 receiving </w:t>
      </w:r>
      <w:r w:rsidR="005E332C">
        <w:t>JobSeeker Payment</w:t>
      </w:r>
      <w:r w:rsidR="00EB755C" w:rsidRPr="00A13641">
        <w:t xml:space="preserve"> with </w:t>
      </w:r>
      <w:r w:rsidR="005869D4" w:rsidRPr="00A13641">
        <w:t>a</w:t>
      </w:r>
      <w:r w:rsidR="00EB755C" w:rsidRPr="00A13641">
        <w:t xml:space="preserve"> partial capacity to work</w:t>
      </w:r>
      <w:r w:rsidRPr="00A13641">
        <w:t xml:space="preserve"> on 30</w:t>
      </w:r>
      <w:r w:rsidR="00E46C6A">
        <w:t> June </w:t>
      </w:r>
      <w:r w:rsidRPr="00A13641">
        <w:t xml:space="preserve">2022 </w:t>
      </w:r>
      <w:r w:rsidR="00EB755C" w:rsidRPr="00A13641">
        <w:t xml:space="preserve">are projected to have </w:t>
      </w:r>
      <w:r w:rsidR="005869D4" w:rsidRPr="00A13641">
        <w:t xml:space="preserve">a </w:t>
      </w:r>
      <w:r w:rsidR="00EB755C" w:rsidRPr="00A13641">
        <w:t>higher Lifetime Cost than those with full capacity to work and those not on income support.</w:t>
      </w:r>
      <w:r w:rsidR="007A3B38" w:rsidRPr="00A13641">
        <w:t xml:space="preserve"> Women are projected to have a higher average Lifetime Cost than men.</w:t>
      </w:r>
    </w:p>
    <w:p w14:paraId="69E967A4" w14:textId="026DAECA" w:rsidR="00B04FCE" w:rsidRDefault="00EB755C" w:rsidP="006062E3">
      <w:pPr>
        <w:spacing w:after="0"/>
        <w:rPr>
          <w:rFonts w:asciiTheme="minorHAnsi" w:hAnsiTheme="minorHAnsi" w:cstheme="minorHAnsi"/>
        </w:rPr>
      </w:pPr>
      <w:r w:rsidRPr="006062E3">
        <w:rPr>
          <w:rFonts w:asciiTheme="minorHAnsi" w:hAnsiTheme="minorHAnsi" w:cstheme="minorHAnsi"/>
        </w:rPr>
        <w:t>As sho</w:t>
      </w:r>
      <w:r w:rsidR="00B607C4" w:rsidRPr="00B607C4">
        <w:rPr>
          <w:rFonts w:asciiTheme="minorHAnsi" w:hAnsiTheme="minorHAnsi" w:cstheme="minorHAnsi"/>
        </w:rPr>
        <w:t xml:space="preserve">wn in </w:t>
      </w:r>
      <w:r w:rsidR="008903D1">
        <w:rPr>
          <w:rFonts w:asciiTheme="minorHAnsi" w:hAnsiTheme="minorHAnsi" w:cstheme="minorHAnsi"/>
        </w:rPr>
        <w:fldChar w:fldCharType="begin"/>
      </w:r>
      <w:r w:rsidR="008903D1">
        <w:rPr>
          <w:rFonts w:asciiTheme="minorHAnsi" w:hAnsiTheme="minorHAnsi" w:cstheme="minorHAnsi"/>
        </w:rPr>
        <w:instrText xml:space="preserve"> REF _Ref153298072 \h  \* MERGEFORMAT </w:instrText>
      </w:r>
      <w:r w:rsidR="008903D1">
        <w:rPr>
          <w:rFonts w:asciiTheme="minorHAnsi" w:hAnsiTheme="minorHAnsi" w:cstheme="minorHAnsi"/>
        </w:rPr>
      </w:r>
      <w:r w:rsidR="008903D1">
        <w:rPr>
          <w:rFonts w:asciiTheme="minorHAnsi" w:hAnsiTheme="minorHAnsi" w:cstheme="minorHAnsi"/>
        </w:rPr>
        <w:fldChar w:fldCharType="separate"/>
      </w:r>
      <w:r w:rsidR="00722C0A" w:rsidRPr="00722C0A">
        <w:rPr>
          <w:rFonts w:asciiTheme="minorHAnsi" w:hAnsiTheme="minorHAnsi" w:cstheme="minorHAnsi"/>
        </w:rPr>
        <w:t>Figure 5.5</w:t>
      </w:r>
      <w:r w:rsidR="008903D1">
        <w:rPr>
          <w:rFonts w:asciiTheme="minorHAnsi" w:hAnsiTheme="minorHAnsi" w:cstheme="minorHAnsi"/>
        </w:rPr>
        <w:fldChar w:fldCharType="end"/>
      </w:r>
      <w:r w:rsidRPr="006062E3">
        <w:rPr>
          <w:rFonts w:asciiTheme="minorHAnsi" w:hAnsiTheme="minorHAnsi" w:cstheme="minorHAnsi"/>
        </w:rPr>
        <w:t xml:space="preserve">, </w:t>
      </w:r>
      <w:r w:rsidR="006062E3">
        <w:rPr>
          <w:rFonts w:asciiTheme="minorHAnsi" w:hAnsiTheme="minorHAnsi" w:cstheme="minorHAnsi"/>
        </w:rPr>
        <w:t>w</w:t>
      </w:r>
      <w:r w:rsidR="000E7E81" w:rsidRPr="006062E3">
        <w:rPr>
          <w:rFonts w:asciiTheme="minorHAnsi" w:hAnsiTheme="minorHAnsi" w:cstheme="minorHAnsi"/>
        </w:rPr>
        <w:t xml:space="preserve">omen with a partial capacity to work are projected to have an average Lifetime Cost </w:t>
      </w:r>
      <w:r w:rsidR="000E7E81">
        <w:rPr>
          <w:rFonts w:asciiTheme="minorHAnsi" w:hAnsiTheme="minorHAnsi" w:cstheme="minorHAnsi"/>
        </w:rPr>
        <w:t xml:space="preserve">that is $88,000 higher </w:t>
      </w:r>
      <w:r w:rsidR="006062E3">
        <w:rPr>
          <w:rFonts w:asciiTheme="minorHAnsi" w:hAnsiTheme="minorHAnsi" w:cstheme="minorHAnsi"/>
        </w:rPr>
        <w:t>than</w:t>
      </w:r>
      <w:r w:rsidR="000E7E81">
        <w:rPr>
          <w:rFonts w:asciiTheme="minorHAnsi" w:hAnsiTheme="minorHAnsi" w:cstheme="minorHAnsi"/>
        </w:rPr>
        <w:t xml:space="preserve"> men</w:t>
      </w:r>
      <w:r w:rsidR="00A9039B">
        <w:rPr>
          <w:rFonts w:asciiTheme="minorHAnsi" w:hAnsiTheme="minorHAnsi" w:cstheme="minorHAnsi"/>
        </w:rPr>
        <w:t xml:space="preserve"> </w:t>
      </w:r>
      <w:r w:rsidR="00A9039B" w:rsidRPr="006062E3">
        <w:rPr>
          <w:rFonts w:asciiTheme="minorHAnsi" w:hAnsiTheme="minorHAnsi" w:cstheme="minorHAnsi"/>
        </w:rPr>
        <w:t>with a partial capacity to work</w:t>
      </w:r>
      <w:r w:rsidR="000E7E81">
        <w:rPr>
          <w:rFonts w:asciiTheme="minorHAnsi" w:hAnsiTheme="minorHAnsi" w:cstheme="minorHAnsi"/>
        </w:rPr>
        <w:t xml:space="preserve"> ($393,000) and $24,000 </w:t>
      </w:r>
      <w:r w:rsidR="006062E3">
        <w:rPr>
          <w:rFonts w:asciiTheme="minorHAnsi" w:hAnsiTheme="minorHAnsi" w:cstheme="minorHAnsi"/>
        </w:rPr>
        <w:t xml:space="preserve">higher </w:t>
      </w:r>
      <w:r w:rsidR="000E7E81">
        <w:rPr>
          <w:rFonts w:asciiTheme="minorHAnsi" w:hAnsiTheme="minorHAnsi" w:cstheme="minorHAnsi"/>
        </w:rPr>
        <w:t xml:space="preserve">than women with full capacity ($457,000). </w:t>
      </w:r>
      <w:r w:rsidR="006062E3">
        <w:rPr>
          <w:rFonts w:asciiTheme="minorHAnsi" w:hAnsiTheme="minorHAnsi" w:cstheme="minorHAnsi"/>
        </w:rPr>
        <w:t>P</w:t>
      </w:r>
      <w:r w:rsidR="000E7E81">
        <w:rPr>
          <w:rFonts w:asciiTheme="minorHAnsi" w:hAnsiTheme="minorHAnsi" w:cstheme="minorHAnsi"/>
        </w:rPr>
        <w:t>eople not receiving income support on 30</w:t>
      </w:r>
      <w:r w:rsidR="00E46C6A">
        <w:rPr>
          <w:rFonts w:asciiTheme="minorHAnsi" w:hAnsiTheme="minorHAnsi" w:cstheme="minorHAnsi"/>
        </w:rPr>
        <w:t> June </w:t>
      </w:r>
      <w:r w:rsidR="000E7E81">
        <w:rPr>
          <w:rFonts w:asciiTheme="minorHAnsi" w:hAnsiTheme="minorHAnsi" w:cstheme="minorHAnsi"/>
        </w:rPr>
        <w:t xml:space="preserve">2022 </w:t>
      </w:r>
      <w:r w:rsidR="006062E3">
        <w:rPr>
          <w:rFonts w:asciiTheme="minorHAnsi" w:hAnsiTheme="minorHAnsi" w:cstheme="minorHAnsi"/>
        </w:rPr>
        <w:t>are projected to</w:t>
      </w:r>
      <w:r w:rsidR="000E7E81">
        <w:rPr>
          <w:rFonts w:asciiTheme="minorHAnsi" w:hAnsiTheme="minorHAnsi" w:cstheme="minorHAnsi"/>
        </w:rPr>
        <w:t xml:space="preserve"> have </w:t>
      </w:r>
      <w:r w:rsidR="006062E3">
        <w:rPr>
          <w:rFonts w:asciiTheme="minorHAnsi" w:hAnsiTheme="minorHAnsi" w:cstheme="minorHAnsi"/>
        </w:rPr>
        <w:t>an</w:t>
      </w:r>
      <w:r w:rsidR="007A3B38">
        <w:rPr>
          <w:rFonts w:asciiTheme="minorHAnsi" w:hAnsiTheme="minorHAnsi" w:cstheme="minorHAnsi"/>
        </w:rPr>
        <w:t xml:space="preserve"> average Lifetime Cost </w:t>
      </w:r>
      <w:r w:rsidR="006062E3">
        <w:rPr>
          <w:rFonts w:asciiTheme="minorHAnsi" w:hAnsiTheme="minorHAnsi" w:cstheme="minorHAnsi"/>
        </w:rPr>
        <w:t xml:space="preserve">that is more than 50% lower </w:t>
      </w:r>
      <w:r w:rsidR="007A3B38">
        <w:rPr>
          <w:rFonts w:asciiTheme="minorHAnsi" w:hAnsiTheme="minorHAnsi" w:cstheme="minorHAnsi"/>
        </w:rPr>
        <w:t>($202,000 for wom</w:t>
      </w:r>
      <w:r w:rsidR="006062E3">
        <w:rPr>
          <w:rFonts w:asciiTheme="minorHAnsi" w:hAnsiTheme="minorHAnsi" w:cstheme="minorHAnsi"/>
        </w:rPr>
        <w:t>e</w:t>
      </w:r>
      <w:r w:rsidR="007A3B38">
        <w:rPr>
          <w:rFonts w:asciiTheme="minorHAnsi" w:hAnsiTheme="minorHAnsi" w:cstheme="minorHAnsi"/>
        </w:rPr>
        <w:t xml:space="preserve">n and $150,000 for men) </w:t>
      </w:r>
      <w:r w:rsidR="006062E3">
        <w:rPr>
          <w:rFonts w:asciiTheme="minorHAnsi" w:hAnsiTheme="minorHAnsi" w:cstheme="minorHAnsi"/>
        </w:rPr>
        <w:t>than</w:t>
      </w:r>
      <w:r w:rsidR="000E7E81">
        <w:rPr>
          <w:rFonts w:asciiTheme="minorHAnsi" w:hAnsiTheme="minorHAnsi" w:cstheme="minorHAnsi"/>
        </w:rPr>
        <w:t xml:space="preserve"> those receiving </w:t>
      </w:r>
      <w:r w:rsidR="005E332C">
        <w:rPr>
          <w:rFonts w:asciiTheme="minorHAnsi" w:hAnsiTheme="minorHAnsi" w:cstheme="minorHAnsi"/>
        </w:rPr>
        <w:t>JobSeeker Payment</w:t>
      </w:r>
      <w:r w:rsidR="000E7E81">
        <w:rPr>
          <w:rFonts w:asciiTheme="minorHAnsi" w:hAnsiTheme="minorHAnsi" w:cstheme="minorHAnsi"/>
        </w:rPr>
        <w:t xml:space="preserve"> with </w:t>
      </w:r>
      <w:r w:rsidR="006062E3">
        <w:rPr>
          <w:rFonts w:asciiTheme="minorHAnsi" w:hAnsiTheme="minorHAnsi" w:cstheme="minorHAnsi"/>
        </w:rPr>
        <w:t>a</w:t>
      </w:r>
      <w:r w:rsidR="000E7E81">
        <w:rPr>
          <w:rFonts w:asciiTheme="minorHAnsi" w:hAnsiTheme="minorHAnsi" w:cstheme="minorHAnsi"/>
        </w:rPr>
        <w:t xml:space="preserve"> partial capacity to work</w:t>
      </w:r>
      <w:r w:rsidR="007A3B38">
        <w:rPr>
          <w:rFonts w:asciiTheme="minorHAnsi" w:hAnsiTheme="minorHAnsi" w:cstheme="minorHAnsi"/>
        </w:rPr>
        <w:t>.</w:t>
      </w:r>
      <w:r w:rsidR="00937925">
        <w:rPr>
          <w:rFonts w:asciiTheme="minorHAnsi" w:hAnsiTheme="minorHAnsi" w:cstheme="minorHAnsi"/>
        </w:rPr>
        <w:t xml:space="preserve"> </w:t>
      </w:r>
      <w:r w:rsidR="00C13678">
        <w:rPr>
          <w:rFonts w:asciiTheme="minorHAnsi" w:hAnsiTheme="minorHAnsi" w:cstheme="minorHAnsi"/>
        </w:rPr>
        <w:t xml:space="preserve">The projected average </w:t>
      </w:r>
      <w:r w:rsidR="00937925">
        <w:rPr>
          <w:rFonts w:asciiTheme="minorHAnsi" w:hAnsiTheme="minorHAnsi" w:cstheme="minorHAnsi"/>
        </w:rPr>
        <w:t xml:space="preserve">Lifetime Cost </w:t>
      </w:r>
      <w:r w:rsidR="00E55271">
        <w:rPr>
          <w:rFonts w:asciiTheme="minorHAnsi" w:hAnsiTheme="minorHAnsi" w:cstheme="minorHAnsi"/>
        </w:rPr>
        <w:t xml:space="preserve">for women </w:t>
      </w:r>
      <w:r w:rsidR="00D44759">
        <w:rPr>
          <w:rFonts w:asciiTheme="minorHAnsi" w:hAnsiTheme="minorHAnsi" w:cstheme="minorHAnsi"/>
        </w:rPr>
        <w:t xml:space="preserve">is </w:t>
      </w:r>
      <w:r w:rsidR="00C13678">
        <w:rPr>
          <w:rFonts w:asciiTheme="minorHAnsi" w:hAnsiTheme="minorHAnsi" w:cstheme="minorHAnsi"/>
        </w:rPr>
        <w:t xml:space="preserve">higher </w:t>
      </w:r>
      <w:r w:rsidR="00B86821">
        <w:rPr>
          <w:rFonts w:asciiTheme="minorHAnsi" w:hAnsiTheme="minorHAnsi" w:cstheme="minorHAnsi"/>
        </w:rPr>
        <w:t>du</w:t>
      </w:r>
      <w:r w:rsidR="00A752BE">
        <w:rPr>
          <w:rFonts w:asciiTheme="minorHAnsi" w:hAnsiTheme="minorHAnsi" w:cstheme="minorHAnsi"/>
        </w:rPr>
        <w:t>e</w:t>
      </w:r>
      <w:r w:rsidR="00B86821">
        <w:rPr>
          <w:rFonts w:asciiTheme="minorHAnsi" w:hAnsiTheme="minorHAnsi" w:cstheme="minorHAnsi"/>
        </w:rPr>
        <w:t xml:space="preserve"> to </w:t>
      </w:r>
      <w:r w:rsidR="00D44759">
        <w:rPr>
          <w:rFonts w:asciiTheme="minorHAnsi" w:hAnsiTheme="minorHAnsi" w:cstheme="minorHAnsi"/>
        </w:rPr>
        <w:t>a combination of</w:t>
      </w:r>
      <w:r w:rsidR="00926D4C">
        <w:rPr>
          <w:rFonts w:asciiTheme="minorHAnsi" w:hAnsiTheme="minorHAnsi" w:cstheme="minorHAnsi"/>
        </w:rPr>
        <w:t xml:space="preserve"> </w:t>
      </w:r>
      <w:r w:rsidR="00A67E7A">
        <w:rPr>
          <w:rFonts w:asciiTheme="minorHAnsi" w:hAnsiTheme="minorHAnsi" w:cstheme="minorHAnsi"/>
        </w:rPr>
        <w:t>higher life expectancy,</w:t>
      </w:r>
      <w:r w:rsidR="00926D4C">
        <w:rPr>
          <w:rFonts w:asciiTheme="minorHAnsi" w:hAnsiTheme="minorHAnsi" w:cstheme="minorHAnsi"/>
        </w:rPr>
        <w:t xml:space="preserve"> </w:t>
      </w:r>
      <w:r w:rsidR="00A67E7A">
        <w:rPr>
          <w:rFonts w:asciiTheme="minorHAnsi" w:hAnsiTheme="minorHAnsi" w:cstheme="minorHAnsi"/>
        </w:rPr>
        <w:t xml:space="preserve">as well as </w:t>
      </w:r>
      <w:r w:rsidR="004F2EB8">
        <w:rPr>
          <w:rFonts w:asciiTheme="minorHAnsi" w:hAnsiTheme="minorHAnsi" w:cstheme="minorHAnsi"/>
        </w:rPr>
        <w:t xml:space="preserve">projected </w:t>
      </w:r>
      <w:r w:rsidR="006627D8">
        <w:rPr>
          <w:rFonts w:asciiTheme="minorHAnsi" w:hAnsiTheme="minorHAnsi" w:cstheme="minorHAnsi"/>
        </w:rPr>
        <w:t xml:space="preserve">higher </w:t>
      </w:r>
      <w:r w:rsidR="003745F5">
        <w:rPr>
          <w:rFonts w:asciiTheme="minorHAnsi" w:hAnsiTheme="minorHAnsi" w:cstheme="minorHAnsi"/>
        </w:rPr>
        <w:t xml:space="preserve">usage of </w:t>
      </w:r>
      <w:r w:rsidR="00CA4E71">
        <w:rPr>
          <w:rFonts w:asciiTheme="minorHAnsi" w:hAnsiTheme="minorHAnsi" w:cstheme="minorHAnsi"/>
        </w:rPr>
        <w:t>social security payments</w:t>
      </w:r>
      <w:r w:rsidR="00C01865" w:rsidDel="00FF6DC1">
        <w:rPr>
          <w:rFonts w:asciiTheme="minorHAnsi" w:hAnsiTheme="minorHAnsi" w:cstheme="minorHAnsi"/>
        </w:rPr>
        <w:t xml:space="preserve"> </w:t>
      </w:r>
      <w:r w:rsidR="001B2811">
        <w:rPr>
          <w:rFonts w:asciiTheme="minorHAnsi" w:hAnsiTheme="minorHAnsi" w:cstheme="minorHAnsi"/>
        </w:rPr>
        <w:t>during their lifetime</w:t>
      </w:r>
      <w:r w:rsidR="00C818F7">
        <w:rPr>
          <w:rFonts w:asciiTheme="minorHAnsi" w:hAnsiTheme="minorHAnsi" w:cstheme="minorHAnsi"/>
        </w:rPr>
        <w:t xml:space="preserve"> (</w:t>
      </w:r>
      <w:r w:rsidR="00C818F7" w:rsidRPr="00C818F7">
        <w:rPr>
          <w:rFonts w:asciiTheme="minorHAnsi" w:hAnsiTheme="minorHAnsi" w:cstheme="minorHAnsi"/>
        </w:rPr>
        <w:t xml:space="preserve">such as </w:t>
      </w:r>
      <w:r w:rsidR="00C818F7" w:rsidRPr="00E76CCA">
        <w:rPr>
          <w:rFonts w:asciiTheme="minorHAnsi" w:hAnsiTheme="minorHAnsi" w:cstheme="minorHAnsi"/>
        </w:rPr>
        <w:t>family and parenting payments, and the Age Pension</w:t>
      </w:r>
      <w:r w:rsidR="00C818F7">
        <w:rPr>
          <w:rFonts w:asciiTheme="minorHAnsi" w:hAnsiTheme="minorHAnsi" w:cstheme="minorHAnsi"/>
        </w:rPr>
        <w:t>)</w:t>
      </w:r>
      <w:r w:rsidR="00CA4E71">
        <w:rPr>
          <w:rFonts w:asciiTheme="minorHAnsi" w:hAnsiTheme="minorHAnsi" w:cstheme="minorHAnsi"/>
        </w:rPr>
        <w:t>.</w:t>
      </w:r>
    </w:p>
    <w:p w14:paraId="73C17949" w14:textId="2084E063" w:rsidR="008903D1" w:rsidRPr="00A13641" w:rsidRDefault="007855DD" w:rsidP="005E332C">
      <w:pPr>
        <w:pStyle w:val="FigureMainHeading"/>
      </w:pPr>
      <w:bookmarkStart w:id="56" w:name="_Ref153298072"/>
      <w:r>
        <w:t>Figure </w:t>
      </w:r>
      <w:r w:rsidR="00B80D45">
        <w:fldChar w:fldCharType="begin"/>
      </w:r>
      <w:r w:rsidR="00B80D45">
        <w:instrText xml:space="preserve"> STYLEREF 1 \s </w:instrText>
      </w:r>
      <w:r w:rsidR="00B80D45">
        <w:fldChar w:fldCharType="separate"/>
      </w:r>
      <w:r w:rsidR="00722C0A">
        <w:rPr>
          <w:noProof/>
        </w:rPr>
        <w:t>5</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5</w:t>
      </w:r>
      <w:r w:rsidR="00B80D45">
        <w:rPr>
          <w:noProof/>
        </w:rPr>
        <w:fldChar w:fldCharType="end"/>
      </w:r>
      <w:bookmarkEnd w:id="56"/>
      <w:r w:rsidR="005E332C">
        <w:t>:</w:t>
      </w:r>
      <w:r w:rsidR="005E332C">
        <w:tab/>
      </w:r>
      <w:r w:rsidR="00C95BE9">
        <w:t>A</w:t>
      </w:r>
      <w:r w:rsidR="008903D1" w:rsidRPr="00A13641">
        <w:t xml:space="preserve">verage projected </w:t>
      </w:r>
      <w:r w:rsidR="007F0584">
        <w:t>L</w:t>
      </w:r>
      <w:r w:rsidR="00C95BE9" w:rsidRPr="00A13641">
        <w:t xml:space="preserve">ifetime </w:t>
      </w:r>
      <w:r w:rsidR="007F0584">
        <w:t>C</w:t>
      </w:r>
      <w:r w:rsidR="00C95BE9" w:rsidRPr="00A13641">
        <w:t>ost for people aged 45 to 66</w:t>
      </w:r>
    </w:p>
    <w:p w14:paraId="23C92D00" w14:textId="77777777" w:rsidR="00C95BE9" w:rsidRDefault="00DD012C" w:rsidP="00EF5B7F">
      <w:pPr>
        <w:pStyle w:val="ChartGraphic"/>
      </w:pPr>
      <w:r w:rsidRPr="00EF5B7F">
        <w:rPr>
          <w:noProof/>
        </w:rPr>
        <w:drawing>
          <wp:inline distT="0" distB="0" distL="0" distR="0" wp14:anchorId="6759C167" wp14:editId="1D4D9769">
            <wp:extent cx="4319905" cy="2484000"/>
            <wp:effectExtent l="0" t="0" r="4445" b="0"/>
            <wp:docPr id="35" name="Chart 35" descr="This chart shows the average projected lifetime cost for people aged 45 to 66, split by gender and payment category:&#10;&#10;- JSP recipients with partial capacity to work: $481,000 (female), $393,000 (male)&#10;- JSP recipients with full capacity to work: $457,000 (female), $367,000 (male)&#10;- Not on income support: $202,000 (female), $150,000 (male)"/>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3C10F29" w14:textId="04081311" w:rsidR="00B04FCE" w:rsidRDefault="00C95BE9" w:rsidP="00C95BE9">
      <w:pPr>
        <w:pStyle w:val="Note"/>
      </w:pPr>
      <w:r w:rsidRPr="001E6853">
        <w:t xml:space="preserve">* </w:t>
      </w:r>
      <w:r>
        <w:t>L</w:t>
      </w:r>
      <w:r w:rsidRPr="00E751DD">
        <w:t xml:space="preserve">ifetime </w:t>
      </w:r>
      <w:r w:rsidR="00CE248C">
        <w:t>C</w:t>
      </w:r>
      <w:r w:rsidRPr="00E751DD">
        <w:t xml:space="preserve">ost projections include </w:t>
      </w:r>
      <w:r w:rsidR="00D01768">
        <w:t>Age Pension</w:t>
      </w:r>
    </w:p>
    <w:p w14:paraId="2DC5C64E" w14:textId="6C67B1BE" w:rsidR="00A6524C" w:rsidRPr="00667410" w:rsidRDefault="00A6524C" w:rsidP="00EF5B7F">
      <w:pPr>
        <w:pStyle w:val="Heading2notnumbered"/>
      </w:pPr>
      <w:r>
        <w:t xml:space="preserve">People receiving </w:t>
      </w:r>
      <w:r w:rsidR="005E332C">
        <w:t>JobSeeker Payment</w:t>
      </w:r>
      <w:r>
        <w:t xml:space="preserve"> </w:t>
      </w:r>
      <w:r w:rsidR="006062E3">
        <w:t>with</w:t>
      </w:r>
      <w:r>
        <w:t xml:space="preserve"> a partial capacity to work have the highest probability of </w:t>
      </w:r>
      <w:r w:rsidR="006062E3">
        <w:t>entering</w:t>
      </w:r>
      <w:r>
        <w:t xml:space="preserve"> Age Pension when they reach eligibility age. 74% of women and 67% of men in this age group will move onto Age Pension once </w:t>
      </w:r>
      <w:r w:rsidR="006062E3">
        <w:t>eligib</w:t>
      </w:r>
      <w:r>
        <w:t>le.</w:t>
      </w:r>
    </w:p>
    <w:p w14:paraId="154DD28A" w14:textId="27555307" w:rsidR="00B04FCE" w:rsidRDefault="006062E3" w:rsidP="00A6524C">
      <w:pPr>
        <w:spacing w:after="120"/>
        <w:rPr>
          <w:rFonts w:asciiTheme="minorHAnsi" w:hAnsiTheme="minorHAnsi" w:cstheme="minorHAnsi"/>
        </w:rPr>
      </w:pPr>
      <w:r>
        <w:rPr>
          <w:rFonts w:asciiTheme="minorHAnsi" w:hAnsiTheme="minorHAnsi" w:cstheme="minorHAnsi"/>
        </w:rPr>
        <w:t>W</w:t>
      </w:r>
      <w:r w:rsidR="00A6524C">
        <w:rPr>
          <w:rFonts w:asciiTheme="minorHAnsi" w:hAnsiTheme="minorHAnsi" w:cstheme="minorHAnsi"/>
        </w:rPr>
        <w:t xml:space="preserve">omen </w:t>
      </w:r>
      <w:r w:rsidR="003229E0">
        <w:rPr>
          <w:rFonts w:asciiTheme="minorHAnsi" w:hAnsiTheme="minorHAnsi" w:cstheme="minorHAnsi"/>
        </w:rPr>
        <w:t xml:space="preserve">receiving </w:t>
      </w:r>
      <w:r w:rsidR="005E332C">
        <w:rPr>
          <w:rFonts w:asciiTheme="minorHAnsi" w:hAnsiTheme="minorHAnsi" w:cstheme="minorHAnsi"/>
        </w:rPr>
        <w:t>JobSeeker Payment</w:t>
      </w:r>
      <w:r w:rsidR="003229E0">
        <w:rPr>
          <w:rFonts w:asciiTheme="minorHAnsi" w:hAnsiTheme="minorHAnsi" w:cstheme="minorHAnsi"/>
        </w:rPr>
        <w:t xml:space="preserve"> </w:t>
      </w:r>
      <w:r w:rsidR="00A6524C">
        <w:rPr>
          <w:rFonts w:asciiTheme="minorHAnsi" w:hAnsiTheme="minorHAnsi" w:cstheme="minorHAnsi"/>
        </w:rPr>
        <w:t xml:space="preserve">are </w:t>
      </w:r>
      <w:r w:rsidR="003229E0">
        <w:rPr>
          <w:rFonts w:asciiTheme="minorHAnsi" w:hAnsiTheme="minorHAnsi" w:cstheme="minorHAnsi"/>
        </w:rPr>
        <w:t>around 10%</w:t>
      </w:r>
      <w:r w:rsidR="007855DD">
        <w:rPr>
          <w:rFonts w:asciiTheme="minorHAnsi" w:hAnsiTheme="minorHAnsi" w:cstheme="minorHAnsi"/>
        </w:rPr>
        <w:t> more</w:t>
      </w:r>
      <w:r w:rsidR="00A6524C">
        <w:rPr>
          <w:rFonts w:asciiTheme="minorHAnsi" w:hAnsiTheme="minorHAnsi" w:cstheme="minorHAnsi"/>
        </w:rPr>
        <w:t xml:space="preserve"> likely to move onto Age Pension when they reach the eligibility age than men</w:t>
      </w:r>
      <w:r w:rsidR="001842A1">
        <w:rPr>
          <w:rFonts w:asciiTheme="minorHAnsi" w:hAnsiTheme="minorHAnsi" w:cstheme="minorHAnsi"/>
        </w:rPr>
        <w:t xml:space="preserve"> receiving </w:t>
      </w:r>
      <w:r w:rsidR="005E332C">
        <w:rPr>
          <w:rFonts w:asciiTheme="minorHAnsi" w:hAnsiTheme="minorHAnsi" w:cstheme="minorHAnsi"/>
        </w:rPr>
        <w:t>JobSeeker Payment</w:t>
      </w:r>
      <w:r w:rsidR="00A6524C">
        <w:rPr>
          <w:rFonts w:asciiTheme="minorHAnsi" w:hAnsiTheme="minorHAnsi" w:cstheme="minorHAnsi"/>
        </w:rPr>
        <w:t>, regardless of capacity to work</w:t>
      </w:r>
      <w:r>
        <w:rPr>
          <w:rFonts w:asciiTheme="minorHAnsi" w:hAnsiTheme="minorHAnsi" w:cstheme="minorHAnsi"/>
        </w:rPr>
        <w:t xml:space="preserve"> (</w:t>
      </w:r>
      <w:r w:rsidR="00CB4AEA">
        <w:rPr>
          <w:rFonts w:asciiTheme="minorHAnsi" w:hAnsiTheme="minorHAnsi" w:cstheme="minorHAnsi"/>
        </w:rPr>
        <w:fldChar w:fldCharType="begin"/>
      </w:r>
      <w:r w:rsidR="00CB4AEA">
        <w:rPr>
          <w:rFonts w:asciiTheme="minorHAnsi" w:hAnsiTheme="minorHAnsi" w:cstheme="minorHAnsi"/>
        </w:rPr>
        <w:instrText xml:space="preserve"> REF _Ref158295900 \h </w:instrText>
      </w:r>
      <w:r w:rsidR="00CB4AEA">
        <w:rPr>
          <w:rFonts w:asciiTheme="minorHAnsi" w:hAnsiTheme="minorHAnsi" w:cstheme="minorHAnsi"/>
        </w:rPr>
      </w:r>
      <w:r w:rsidR="00CB4AEA">
        <w:rPr>
          <w:rFonts w:asciiTheme="minorHAnsi" w:hAnsiTheme="minorHAnsi" w:cstheme="minorHAnsi"/>
        </w:rPr>
        <w:fldChar w:fldCharType="separate"/>
      </w:r>
      <w:r w:rsidR="00722C0A">
        <w:t>Figure </w:t>
      </w:r>
      <w:r w:rsidR="00722C0A">
        <w:rPr>
          <w:noProof/>
        </w:rPr>
        <w:t>5</w:t>
      </w:r>
      <w:r w:rsidR="00722C0A">
        <w:t>.</w:t>
      </w:r>
      <w:r w:rsidR="00722C0A">
        <w:rPr>
          <w:noProof/>
        </w:rPr>
        <w:t>6</w:t>
      </w:r>
      <w:r w:rsidR="00CB4AEA">
        <w:rPr>
          <w:rFonts w:asciiTheme="minorHAnsi" w:hAnsiTheme="minorHAnsi" w:cstheme="minorHAnsi"/>
        </w:rPr>
        <w:fldChar w:fldCharType="end"/>
      </w:r>
      <w:r>
        <w:rPr>
          <w:rFonts w:asciiTheme="minorHAnsi" w:hAnsiTheme="minorHAnsi" w:cstheme="minorHAnsi"/>
        </w:rPr>
        <w:t>)</w:t>
      </w:r>
      <w:r w:rsidR="00A6524C">
        <w:rPr>
          <w:rFonts w:asciiTheme="minorHAnsi" w:hAnsiTheme="minorHAnsi" w:cstheme="minorHAnsi"/>
        </w:rPr>
        <w:t xml:space="preserve">. </w:t>
      </w:r>
      <w:r w:rsidR="00364844">
        <w:rPr>
          <w:rFonts w:asciiTheme="minorHAnsi" w:hAnsiTheme="minorHAnsi" w:cstheme="minorHAnsi"/>
        </w:rPr>
        <w:t>Women not currently receiving income support</w:t>
      </w:r>
      <w:r w:rsidR="00A6524C">
        <w:rPr>
          <w:rFonts w:asciiTheme="minorHAnsi" w:hAnsiTheme="minorHAnsi" w:cstheme="minorHAnsi"/>
        </w:rPr>
        <w:t xml:space="preserve"> </w:t>
      </w:r>
      <w:r w:rsidR="00AF6BD0">
        <w:rPr>
          <w:rFonts w:asciiTheme="minorHAnsi" w:hAnsiTheme="minorHAnsi" w:cstheme="minorHAnsi"/>
        </w:rPr>
        <w:t>are around 2</w:t>
      </w:r>
      <w:r w:rsidR="00CA2EA0">
        <w:rPr>
          <w:rFonts w:asciiTheme="minorHAnsi" w:hAnsiTheme="minorHAnsi" w:cstheme="minorHAnsi"/>
        </w:rPr>
        <w:t>0%</w:t>
      </w:r>
      <w:r w:rsidR="007855DD">
        <w:rPr>
          <w:rFonts w:asciiTheme="minorHAnsi" w:hAnsiTheme="minorHAnsi" w:cstheme="minorHAnsi"/>
        </w:rPr>
        <w:t> more</w:t>
      </w:r>
      <w:r w:rsidR="00CA2EA0">
        <w:rPr>
          <w:rFonts w:asciiTheme="minorHAnsi" w:hAnsiTheme="minorHAnsi" w:cstheme="minorHAnsi"/>
        </w:rPr>
        <w:t xml:space="preserve"> likely to</w:t>
      </w:r>
      <w:r w:rsidR="00080BC1">
        <w:rPr>
          <w:rFonts w:asciiTheme="minorHAnsi" w:hAnsiTheme="minorHAnsi" w:cstheme="minorHAnsi"/>
        </w:rPr>
        <w:t xml:space="preserve"> </w:t>
      </w:r>
      <w:r w:rsidR="00823789">
        <w:rPr>
          <w:rFonts w:asciiTheme="minorHAnsi" w:hAnsiTheme="minorHAnsi" w:cstheme="minorHAnsi"/>
        </w:rPr>
        <w:t>move onto Age Pension when they reach the eligibility age than men</w:t>
      </w:r>
      <w:r w:rsidR="001842A1">
        <w:rPr>
          <w:rFonts w:asciiTheme="minorHAnsi" w:hAnsiTheme="minorHAnsi" w:cstheme="minorHAnsi"/>
        </w:rPr>
        <w:t xml:space="preserve"> not currently </w:t>
      </w:r>
      <w:r w:rsidR="00D5189A">
        <w:rPr>
          <w:rFonts w:asciiTheme="minorHAnsi" w:hAnsiTheme="minorHAnsi" w:cstheme="minorHAnsi"/>
        </w:rPr>
        <w:t>receiving income support</w:t>
      </w:r>
      <w:r w:rsidR="00823789">
        <w:rPr>
          <w:rFonts w:asciiTheme="minorHAnsi" w:hAnsiTheme="minorHAnsi" w:cstheme="minorHAnsi"/>
        </w:rPr>
        <w:t>.</w:t>
      </w:r>
    </w:p>
    <w:p w14:paraId="4697B3CD" w14:textId="1A9AF4DD" w:rsidR="00B04FCE" w:rsidRDefault="00A6524C" w:rsidP="00A6524C">
      <w:pPr>
        <w:spacing w:after="120"/>
        <w:rPr>
          <w:noProof/>
        </w:rPr>
      </w:pPr>
      <w:r>
        <w:rPr>
          <w:rFonts w:asciiTheme="minorHAnsi" w:hAnsiTheme="minorHAnsi" w:cstheme="minorHAnsi"/>
        </w:rPr>
        <w:t xml:space="preserve">People receiving </w:t>
      </w:r>
      <w:r w:rsidR="005E332C">
        <w:rPr>
          <w:rFonts w:asciiTheme="minorHAnsi" w:hAnsiTheme="minorHAnsi" w:cstheme="minorHAnsi"/>
        </w:rPr>
        <w:t>JobSeeker Payment</w:t>
      </w:r>
      <w:r>
        <w:rPr>
          <w:rFonts w:asciiTheme="minorHAnsi" w:hAnsiTheme="minorHAnsi" w:cstheme="minorHAnsi"/>
        </w:rPr>
        <w:t xml:space="preserve"> with a partial capacity to work are more likely to move onto Age Pension at the eligibility age (74% of women and 67% of men), than those with full capacity to work (70% of women and 63% of men). By contrast, a much smaller proportion of people who are not currently receiving a social security payment are expected to </w:t>
      </w:r>
      <w:r w:rsidR="00AD40A6">
        <w:rPr>
          <w:rFonts w:asciiTheme="minorHAnsi" w:hAnsiTheme="minorHAnsi" w:cstheme="minorHAnsi"/>
        </w:rPr>
        <w:t>begin receiving</w:t>
      </w:r>
      <w:r>
        <w:rPr>
          <w:rFonts w:asciiTheme="minorHAnsi" w:hAnsiTheme="minorHAnsi" w:cstheme="minorHAnsi"/>
        </w:rPr>
        <w:t xml:space="preserve"> Age Pension at the eligibility age (34% of women and 28% of men).</w:t>
      </w:r>
    </w:p>
    <w:p w14:paraId="16F8A0B6" w14:textId="2E8063F7" w:rsidR="008903D1" w:rsidRPr="00A13641" w:rsidRDefault="007855DD" w:rsidP="005E332C">
      <w:pPr>
        <w:pStyle w:val="FigureMainHeading"/>
      </w:pPr>
      <w:bookmarkStart w:id="57" w:name="_Ref153298256"/>
      <w:bookmarkStart w:id="58" w:name="_Ref158295900"/>
      <w:r>
        <w:t>Figure </w:t>
      </w:r>
      <w:r w:rsidR="00B80D45">
        <w:fldChar w:fldCharType="begin"/>
      </w:r>
      <w:r w:rsidR="00B80D45">
        <w:instrText xml:space="preserve"> STYLEREF 1 \s </w:instrText>
      </w:r>
      <w:r w:rsidR="00B80D45">
        <w:fldChar w:fldCharType="separate"/>
      </w:r>
      <w:r w:rsidR="00722C0A">
        <w:rPr>
          <w:noProof/>
        </w:rPr>
        <w:t>5</w:t>
      </w:r>
      <w:r w:rsidR="00B80D45">
        <w:rPr>
          <w:noProof/>
        </w:rPr>
        <w:fldChar w:fldCharType="end"/>
      </w:r>
      <w:bookmarkEnd w:id="57"/>
      <w:r w:rsidR="005E332C">
        <w:t>.</w:t>
      </w:r>
      <w:r w:rsidR="00B80D45">
        <w:fldChar w:fldCharType="begin"/>
      </w:r>
      <w:r w:rsidR="00B80D45">
        <w:instrText xml:space="preserve"> SEQ Figure \* ARABIC \s 1 </w:instrText>
      </w:r>
      <w:r w:rsidR="00B80D45">
        <w:fldChar w:fldCharType="separate"/>
      </w:r>
      <w:r w:rsidR="00722C0A">
        <w:rPr>
          <w:noProof/>
        </w:rPr>
        <w:t>6</w:t>
      </w:r>
      <w:r w:rsidR="00B80D45">
        <w:rPr>
          <w:noProof/>
        </w:rPr>
        <w:fldChar w:fldCharType="end"/>
      </w:r>
      <w:bookmarkEnd w:id="58"/>
      <w:r w:rsidR="005E332C">
        <w:t>:</w:t>
      </w:r>
      <w:r w:rsidR="005E332C">
        <w:tab/>
      </w:r>
      <w:r w:rsidR="008903D1" w:rsidRPr="00A13641">
        <w:t xml:space="preserve">Projected likelihood of receiving </w:t>
      </w:r>
      <w:r w:rsidR="00D01768">
        <w:t>Age Pension</w:t>
      </w:r>
      <w:r w:rsidR="008903D1" w:rsidRPr="00A13641">
        <w:t xml:space="preserve"> at </w:t>
      </w:r>
      <w:r w:rsidR="00C95BE9" w:rsidRPr="00A13641">
        <w:t>eligibility age for people aged 45 to 66</w:t>
      </w:r>
    </w:p>
    <w:p w14:paraId="1B007F70" w14:textId="57CDB6A5" w:rsidR="00523C23" w:rsidRPr="00EC4FC8" w:rsidRDefault="009B689E" w:rsidP="003070D1">
      <w:pPr>
        <w:pStyle w:val="ChartGraphic"/>
      </w:pPr>
      <w:r>
        <w:rPr>
          <w:noProof/>
        </w:rPr>
        <w:drawing>
          <wp:inline distT="0" distB="0" distL="0" distR="0" wp14:anchorId="4AB050E5" wp14:editId="212246A3">
            <wp:extent cx="4565650" cy="2375535"/>
            <wp:effectExtent l="0" t="0" r="6350" b="5715"/>
            <wp:docPr id="1" name="Chart 1" descr="This chart shows the projected likelihood of receiving age pension at age pension age for people aged 45 to 66, by gender and payment category.&#10;&#10;- JSP recipients with partial capacity to work: 74% (female), 67% (male)&#10;- JSP recipients with full capacity to work: 70% (female), 63% (male)&#10;- Not on income support: 34% (female), 28% (male)"/>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bookmarkStart w:id="59" w:name="_Toc153355580"/>
      <w:bookmarkStart w:id="60" w:name="_Toc155358646"/>
    </w:p>
    <w:p w14:paraId="104BC49F" w14:textId="77777777" w:rsidR="00EC4FC8" w:rsidRPr="00EC4FC8" w:rsidRDefault="00EC4FC8" w:rsidP="003070D1">
      <w:pPr>
        <w:pStyle w:val="NoSpacing"/>
        <w:sectPr w:rsidR="00EC4FC8" w:rsidRPr="00EC4FC8" w:rsidSect="00B46214">
          <w:footerReference w:type="default" r:id="rId63"/>
          <w:pgSz w:w="16838" w:h="11906" w:orient="landscape" w:code="9"/>
          <w:pgMar w:top="1418" w:right="1134" w:bottom="1418" w:left="1134" w:header="425" w:footer="680" w:gutter="0"/>
          <w:cols w:num="2" w:space="709"/>
          <w:docGrid w:linePitch="360"/>
        </w:sectPr>
      </w:pPr>
    </w:p>
    <w:p w14:paraId="701D9AB9" w14:textId="40AF584A" w:rsidR="00374AA7" w:rsidRPr="0094730A" w:rsidRDefault="001942EA" w:rsidP="00EC4FC8">
      <w:pPr>
        <w:pStyle w:val="Heading1"/>
      </w:pPr>
      <w:bookmarkStart w:id="61" w:name="_Toc160109476"/>
      <w:r w:rsidRPr="00EC4FC8">
        <w:lastRenderedPageBreak/>
        <w:t>Retirement</w:t>
      </w:r>
      <w:r>
        <w:t xml:space="preserve"> age (66 and over)</w:t>
      </w:r>
      <w:bookmarkEnd w:id="59"/>
      <w:bookmarkEnd w:id="60"/>
      <w:bookmarkEnd w:id="61"/>
    </w:p>
    <w:p w14:paraId="62114315" w14:textId="179C226F" w:rsidR="0053676D" w:rsidRDefault="00374AA7" w:rsidP="005E6E1B">
      <w:pPr>
        <w:spacing w:after="120"/>
        <w:rPr>
          <w:rFonts w:asciiTheme="minorHAnsi" w:eastAsiaTheme="minorEastAsia" w:hAnsiTheme="minorHAnsi" w:cstheme="minorHAnsi"/>
          <w:bCs/>
          <w:color w:val="000000" w:themeColor="text1"/>
          <w:kern w:val="24"/>
          <w:szCs w:val="21"/>
        </w:rPr>
      </w:pPr>
      <w:r w:rsidRPr="006F39F4">
        <w:rPr>
          <w:rFonts w:asciiTheme="minorHAnsi" w:eastAsiaTheme="minorEastAsia" w:hAnsiTheme="minorHAnsi" w:cstheme="minorHAnsi"/>
          <w:bCs/>
          <w:color w:val="000000" w:themeColor="text1"/>
          <w:kern w:val="24"/>
          <w:szCs w:val="21"/>
        </w:rPr>
        <w:t xml:space="preserve">The Age Pension is the primary </w:t>
      </w:r>
      <w:r>
        <w:rPr>
          <w:rFonts w:asciiTheme="minorHAnsi" w:eastAsiaTheme="minorEastAsia" w:hAnsiTheme="minorHAnsi" w:cstheme="minorHAnsi"/>
          <w:bCs/>
          <w:color w:val="000000" w:themeColor="text1"/>
          <w:kern w:val="24"/>
          <w:szCs w:val="21"/>
        </w:rPr>
        <w:t>s</w:t>
      </w:r>
      <w:r w:rsidRPr="006F39F4">
        <w:rPr>
          <w:rFonts w:asciiTheme="minorHAnsi" w:eastAsiaTheme="minorEastAsia" w:hAnsiTheme="minorHAnsi" w:cstheme="minorHAnsi"/>
          <w:bCs/>
          <w:color w:val="000000" w:themeColor="text1"/>
          <w:kern w:val="24"/>
          <w:szCs w:val="21"/>
        </w:rPr>
        <w:t xml:space="preserve">ocial </w:t>
      </w:r>
      <w:r>
        <w:rPr>
          <w:rFonts w:asciiTheme="minorHAnsi" w:eastAsiaTheme="minorEastAsia" w:hAnsiTheme="minorHAnsi" w:cstheme="minorHAnsi"/>
          <w:bCs/>
          <w:color w:val="000000" w:themeColor="text1"/>
          <w:kern w:val="24"/>
          <w:szCs w:val="21"/>
        </w:rPr>
        <w:t>s</w:t>
      </w:r>
      <w:r w:rsidRPr="006F39F4">
        <w:rPr>
          <w:rFonts w:asciiTheme="minorHAnsi" w:eastAsiaTheme="minorEastAsia" w:hAnsiTheme="minorHAnsi" w:cstheme="minorHAnsi"/>
          <w:bCs/>
          <w:color w:val="000000" w:themeColor="text1"/>
          <w:kern w:val="24"/>
          <w:szCs w:val="21"/>
        </w:rPr>
        <w:t xml:space="preserve">ecurity </w:t>
      </w:r>
      <w:r w:rsidR="001F1CAD">
        <w:rPr>
          <w:rFonts w:asciiTheme="minorHAnsi" w:eastAsiaTheme="minorEastAsia" w:hAnsiTheme="minorHAnsi" w:cstheme="minorHAnsi"/>
          <w:bCs/>
          <w:color w:val="000000" w:themeColor="text1"/>
          <w:kern w:val="24"/>
          <w:szCs w:val="21"/>
        </w:rPr>
        <w:t>payment</w:t>
      </w:r>
      <w:r w:rsidRPr="006F39F4">
        <w:rPr>
          <w:rFonts w:asciiTheme="minorHAnsi" w:eastAsiaTheme="minorEastAsia" w:hAnsiTheme="minorHAnsi" w:cstheme="minorHAnsi"/>
          <w:bCs/>
          <w:color w:val="000000" w:themeColor="text1"/>
          <w:kern w:val="24"/>
          <w:szCs w:val="21"/>
        </w:rPr>
        <w:t xml:space="preserve"> for those unable to fully, or partially finance their retirement through superannuation</w:t>
      </w:r>
      <w:r w:rsidR="00257103">
        <w:rPr>
          <w:rFonts w:asciiTheme="minorHAnsi" w:eastAsiaTheme="minorEastAsia" w:hAnsiTheme="minorHAnsi" w:cstheme="minorHAnsi"/>
          <w:bCs/>
          <w:color w:val="000000" w:themeColor="text1"/>
          <w:kern w:val="24"/>
          <w:szCs w:val="21"/>
        </w:rPr>
        <w:t xml:space="preserve"> and other savings</w:t>
      </w:r>
      <w:r w:rsidRPr="006F39F4">
        <w:rPr>
          <w:rFonts w:asciiTheme="minorHAnsi" w:eastAsiaTheme="minorEastAsia" w:hAnsiTheme="minorHAnsi" w:cstheme="minorHAnsi"/>
          <w:bCs/>
          <w:color w:val="000000" w:themeColor="text1"/>
          <w:kern w:val="24"/>
          <w:szCs w:val="21"/>
        </w:rPr>
        <w:t xml:space="preserve">. </w:t>
      </w:r>
      <w:r w:rsidR="00B4106A">
        <w:rPr>
          <w:rFonts w:asciiTheme="minorHAnsi" w:eastAsiaTheme="minorEastAsia" w:hAnsiTheme="minorHAnsi" w:cstheme="minorHAnsi"/>
          <w:bCs/>
          <w:color w:val="000000" w:themeColor="text1"/>
          <w:kern w:val="24"/>
          <w:szCs w:val="21"/>
        </w:rPr>
        <w:t>The extent of interaction with the social security system at retirement</w:t>
      </w:r>
      <w:r w:rsidRPr="006F39F4" w:rsidDel="00DB11BF">
        <w:rPr>
          <w:rFonts w:asciiTheme="minorHAnsi" w:eastAsiaTheme="minorEastAsia" w:hAnsiTheme="minorHAnsi" w:cstheme="minorHAnsi"/>
          <w:bCs/>
          <w:color w:val="000000" w:themeColor="text1"/>
          <w:kern w:val="24"/>
          <w:szCs w:val="21"/>
        </w:rPr>
        <w:t xml:space="preserve"> </w:t>
      </w:r>
      <w:r w:rsidR="00B4106A">
        <w:rPr>
          <w:rFonts w:asciiTheme="minorHAnsi" w:eastAsiaTheme="minorEastAsia" w:hAnsiTheme="minorHAnsi" w:cstheme="minorHAnsi"/>
          <w:bCs/>
          <w:color w:val="000000" w:themeColor="text1"/>
          <w:kern w:val="24"/>
          <w:szCs w:val="21"/>
        </w:rPr>
        <w:t xml:space="preserve">is </w:t>
      </w:r>
      <w:r w:rsidRPr="006F39F4" w:rsidDel="00DB11BF">
        <w:rPr>
          <w:rFonts w:asciiTheme="minorHAnsi" w:eastAsiaTheme="minorEastAsia" w:hAnsiTheme="minorHAnsi" w:cstheme="minorHAnsi"/>
          <w:bCs/>
          <w:color w:val="000000" w:themeColor="text1"/>
          <w:kern w:val="24"/>
          <w:szCs w:val="21"/>
        </w:rPr>
        <w:t xml:space="preserve">closely related to the </w:t>
      </w:r>
      <w:r w:rsidR="00B4106A">
        <w:rPr>
          <w:rFonts w:asciiTheme="minorHAnsi" w:eastAsiaTheme="minorEastAsia" w:hAnsiTheme="minorHAnsi" w:cstheme="minorHAnsi"/>
          <w:bCs/>
          <w:color w:val="000000" w:themeColor="text1"/>
          <w:kern w:val="24"/>
          <w:szCs w:val="21"/>
        </w:rPr>
        <w:t xml:space="preserve">length of income support use </w:t>
      </w:r>
      <w:r w:rsidRPr="006F39F4" w:rsidDel="00DB11BF">
        <w:rPr>
          <w:rFonts w:asciiTheme="minorHAnsi" w:eastAsiaTheme="minorEastAsia" w:hAnsiTheme="minorHAnsi" w:cstheme="minorHAnsi"/>
          <w:bCs/>
          <w:color w:val="000000" w:themeColor="text1"/>
          <w:kern w:val="24"/>
          <w:szCs w:val="21"/>
        </w:rPr>
        <w:t xml:space="preserve">during </w:t>
      </w:r>
      <w:r w:rsidR="000E14EE">
        <w:rPr>
          <w:rFonts w:asciiTheme="minorHAnsi" w:eastAsiaTheme="minorEastAsia" w:hAnsiTheme="minorHAnsi" w:cstheme="minorHAnsi"/>
          <w:bCs/>
          <w:color w:val="000000" w:themeColor="text1"/>
          <w:kern w:val="24"/>
          <w:szCs w:val="21"/>
        </w:rPr>
        <w:t>a person</w:t>
      </w:r>
      <w:r w:rsidR="00B04FCE">
        <w:rPr>
          <w:rFonts w:asciiTheme="minorHAnsi" w:eastAsiaTheme="minorEastAsia" w:hAnsiTheme="minorHAnsi" w:cstheme="minorHAnsi"/>
          <w:bCs/>
          <w:color w:val="000000" w:themeColor="text1"/>
          <w:kern w:val="24"/>
          <w:szCs w:val="21"/>
        </w:rPr>
        <w:t>’</w:t>
      </w:r>
      <w:r w:rsidR="000E14EE">
        <w:rPr>
          <w:rFonts w:asciiTheme="minorHAnsi" w:eastAsiaTheme="minorEastAsia" w:hAnsiTheme="minorHAnsi" w:cstheme="minorHAnsi"/>
          <w:bCs/>
          <w:color w:val="000000" w:themeColor="text1"/>
          <w:kern w:val="24"/>
          <w:szCs w:val="21"/>
        </w:rPr>
        <w:t>s</w:t>
      </w:r>
      <w:r w:rsidRPr="006F39F4" w:rsidDel="00DB11BF">
        <w:rPr>
          <w:rFonts w:asciiTheme="minorHAnsi" w:eastAsiaTheme="minorEastAsia" w:hAnsiTheme="minorHAnsi" w:cstheme="minorHAnsi"/>
          <w:bCs/>
          <w:color w:val="000000" w:themeColor="text1"/>
          <w:kern w:val="24"/>
          <w:szCs w:val="21"/>
        </w:rPr>
        <w:t xml:space="preserve"> working life</w:t>
      </w:r>
      <w:r w:rsidR="00B4106A">
        <w:rPr>
          <w:rFonts w:asciiTheme="minorHAnsi" w:eastAsiaTheme="minorEastAsia" w:hAnsiTheme="minorHAnsi" w:cstheme="minorHAnsi"/>
          <w:bCs/>
          <w:color w:val="000000" w:themeColor="text1"/>
          <w:kern w:val="24"/>
          <w:szCs w:val="21"/>
        </w:rPr>
        <w:t xml:space="preserve">. </w:t>
      </w:r>
      <w:r>
        <w:rPr>
          <w:rFonts w:asciiTheme="minorHAnsi" w:eastAsiaTheme="minorEastAsia" w:hAnsiTheme="minorHAnsi" w:cstheme="minorHAnsi"/>
          <w:bCs/>
          <w:color w:val="000000" w:themeColor="text1"/>
          <w:kern w:val="24"/>
          <w:szCs w:val="21"/>
        </w:rPr>
        <w:t>T</w:t>
      </w:r>
      <w:r w:rsidRPr="009C14E5">
        <w:rPr>
          <w:rFonts w:asciiTheme="minorHAnsi" w:eastAsiaTheme="minorEastAsia" w:hAnsiTheme="minorHAnsi" w:cstheme="minorHAnsi"/>
          <w:bCs/>
          <w:color w:val="000000" w:themeColor="text1"/>
          <w:kern w:val="24"/>
          <w:szCs w:val="21"/>
        </w:rPr>
        <w:t>here</w:t>
      </w:r>
      <w:r w:rsidRPr="009C14E5" w:rsidDel="00E262F1">
        <w:rPr>
          <w:rFonts w:asciiTheme="minorHAnsi" w:eastAsiaTheme="minorEastAsia" w:hAnsiTheme="minorHAnsi" w:cstheme="minorHAnsi"/>
          <w:bCs/>
          <w:color w:val="000000" w:themeColor="text1"/>
          <w:kern w:val="24"/>
          <w:szCs w:val="21"/>
        </w:rPr>
        <w:t xml:space="preserve"> </w:t>
      </w:r>
      <w:r w:rsidR="00E262F1">
        <w:rPr>
          <w:rFonts w:asciiTheme="minorHAnsi" w:eastAsiaTheme="minorEastAsia" w:hAnsiTheme="minorHAnsi" w:cstheme="minorHAnsi"/>
          <w:bCs/>
          <w:color w:val="000000" w:themeColor="text1"/>
          <w:kern w:val="24"/>
          <w:szCs w:val="21"/>
        </w:rPr>
        <w:t>wer</w:t>
      </w:r>
      <w:r w:rsidR="00E262F1" w:rsidRPr="009C14E5">
        <w:rPr>
          <w:rFonts w:asciiTheme="minorHAnsi" w:eastAsiaTheme="minorEastAsia" w:hAnsiTheme="minorHAnsi" w:cstheme="minorHAnsi"/>
          <w:bCs/>
          <w:color w:val="000000" w:themeColor="text1"/>
          <w:kern w:val="24"/>
          <w:szCs w:val="21"/>
        </w:rPr>
        <w:t xml:space="preserve">e </w:t>
      </w:r>
      <w:r w:rsidRPr="009C14E5">
        <w:rPr>
          <w:rFonts w:asciiTheme="minorHAnsi" w:eastAsiaTheme="minorEastAsia" w:hAnsiTheme="minorHAnsi" w:cstheme="minorHAnsi"/>
          <w:bCs/>
          <w:color w:val="000000" w:themeColor="text1"/>
          <w:kern w:val="24"/>
          <w:szCs w:val="21"/>
        </w:rPr>
        <w:t>4.1</w:t>
      </w:r>
      <w:r w:rsidR="00F40387">
        <w:rPr>
          <w:rFonts w:asciiTheme="minorHAnsi" w:eastAsiaTheme="minorEastAsia" w:hAnsiTheme="minorHAnsi" w:cstheme="minorHAnsi"/>
          <w:bCs/>
          <w:color w:val="000000" w:themeColor="text1"/>
          <w:kern w:val="24"/>
          <w:szCs w:val="21"/>
        </w:rPr>
        <w:t> million</w:t>
      </w:r>
      <w:r w:rsidRPr="009C14E5">
        <w:rPr>
          <w:rFonts w:asciiTheme="minorHAnsi" w:eastAsiaTheme="minorEastAsia" w:hAnsiTheme="minorHAnsi" w:cstheme="minorHAnsi"/>
          <w:bCs/>
          <w:color w:val="000000" w:themeColor="text1"/>
          <w:kern w:val="24"/>
          <w:szCs w:val="21"/>
        </w:rPr>
        <w:t xml:space="preserve"> people</w:t>
      </w:r>
      <w:r w:rsidR="00DA2528">
        <w:rPr>
          <w:rFonts w:asciiTheme="minorHAnsi" w:eastAsiaTheme="minorEastAsia" w:hAnsiTheme="minorHAnsi" w:cstheme="minorHAnsi"/>
          <w:bCs/>
          <w:color w:val="000000" w:themeColor="text1"/>
          <w:kern w:val="24"/>
          <w:szCs w:val="21"/>
        </w:rPr>
        <w:t xml:space="preserve"> at or</w:t>
      </w:r>
      <w:r w:rsidRPr="009C14E5">
        <w:rPr>
          <w:rFonts w:asciiTheme="minorHAnsi" w:eastAsiaTheme="minorEastAsia" w:hAnsiTheme="minorHAnsi" w:cstheme="minorHAnsi"/>
          <w:bCs/>
          <w:color w:val="000000" w:themeColor="text1"/>
          <w:kern w:val="24"/>
          <w:szCs w:val="21"/>
        </w:rPr>
        <w:t xml:space="preserve"> above the </w:t>
      </w:r>
      <w:r>
        <w:rPr>
          <w:rFonts w:asciiTheme="minorHAnsi" w:eastAsiaTheme="minorEastAsia" w:hAnsiTheme="minorHAnsi" w:cstheme="minorHAnsi"/>
          <w:bCs/>
          <w:color w:val="000000" w:themeColor="text1"/>
          <w:kern w:val="24"/>
          <w:szCs w:val="21"/>
        </w:rPr>
        <w:t xml:space="preserve">Age Pension </w:t>
      </w:r>
      <w:r w:rsidR="007A238C">
        <w:rPr>
          <w:rFonts w:asciiTheme="minorHAnsi" w:eastAsiaTheme="minorEastAsia" w:hAnsiTheme="minorHAnsi" w:cstheme="minorHAnsi"/>
          <w:bCs/>
          <w:color w:val="000000" w:themeColor="text1"/>
          <w:kern w:val="24"/>
          <w:szCs w:val="21"/>
        </w:rPr>
        <w:t xml:space="preserve">eligibility </w:t>
      </w:r>
      <w:r w:rsidRPr="009C14E5">
        <w:rPr>
          <w:rFonts w:asciiTheme="minorHAnsi" w:eastAsiaTheme="minorEastAsia" w:hAnsiTheme="minorHAnsi" w:cstheme="minorHAnsi"/>
          <w:bCs/>
          <w:color w:val="000000" w:themeColor="text1"/>
          <w:kern w:val="24"/>
          <w:szCs w:val="21"/>
        </w:rPr>
        <w:t>age</w:t>
      </w:r>
      <w:r w:rsidR="00E262F1">
        <w:rPr>
          <w:rFonts w:asciiTheme="minorHAnsi" w:eastAsiaTheme="minorEastAsia" w:hAnsiTheme="minorHAnsi" w:cstheme="minorHAnsi"/>
          <w:bCs/>
          <w:color w:val="000000" w:themeColor="text1"/>
          <w:kern w:val="24"/>
          <w:szCs w:val="21"/>
        </w:rPr>
        <w:t xml:space="preserve"> </w:t>
      </w:r>
      <w:r w:rsidR="00C60C10">
        <w:rPr>
          <w:rFonts w:asciiTheme="minorHAnsi" w:eastAsiaTheme="minorEastAsia" w:hAnsiTheme="minorHAnsi" w:cstheme="minorHAnsi"/>
          <w:bCs/>
          <w:color w:val="000000" w:themeColor="text1"/>
          <w:kern w:val="24"/>
          <w:szCs w:val="21"/>
        </w:rPr>
        <w:t>on</w:t>
      </w:r>
      <w:r w:rsidR="00E262F1">
        <w:rPr>
          <w:rFonts w:asciiTheme="minorHAnsi" w:eastAsiaTheme="minorEastAsia" w:hAnsiTheme="minorHAnsi" w:cstheme="minorHAnsi"/>
          <w:bCs/>
          <w:color w:val="000000" w:themeColor="text1"/>
          <w:kern w:val="24"/>
          <w:szCs w:val="21"/>
        </w:rPr>
        <w:t xml:space="preserve"> 30</w:t>
      </w:r>
      <w:r w:rsidR="00E46C6A">
        <w:rPr>
          <w:rFonts w:asciiTheme="minorHAnsi" w:eastAsiaTheme="minorEastAsia" w:hAnsiTheme="minorHAnsi" w:cstheme="minorHAnsi"/>
          <w:bCs/>
          <w:color w:val="000000" w:themeColor="text1"/>
          <w:kern w:val="24"/>
          <w:szCs w:val="21"/>
        </w:rPr>
        <w:t> June </w:t>
      </w:r>
      <w:r w:rsidR="00E262F1">
        <w:rPr>
          <w:rFonts w:asciiTheme="minorHAnsi" w:eastAsiaTheme="minorEastAsia" w:hAnsiTheme="minorHAnsi" w:cstheme="minorHAnsi"/>
          <w:bCs/>
          <w:color w:val="000000" w:themeColor="text1"/>
          <w:kern w:val="24"/>
          <w:szCs w:val="21"/>
        </w:rPr>
        <w:t>2022</w:t>
      </w:r>
      <w:r w:rsidRPr="009C14E5">
        <w:rPr>
          <w:rFonts w:asciiTheme="minorHAnsi" w:eastAsiaTheme="minorEastAsia" w:hAnsiTheme="minorHAnsi" w:cstheme="minorHAnsi"/>
          <w:bCs/>
          <w:color w:val="000000" w:themeColor="text1"/>
          <w:kern w:val="24"/>
          <w:szCs w:val="21"/>
        </w:rPr>
        <w:t xml:space="preserve">, </w:t>
      </w:r>
      <w:r w:rsidR="00E262F1">
        <w:rPr>
          <w:rFonts w:asciiTheme="minorHAnsi" w:eastAsiaTheme="minorEastAsia" w:hAnsiTheme="minorHAnsi" w:cstheme="minorHAnsi"/>
          <w:bCs/>
          <w:color w:val="000000" w:themeColor="text1"/>
          <w:kern w:val="24"/>
          <w:szCs w:val="21"/>
        </w:rPr>
        <w:t xml:space="preserve">making up </w:t>
      </w:r>
      <w:r w:rsidRPr="009C14E5">
        <w:rPr>
          <w:rFonts w:asciiTheme="minorHAnsi" w:eastAsiaTheme="minorEastAsia" w:hAnsiTheme="minorHAnsi" w:cstheme="minorHAnsi"/>
          <w:bCs/>
          <w:color w:val="000000" w:themeColor="text1"/>
          <w:kern w:val="24"/>
          <w:szCs w:val="21"/>
        </w:rPr>
        <w:t>1</w:t>
      </w:r>
      <w:r w:rsidR="00F6513F">
        <w:rPr>
          <w:rFonts w:asciiTheme="minorHAnsi" w:eastAsiaTheme="minorEastAsia" w:hAnsiTheme="minorHAnsi" w:cstheme="minorHAnsi"/>
          <w:bCs/>
          <w:color w:val="000000" w:themeColor="text1"/>
          <w:kern w:val="24"/>
          <w:szCs w:val="21"/>
        </w:rPr>
        <w:t>6</w:t>
      </w:r>
      <w:r w:rsidRPr="009C14E5">
        <w:rPr>
          <w:rFonts w:asciiTheme="minorHAnsi" w:eastAsiaTheme="minorEastAsia" w:hAnsiTheme="minorHAnsi" w:cstheme="minorHAnsi"/>
          <w:bCs/>
          <w:color w:val="000000" w:themeColor="text1"/>
          <w:kern w:val="24"/>
          <w:szCs w:val="21"/>
        </w:rPr>
        <w:t>% of the Australian population.</w:t>
      </w:r>
      <w:r w:rsidR="00486CC4">
        <w:rPr>
          <w:rFonts w:asciiTheme="minorHAnsi" w:eastAsiaTheme="minorEastAsia" w:hAnsiTheme="minorHAnsi" w:cstheme="minorHAnsi"/>
          <w:bCs/>
          <w:color w:val="000000" w:themeColor="text1"/>
          <w:kern w:val="24"/>
          <w:szCs w:val="21"/>
        </w:rPr>
        <w:t xml:space="preserve"> </w:t>
      </w:r>
      <w:r w:rsidR="00B04FCE">
        <w:rPr>
          <w:rFonts w:asciiTheme="minorHAnsi" w:eastAsiaTheme="minorEastAsia" w:hAnsiTheme="minorHAnsi" w:cstheme="minorHAnsi"/>
          <w:bCs/>
          <w:color w:val="000000" w:themeColor="text1"/>
          <w:kern w:val="24"/>
          <w:szCs w:val="21"/>
        </w:rPr>
        <w:t>‘</w:t>
      </w:r>
      <w:r w:rsidR="00F83102">
        <w:rPr>
          <w:rFonts w:asciiTheme="minorHAnsi" w:eastAsiaTheme="minorEastAsia" w:hAnsiTheme="minorHAnsi" w:cstheme="minorHAnsi"/>
          <w:bCs/>
          <w:color w:val="000000" w:themeColor="text1"/>
          <w:kern w:val="24"/>
          <w:szCs w:val="21"/>
        </w:rPr>
        <w:t>Retirement age</w:t>
      </w:r>
      <w:r w:rsidR="00B04FCE">
        <w:rPr>
          <w:rFonts w:asciiTheme="minorHAnsi" w:eastAsiaTheme="minorEastAsia" w:hAnsiTheme="minorHAnsi" w:cstheme="minorHAnsi"/>
          <w:bCs/>
          <w:color w:val="000000" w:themeColor="text1"/>
          <w:kern w:val="24"/>
          <w:szCs w:val="21"/>
        </w:rPr>
        <w:t>’</w:t>
      </w:r>
      <w:r w:rsidR="00C77C8D">
        <w:rPr>
          <w:rFonts w:asciiTheme="minorHAnsi" w:eastAsiaTheme="minorEastAsia" w:hAnsiTheme="minorHAnsi" w:cstheme="minorHAnsi"/>
          <w:bCs/>
          <w:color w:val="000000" w:themeColor="text1"/>
          <w:kern w:val="24"/>
          <w:szCs w:val="21"/>
        </w:rPr>
        <w:t xml:space="preserve"> for the purposes of</w:t>
      </w:r>
      <w:r w:rsidR="00F83102">
        <w:rPr>
          <w:rFonts w:asciiTheme="minorHAnsi" w:eastAsiaTheme="minorEastAsia" w:hAnsiTheme="minorHAnsi" w:cstheme="minorHAnsi"/>
          <w:bCs/>
          <w:color w:val="000000" w:themeColor="text1"/>
          <w:kern w:val="24"/>
          <w:szCs w:val="21"/>
        </w:rPr>
        <w:t xml:space="preserve"> this section refers to Age Pension eligibility age. At 30</w:t>
      </w:r>
      <w:r w:rsidR="00E46C6A">
        <w:rPr>
          <w:rFonts w:asciiTheme="minorHAnsi" w:eastAsiaTheme="minorEastAsia" w:hAnsiTheme="minorHAnsi" w:cstheme="minorHAnsi"/>
          <w:bCs/>
          <w:color w:val="000000" w:themeColor="text1"/>
          <w:kern w:val="24"/>
          <w:szCs w:val="21"/>
        </w:rPr>
        <w:t> June </w:t>
      </w:r>
      <w:r w:rsidR="00F83102">
        <w:rPr>
          <w:rFonts w:asciiTheme="minorHAnsi" w:eastAsiaTheme="minorEastAsia" w:hAnsiTheme="minorHAnsi" w:cstheme="minorHAnsi"/>
          <w:bCs/>
          <w:color w:val="000000" w:themeColor="text1"/>
          <w:kern w:val="24"/>
          <w:szCs w:val="21"/>
        </w:rPr>
        <w:t>2022, this age was 66</w:t>
      </w:r>
      <w:r w:rsidR="00E46C6A">
        <w:rPr>
          <w:rFonts w:asciiTheme="minorHAnsi" w:eastAsiaTheme="minorEastAsia" w:hAnsiTheme="minorHAnsi" w:cstheme="minorHAnsi"/>
          <w:bCs/>
          <w:color w:val="000000" w:themeColor="text1"/>
          <w:kern w:val="24"/>
          <w:szCs w:val="21"/>
        </w:rPr>
        <w:t> year</w:t>
      </w:r>
      <w:r w:rsidR="00F83102">
        <w:rPr>
          <w:rFonts w:asciiTheme="minorHAnsi" w:eastAsiaTheme="minorEastAsia" w:hAnsiTheme="minorHAnsi" w:cstheme="minorHAnsi"/>
          <w:bCs/>
          <w:color w:val="000000" w:themeColor="text1"/>
          <w:kern w:val="24"/>
          <w:szCs w:val="21"/>
        </w:rPr>
        <w:t>s and 6</w:t>
      </w:r>
      <w:r w:rsidR="007855DD">
        <w:rPr>
          <w:rFonts w:asciiTheme="minorHAnsi" w:eastAsiaTheme="minorEastAsia" w:hAnsiTheme="minorHAnsi" w:cstheme="minorHAnsi"/>
          <w:bCs/>
          <w:color w:val="000000" w:themeColor="text1"/>
          <w:kern w:val="24"/>
          <w:szCs w:val="21"/>
        </w:rPr>
        <w:t> months</w:t>
      </w:r>
      <w:r w:rsidR="00F83102">
        <w:rPr>
          <w:rFonts w:asciiTheme="minorHAnsi" w:eastAsiaTheme="minorEastAsia" w:hAnsiTheme="minorHAnsi" w:cstheme="minorHAnsi"/>
          <w:bCs/>
          <w:color w:val="000000" w:themeColor="text1"/>
          <w:kern w:val="24"/>
          <w:szCs w:val="21"/>
        </w:rPr>
        <w:t xml:space="preserve"> </w:t>
      </w:r>
      <w:r w:rsidR="00C77C8D">
        <w:rPr>
          <w:rFonts w:asciiTheme="minorHAnsi" w:eastAsiaTheme="minorEastAsia" w:hAnsiTheme="minorHAnsi" w:cstheme="minorHAnsi"/>
          <w:bCs/>
          <w:color w:val="000000" w:themeColor="text1"/>
          <w:kern w:val="24"/>
          <w:szCs w:val="21"/>
        </w:rPr>
        <w:t>(it</w:t>
      </w:r>
      <w:r w:rsidR="00F83102">
        <w:rPr>
          <w:rFonts w:asciiTheme="minorHAnsi" w:eastAsiaTheme="minorEastAsia" w:hAnsiTheme="minorHAnsi" w:cstheme="minorHAnsi"/>
          <w:bCs/>
          <w:color w:val="000000" w:themeColor="text1"/>
          <w:kern w:val="24"/>
          <w:szCs w:val="21"/>
        </w:rPr>
        <w:t xml:space="preserve"> has </w:t>
      </w:r>
      <w:r w:rsidR="00C77C8D">
        <w:rPr>
          <w:rFonts w:asciiTheme="minorHAnsi" w:eastAsiaTheme="minorEastAsia" w:hAnsiTheme="minorHAnsi" w:cstheme="minorHAnsi"/>
          <w:bCs/>
          <w:color w:val="000000" w:themeColor="text1"/>
          <w:kern w:val="24"/>
          <w:szCs w:val="21"/>
        </w:rPr>
        <w:t xml:space="preserve">since </w:t>
      </w:r>
      <w:r w:rsidR="00F83102">
        <w:rPr>
          <w:rFonts w:asciiTheme="minorHAnsi" w:eastAsiaTheme="minorEastAsia" w:hAnsiTheme="minorHAnsi" w:cstheme="minorHAnsi"/>
          <w:bCs/>
          <w:color w:val="000000" w:themeColor="text1"/>
          <w:kern w:val="24"/>
          <w:szCs w:val="21"/>
        </w:rPr>
        <w:t>increased to 67</w:t>
      </w:r>
      <w:r w:rsidR="00E46C6A">
        <w:rPr>
          <w:rFonts w:asciiTheme="minorHAnsi" w:eastAsiaTheme="minorEastAsia" w:hAnsiTheme="minorHAnsi" w:cstheme="minorHAnsi"/>
          <w:bCs/>
          <w:color w:val="000000" w:themeColor="text1"/>
          <w:kern w:val="24"/>
          <w:szCs w:val="21"/>
        </w:rPr>
        <w:t> year</w:t>
      </w:r>
      <w:r w:rsidR="00F83102">
        <w:rPr>
          <w:rFonts w:asciiTheme="minorHAnsi" w:eastAsiaTheme="minorEastAsia" w:hAnsiTheme="minorHAnsi" w:cstheme="minorHAnsi"/>
          <w:bCs/>
          <w:color w:val="000000" w:themeColor="text1"/>
          <w:kern w:val="24"/>
          <w:szCs w:val="21"/>
        </w:rPr>
        <w:t>s at 1</w:t>
      </w:r>
      <w:r w:rsidR="007855DD">
        <w:rPr>
          <w:rFonts w:asciiTheme="minorHAnsi" w:eastAsiaTheme="minorEastAsia" w:hAnsiTheme="minorHAnsi" w:cstheme="minorHAnsi"/>
          <w:bCs/>
          <w:color w:val="000000" w:themeColor="text1"/>
          <w:kern w:val="24"/>
          <w:szCs w:val="21"/>
        </w:rPr>
        <w:t> July </w:t>
      </w:r>
      <w:r w:rsidR="00F83102">
        <w:rPr>
          <w:rFonts w:asciiTheme="minorHAnsi" w:eastAsiaTheme="minorEastAsia" w:hAnsiTheme="minorHAnsi" w:cstheme="minorHAnsi"/>
          <w:bCs/>
          <w:color w:val="000000" w:themeColor="text1"/>
          <w:kern w:val="24"/>
          <w:szCs w:val="21"/>
        </w:rPr>
        <w:t>2023</w:t>
      </w:r>
      <w:r w:rsidR="00C77C8D">
        <w:rPr>
          <w:rFonts w:asciiTheme="minorHAnsi" w:eastAsiaTheme="minorEastAsia" w:hAnsiTheme="minorHAnsi" w:cstheme="minorHAnsi"/>
          <w:bCs/>
          <w:color w:val="000000" w:themeColor="text1"/>
          <w:kern w:val="24"/>
          <w:szCs w:val="21"/>
        </w:rPr>
        <w:t>)</w:t>
      </w:r>
      <w:r w:rsidR="00F83102">
        <w:rPr>
          <w:rFonts w:asciiTheme="minorHAnsi" w:eastAsiaTheme="minorEastAsia" w:hAnsiTheme="minorHAnsi" w:cstheme="minorHAnsi"/>
          <w:bCs/>
          <w:color w:val="000000" w:themeColor="text1"/>
          <w:kern w:val="24"/>
          <w:szCs w:val="21"/>
        </w:rPr>
        <w:t>.</w:t>
      </w:r>
    </w:p>
    <w:p w14:paraId="02335C7F" w14:textId="6102BD4C" w:rsidR="00BB5DB0" w:rsidRDefault="00C95BE9" w:rsidP="00CA31FE">
      <w:pPr>
        <w:pStyle w:val="FigureMainHeading"/>
        <w:spacing w:after="0"/>
      </w:pPr>
      <w:r w:rsidRPr="00D27014">
        <w:t>Australian population</w:t>
      </w:r>
    </w:p>
    <w:p w14:paraId="5ED452B8" w14:textId="0D98534C" w:rsidR="00CA31FE" w:rsidRPr="00CA31FE" w:rsidRDefault="00CA31FE" w:rsidP="00CA31FE">
      <w:pPr>
        <w:pStyle w:val="ChartGraphic"/>
      </w:pPr>
      <w:r>
        <w:rPr>
          <w:noProof/>
        </w:rPr>
        <w:drawing>
          <wp:inline distT="0" distB="0" distL="0" distR="0" wp14:anchorId="1E7BD0D4" wp14:editId="1B53D7F7">
            <wp:extent cx="4445000" cy="365760"/>
            <wp:effectExtent l="0" t="0" r="0" b="0"/>
            <wp:docPr id="21" name="Chart 21" descr="This picture shows that the people in this subsection, that is, aged 66 and over, make up 16% of the Australian population.">
              <a:extLst xmlns:a="http://schemas.openxmlformats.org/drawingml/2006/main">
                <a:ext uri="{FF2B5EF4-FFF2-40B4-BE49-F238E27FC236}">
                  <a16:creationId xmlns:a16="http://schemas.microsoft.com/office/drawing/2014/main" id="{00000000-0008-0000-0000-00003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CF5C8FF" w14:textId="2C92E15D" w:rsidR="00374AA7" w:rsidRPr="00C53C90" w:rsidRDefault="00A42A62" w:rsidP="00C53C90">
      <w:pPr>
        <w:pStyle w:val="Heading2notnumbered"/>
        <w:rPr>
          <w:rFonts w:eastAsiaTheme="minorEastAsia"/>
        </w:rPr>
      </w:pPr>
      <w:r w:rsidRPr="00C53C90">
        <w:rPr>
          <w:rFonts w:eastAsiaTheme="minorEastAsia"/>
        </w:rPr>
        <w:t>At 30</w:t>
      </w:r>
      <w:r w:rsidR="00E46C6A" w:rsidRPr="00C53C90">
        <w:rPr>
          <w:rFonts w:eastAsiaTheme="minorEastAsia"/>
        </w:rPr>
        <w:t> June </w:t>
      </w:r>
      <w:r w:rsidRPr="00C53C90">
        <w:rPr>
          <w:rFonts w:eastAsiaTheme="minorEastAsia"/>
        </w:rPr>
        <w:t>2022</w:t>
      </w:r>
      <w:r w:rsidR="00374AA7" w:rsidRPr="00C53C90">
        <w:rPr>
          <w:rFonts w:eastAsiaTheme="minorEastAsia"/>
        </w:rPr>
        <w:t xml:space="preserve">, </w:t>
      </w:r>
      <w:r w:rsidR="00D93338" w:rsidRPr="00C53C90">
        <w:rPr>
          <w:rFonts w:eastAsiaTheme="minorEastAsia"/>
        </w:rPr>
        <w:t>2.</w:t>
      </w:r>
      <w:r w:rsidR="00EA14F0" w:rsidRPr="00C53C90">
        <w:rPr>
          <w:rFonts w:eastAsiaTheme="minorEastAsia"/>
        </w:rPr>
        <w:t>5</w:t>
      </w:r>
      <w:r w:rsidR="00F40387" w:rsidRPr="00C53C90">
        <w:rPr>
          <w:rFonts w:eastAsiaTheme="minorEastAsia"/>
        </w:rPr>
        <w:t> million</w:t>
      </w:r>
      <w:r w:rsidR="00D93338" w:rsidRPr="00C53C90">
        <w:rPr>
          <w:rFonts w:eastAsiaTheme="minorEastAsia"/>
        </w:rPr>
        <w:t xml:space="preserve"> </w:t>
      </w:r>
      <w:r w:rsidR="00374AA7" w:rsidRPr="00C53C90">
        <w:rPr>
          <w:rFonts w:eastAsiaTheme="minorEastAsia"/>
        </w:rPr>
        <w:t>of the 4.1</w:t>
      </w:r>
      <w:r w:rsidR="00F40387" w:rsidRPr="00C53C90">
        <w:rPr>
          <w:rFonts w:eastAsiaTheme="minorEastAsia"/>
        </w:rPr>
        <w:t> million</w:t>
      </w:r>
      <w:r w:rsidR="00374AA7" w:rsidRPr="00C53C90">
        <w:rPr>
          <w:rFonts w:eastAsiaTheme="minorEastAsia"/>
        </w:rPr>
        <w:t xml:space="preserve"> Australians over </w:t>
      </w:r>
      <w:r w:rsidR="00497C40" w:rsidRPr="00C53C90">
        <w:rPr>
          <w:rFonts w:eastAsiaTheme="minorEastAsia"/>
        </w:rPr>
        <w:t>retirement</w:t>
      </w:r>
      <w:r w:rsidR="00374AA7" w:rsidRPr="00C53C90">
        <w:rPr>
          <w:rFonts w:eastAsiaTheme="minorEastAsia"/>
        </w:rPr>
        <w:t xml:space="preserve"> age received </w:t>
      </w:r>
      <w:r w:rsidR="00497C40" w:rsidRPr="00C53C90">
        <w:rPr>
          <w:rFonts w:eastAsiaTheme="minorEastAsia"/>
        </w:rPr>
        <w:t>the Age Pension</w:t>
      </w:r>
      <w:r w:rsidR="00374AA7" w:rsidRPr="00C53C90">
        <w:rPr>
          <w:rFonts w:eastAsiaTheme="minorEastAsia"/>
        </w:rPr>
        <w:t>.</w:t>
      </w:r>
    </w:p>
    <w:p w14:paraId="29C66F9C" w14:textId="05DE678D" w:rsidR="00B04FCE" w:rsidRDefault="00D93338" w:rsidP="00D52F35">
      <w:pPr>
        <w:spacing w:after="120"/>
        <w:rPr>
          <w:rFonts w:asciiTheme="minorHAnsi" w:eastAsiaTheme="minorEastAsia" w:hAnsiTheme="minorHAnsi" w:cstheme="minorHAnsi"/>
          <w:bCs/>
          <w:color w:val="000000" w:themeColor="text1"/>
          <w:kern w:val="24"/>
          <w:szCs w:val="21"/>
        </w:rPr>
      </w:pPr>
      <w:r>
        <w:rPr>
          <w:rFonts w:asciiTheme="minorHAnsi" w:eastAsiaTheme="minorEastAsia" w:hAnsiTheme="minorHAnsi" w:cstheme="minorHAnsi"/>
          <w:bCs/>
          <w:color w:val="000000" w:themeColor="text1"/>
          <w:kern w:val="24"/>
          <w:szCs w:val="21"/>
        </w:rPr>
        <w:t>Of the 2.</w:t>
      </w:r>
      <w:r w:rsidR="00CD7861">
        <w:rPr>
          <w:rFonts w:asciiTheme="minorHAnsi" w:eastAsiaTheme="minorEastAsia" w:hAnsiTheme="minorHAnsi" w:cstheme="minorHAnsi"/>
          <w:bCs/>
          <w:color w:val="000000" w:themeColor="text1"/>
          <w:kern w:val="24"/>
          <w:szCs w:val="21"/>
        </w:rPr>
        <w:t>5</w:t>
      </w:r>
      <w:r w:rsidR="00F40387">
        <w:rPr>
          <w:rFonts w:asciiTheme="minorHAnsi" w:eastAsiaTheme="minorEastAsia" w:hAnsiTheme="minorHAnsi" w:cstheme="minorHAnsi"/>
          <w:bCs/>
          <w:color w:val="000000" w:themeColor="text1"/>
          <w:kern w:val="24"/>
          <w:szCs w:val="21"/>
        </w:rPr>
        <w:t> million</w:t>
      </w:r>
      <w:r>
        <w:rPr>
          <w:rFonts w:asciiTheme="minorHAnsi" w:eastAsiaTheme="minorEastAsia" w:hAnsiTheme="minorHAnsi" w:cstheme="minorHAnsi"/>
          <w:bCs/>
          <w:color w:val="000000" w:themeColor="text1"/>
          <w:kern w:val="24"/>
          <w:szCs w:val="21"/>
        </w:rPr>
        <w:t xml:space="preserve"> </w:t>
      </w:r>
      <w:r w:rsidR="00514511">
        <w:rPr>
          <w:rFonts w:asciiTheme="minorHAnsi" w:eastAsiaTheme="minorEastAsia" w:hAnsiTheme="minorHAnsi" w:cstheme="minorHAnsi"/>
          <w:bCs/>
          <w:color w:val="000000" w:themeColor="text1"/>
          <w:kern w:val="24"/>
          <w:szCs w:val="21"/>
        </w:rPr>
        <w:t xml:space="preserve">people receiving </w:t>
      </w:r>
      <w:r>
        <w:rPr>
          <w:rFonts w:asciiTheme="minorHAnsi" w:eastAsiaTheme="minorEastAsia" w:hAnsiTheme="minorHAnsi" w:cstheme="minorHAnsi"/>
          <w:bCs/>
          <w:color w:val="000000" w:themeColor="text1"/>
          <w:kern w:val="24"/>
          <w:szCs w:val="21"/>
        </w:rPr>
        <w:t xml:space="preserve">Age Pension, </w:t>
      </w:r>
      <w:r w:rsidR="00374AA7" w:rsidRPr="00D92E4A">
        <w:rPr>
          <w:rFonts w:asciiTheme="minorHAnsi" w:eastAsiaTheme="minorEastAsia" w:hAnsiTheme="minorHAnsi" w:cstheme="minorHAnsi"/>
          <w:bCs/>
          <w:color w:val="000000" w:themeColor="text1"/>
          <w:kern w:val="24"/>
          <w:szCs w:val="21"/>
        </w:rPr>
        <w:t>1.6</w:t>
      </w:r>
      <w:r w:rsidR="00F40387">
        <w:rPr>
          <w:rFonts w:asciiTheme="minorHAnsi" w:eastAsiaTheme="minorEastAsia" w:hAnsiTheme="minorHAnsi" w:cstheme="minorHAnsi"/>
          <w:bCs/>
          <w:color w:val="000000" w:themeColor="text1"/>
          <w:kern w:val="24"/>
          <w:szCs w:val="21"/>
        </w:rPr>
        <w:t> million</w:t>
      </w:r>
      <w:r w:rsidR="0040299D">
        <w:rPr>
          <w:rFonts w:asciiTheme="minorHAnsi" w:eastAsiaTheme="minorEastAsia" w:hAnsiTheme="minorHAnsi" w:cstheme="minorHAnsi"/>
          <w:bCs/>
          <w:color w:val="000000" w:themeColor="text1"/>
          <w:kern w:val="24"/>
          <w:szCs w:val="21"/>
        </w:rPr>
        <w:t xml:space="preserve"> </w:t>
      </w:r>
      <w:r w:rsidR="00514511">
        <w:rPr>
          <w:rFonts w:asciiTheme="minorHAnsi" w:eastAsiaTheme="minorEastAsia" w:hAnsiTheme="minorHAnsi" w:cstheme="minorHAnsi"/>
          <w:bCs/>
          <w:color w:val="000000" w:themeColor="text1"/>
          <w:kern w:val="24"/>
          <w:szCs w:val="21"/>
        </w:rPr>
        <w:t>were</w:t>
      </w:r>
      <w:r w:rsidR="00514511" w:rsidRPr="00D92E4A" w:rsidDel="0040299D">
        <w:rPr>
          <w:rFonts w:asciiTheme="minorHAnsi" w:eastAsiaTheme="minorEastAsia" w:hAnsiTheme="minorHAnsi" w:cstheme="minorHAnsi"/>
          <w:bCs/>
          <w:color w:val="000000" w:themeColor="text1"/>
          <w:kern w:val="24"/>
          <w:szCs w:val="21"/>
        </w:rPr>
        <w:t xml:space="preserve"> </w:t>
      </w:r>
      <w:r w:rsidR="00374AA7" w:rsidRPr="00D92E4A">
        <w:rPr>
          <w:rFonts w:asciiTheme="minorHAnsi" w:eastAsiaTheme="minorEastAsia" w:hAnsiTheme="minorHAnsi" w:cstheme="minorHAnsi"/>
          <w:bCs/>
          <w:color w:val="000000" w:themeColor="text1"/>
          <w:kern w:val="24"/>
          <w:szCs w:val="21"/>
        </w:rPr>
        <w:t>eligible for the full rate</w:t>
      </w:r>
      <w:r w:rsidR="0040299D">
        <w:rPr>
          <w:rFonts w:asciiTheme="minorHAnsi" w:eastAsiaTheme="minorEastAsia" w:hAnsiTheme="minorHAnsi" w:cstheme="minorHAnsi"/>
          <w:bCs/>
          <w:color w:val="000000" w:themeColor="text1"/>
          <w:kern w:val="24"/>
          <w:szCs w:val="21"/>
        </w:rPr>
        <w:t xml:space="preserve"> and </w:t>
      </w:r>
      <w:r w:rsidR="00200AE8">
        <w:rPr>
          <w:rFonts w:asciiTheme="minorHAnsi" w:eastAsiaTheme="minorEastAsia" w:hAnsiTheme="minorHAnsi" w:cstheme="minorHAnsi"/>
          <w:bCs/>
          <w:color w:val="000000" w:themeColor="text1"/>
          <w:kern w:val="24"/>
          <w:szCs w:val="21"/>
        </w:rPr>
        <w:t>0.9</w:t>
      </w:r>
      <w:r w:rsidR="00F40387">
        <w:rPr>
          <w:rFonts w:asciiTheme="minorHAnsi" w:eastAsiaTheme="minorEastAsia" w:hAnsiTheme="minorHAnsi" w:cstheme="minorHAnsi"/>
          <w:bCs/>
          <w:color w:val="000000" w:themeColor="text1"/>
          <w:kern w:val="24"/>
          <w:szCs w:val="21"/>
        </w:rPr>
        <w:t> million</w:t>
      </w:r>
      <w:r w:rsidR="0040299D">
        <w:rPr>
          <w:rFonts w:asciiTheme="minorHAnsi" w:eastAsiaTheme="minorEastAsia" w:hAnsiTheme="minorHAnsi" w:cstheme="minorHAnsi"/>
          <w:bCs/>
          <w:color w:val="000000" w:themeColor="text1"/>
          <w:kern w:val="24"/>
          <w:szCs w:val="21"/>
        </w:rPr>
        <w:t xml:space="preserve"> </w:t>
      </w:r>
      <w:r w:rsidR="00514511">
        <w:rPr>
          <w:rFonts w:asciiTheme="minorHAnsi" w:eastAsiaTheme="minorEastAsia" w:hAnsiTheme="minorHAnsi" w:cstheme="minorHAnsi"/>
          <w:bCs/>
          <w:color w:val="000000" w:themeColor="text1"/>
          <w:kern w:val="24"/>
          <w:szCs w:val="21"/>
        </w:rPr>
        <w:t xml:space="preserve">for a </w:t>
      </w:r>
      <w:r w:rsidR="0040299D">
        <w:rPr>
          <w:rFonts w:asciiTheme="minorHAnsi" w:eastAsiaTheme="minorEastAsia" w:hAnsiTheme="minorHAnsi" w:cstheme="minorHAnsi"/>
          <w:bCs/>
          <w:color w:val="000000" w:themeColor="text1"/>
          <w:kern w:val="24"/>
          <w:szCs w:val="21"/>
        </w:rPr>
        <w:t>part</w:t>
      </w:r>
      <w:r>
        <w:rPr>
          <w:rFonts w:asciiTheme="minorHAnsi" w:eastAsiaTheme="minorEastAsia" w:hAnsiTheme="minorHAnsi" w:cstheme="minorHAnsi"/>
          <w:bCs/>
          <w:color w:val="000000" w:themeColor="text1"/>
          <w:kern w:val="24"/>
          <w:szCs w:val="21"/>
        </w:rPr>
        <w:t>ial</w:t>
      </w:r>
      <w:r w:rsidR="0040299D">
        <w:rPr>
          <w:rFonts w:asciiTheme="minorHAnsi" w:eastAsiaTheme="minorEastAsia" w:hAnsiTheme="minorHAnsi" w:cstheme="minorHAnsi"/>
          <w:bCs/>
          <w:color w:val="000000" w:themeColor="text1"/>
          <w:kern w:val="24"/>
          <w:szCs w:val="21"/>
        </w:rPr>
        <w:t xml:space="preserve"> rate</w:t>
      </w:r>
      <w:r w:rsidR="00374AA7" w:rsidRPr="00D92E4A">
        <w:rPr>
          <w:rFonts w:asciiTheme="minorHAnsi" w:eastAsiaTheme="minorEastAsia" w:hAnsiTheme="minorHAnsi" w:cstheme="minorHAnsi"/>
          <w:bCs/>
          <w:color w:val="000000" w:themeColor="text1"/>
          <w:kern w:val="24"/>
          <w:szCs w:val="21"/>
        </w:rPr>
        <w:t>.</w:t>
      </w:r>
    </w:p>
    <w:p w14:paraId="5ABD2DB7" w14:textId="6061D4D4" w:rsidR="00B04FCE" w:rsidRDefault="00374AA7" w:rsidP="00D52F35">
      <w:pPr>
        <w:spacing w:after="120"/>
        <w:rPr>
          <w:rFonts w:asciiTheme="minorHAnsi" w:eastAsiaTheme="minorEastAsia" w:hAnsiTheme="minorHAnsi" w:cstheme="minorHAnsi"/>
          <w:bCs/>
          <w:color w:val="000000" w:themeColor="text1"/>
          <w:kern w:val="24"/>
          <w:szCs w:val="21"/>
        </w:rPr>
      </w:pPr>
      <w:r w:rsidRPr="00D92E4A">
        <w:rPr>
          <w:rFonts w:asciiTheme="minorHAnsi" w:eastAsiaTheme="minorEastAsia" w:hAnsiTheme="minorHAnsi" w:cstheme="minorHAnsi"/>
          <w:bCs/>
          <w:color w:val="000000" w:themeColor="text1"/>
          <w:kern w:val="24"/>
          <w:szCs w:val="21"/>
        </w:rPr>
        <w:t>A</w:t>
      </w:r>
      <w:r w:rsidR="00FF717D">
        <w:rPr>
          <w:rFonts w:asciiTheme="minorHAnsi" w:eastAsiaTheme="minorEastAsia" w:hAnsiTheme="minorHAnsi" w:cstheme="minorHAnsi"/>
          <w:bCs/>
          <w:color w:val="000000" w:themeColor="text1"/>
          <w:kern w:val="24"/>
          <w:szCs w:val="21"/>
        </w:rPr>
        <w:t xml:space="preserve">s shown in </w:t>
      </w:r>
      <w:r w:rsidR="00FF717D">
        <w:rPr>
          <w:rFonts w:asciiTheme="minorHAnsi" w:eastAsiaTheme="minorEastAsia" w:hAnsiTheme="minorHAnsi" w:cstheme="minorHAnsi"/>
          <w:bCs/>
          <w:color w:val="000000" w:themeColor="text1"/>
          <w:kern w:val="24"/>
          <w:szCs w:val="21"/>
        </w:rPr>
        <w:fldChar w:fldCharType="begin"/>
      </w:r>
      <w:r w:rsidR="00FF717D">
        <w:rPr>
          <w:rFonts w:asciiTheme="minorHAnsi" w:eastAsiaTheme="minorEastAsia" w:hAnsiTheme="minorHAnsi" w:cstheme="minorHAnsi"/>
          <w:bCs/>
          <w:color w:val="000000" w:themeColor="text1"/>
          <w:kern w:val="24"/>
          <w:szCs w:val="21"/>
        </w:rPr>
        <w:instrText xml:space="preserve"> REF _Ref153298793 \h  \* MERGEFORMAT </w:instrText>
      </w:r>
      <w:r w:rsidR="00FF717D">
        <w:rPr>
          <w:rFonts w:asciiTheme="minorHAnsi" w:eastAsiaTheme="minorEastAsia" w:hAnsiTheme="minorHAnsi" w:cstheme="minorHAnsi"/>
          <w:bCs/>
          <w:color w:val="000000" w:themeColor="text1"/>
          <w:kern w:val="24"/>
          <w:szCs w:val="21"/>
        </w:rPr>
      </w:r>
      <w:r w:rsidR="00FF717D">
        <w:rPr>
          <w:rFonts w:asciiTheme="minorHAnsi" w:eastAsiaTheme="minorEastAsia" w:hAnsiTheme="minorHAnsi" w:cstheme="minorHAnsi"/>
          <w:bCs/>
          <w:color w:val="000000" w:themeColor="text1"/>
          <w:kern w:val="24"/>
          <w:szCs w:val="21"/>
        </w:rPr>
        <w:fldChar w:fldCharType="separate"/>
      </w:r>
      <w:r w:rsidR="00722C0A" w:rsidRPr="00722C0A">
        <w:rPr>
          <w:rFonts w:asciiTheme="minorHAnsi" w:eastAsiaTheme="minorEastAsia" w:hAnsiTheme="minorHAnsi" w:cstheme="minorHAnsi"/>
          <w:color w:val="000000" w:themeColor="text1"/>
          <w:kern w:val="24"/>
          <w:szCs w:val="21"/>
        </w:rPr>
        <w:t>Figure 6.1</w:t>
      </w:r>
      <w:r w:rsidR="00FF717D">
        <w:rPr>
          <w:rFonts w:asciiTheme="minorHAnsi" w:eastAsiaTheme="minorEastAsia" w:hAnsiTheme="minorHAnsi" w:cstheme="minorHAnsi"/>
          <w:bCs/>
          <w:color w:val="000000" w:themeColor="text1"/>
          <w:kern w:val="24"/>
          <w:szCs w:val="21"/>
        </w:rPr>
        <w:fldChar w:fldCharType="end"/>
      </w:r>
      <w:r w:rsidR="00FF717D">
        <w:rPr>
          <w:rFonts w:asciiTheme="minorHAnsi" w:eastAsiaTheme="minorEastAsia" w:hAnsiTheme="minorHAnsi" w:cstheme="minorHAnsi"/>
          <w:bCs/>
          <w:color w:val="000000" w:themeColor="text1"/>
          <w:kern w:val="24"/>
          <w:szCs w:val="21"/>
        </w:rPr>
        <w:t>,</w:t>
      </w:r>
      <w:r w:rsidRPr="00D92E4A">
        <w:rPr>
          <w:rFonts w:asciiTheme="minorHAnsi" w:eastAsiaTheme="minorEastAsia" w:hAnsiTheme="minorHAnsi" w:cstheme="minorHAnsi"/>
          <w:bCs/>
          <w:color w:val="000000" w:themeColor="text1"/>
          <w:kern w:val="24"/>
          <w:szCs w:val="21"/>
        </w:rPr>
        <w:t xml:space="preserve"> </w:t>
      </w:r>
      <w:r w:rsidR="00C93A64">
        <w:rPr>
          <w:rFonts w:asciiTheme="minorHAnsi" w:eastAsiaTheme="minorEastAsia" w:hAnsiTheme="minorHAnsi" w:cstheme="minorHAnsi"/>
          <w:bCs/>
          <w:color w:val="000000" w:themeColor="text1"/>
          <w:kern w:val="24"/>
          <w:szCs w:val="21"/>
        </w:rPr>
        <w:t xml:space="preserve">a </w:t>
      </w:r>
      <w:r w:rsidRPr="00D92E4A">
        <w:rPr>
          <w:rFonts w:asciiTheme="minorHAnsi" w:eastAsiaTheme="minorEastAsia" w:hAnsiTheme="minorHAnsi" w:cstheme="minorHAnsi"/>
          <w:bCs/>
          <w:color w:val="000000" w:themeColor="text1"/>
          <w:kern w:val="24"/>
          <w:szCs w:val="21"/>
        </w:rPr>
        <w:t xml:space="preserve">further </w:t>
      </w:r>
      <w:r w:rsidR="0040299D">
        <w:rPr>
          <w:rFonts w:asciiTheme="minorHAnsi" w:eastAsiaTheme="minorEastAsia" w:hAnsiTheme="minorHAnsi" w:cstheme="minorHAnsi"/>
          <w:bCs/>
          <w:color w:val="000000" w:themeColor="text1"/>
          <w:kern w:val="24"/>
          <w:szCs w:val="21"/>
        </w:rPr>
        <w:t>1</w:t>
      </w:r>
      <w:r w:rsidR="001E2344">
        <w:rPr>
          <w:rFonts w:asciiTheme="minorHAnsi" w:eastAsiaTheme="minorEastAsia" w:hAnsiTheme="minorHAnsi" w:cstheme="minorHAnsi"/>
          <w:bCs/>
          <w:color w:val="000000" w:themeColor="text1"/>
          <w:kern w:val="24"/>
          <w:szCs w:val="21"/>
        </w:rPr>
        <w:t>2</w:t>
      </w:r>
      <w:r w:rsidR="0040299D">
        <w:rPr>
          <w:rFonts w:asciiTheme="minorHAnsi" w:eastAsiaTheme="minorEastAsia" w:hAnsiTheme="minorHAnsi" w:cstheme="minorHAnsi"/>
          <w:bCs/>
          <w:color w:val="000000" w:themeColor="text1"/>
          <w:kern w:val="24"/>
          <w:szCs w:val="21"/>
        </w:rPr>
        <w:t xml:space="preserve">0,000 </w:t>
      </w:r>
      <w:r w:rsidR="00D93338">
        <w:rPr>
          <w:rFonts w:asciiTheme="minorHAnsi" w:eastAsiaTheme="minorEastAsia" w:hAnsiTheme="minorHAnsi" w:cstheme="minorHAnsi"/>
          <w:bCs/>
          <w:color w:val="000000" w:themeColor="text1"/>
          <w:kern w:val="24"/>
          <w:szCs w:val="21"/>
        </w:rPr>
        <w:t xml:space="preserve">people </w:t>
      </w:r>
      <w:r w:rsidRPr="00D92E4A">
        <w:rPr>
          <w:rFonts w:asciiTheme="minorHAnsi" w:eastAsiaTheme="minorEastAsia" w:hAnsiTheme="minorHAnsi" w:cstheme="minorHAnsi"/>
          <w:bCs/>
          <w:color w:val="000000" w:themeColor="text1"/>
          <w:kern w:val="24"/>
          <w:szCs w:val="21"/>
        </w:rPr>
        <w:t xml:space="preserve">received other </w:t>
      </w:r>
      <w:r w:rsidR="002943ED">
        <w:rPr>
          <w:rFonts w:asciiTheme="minorHAnsi" w:eastAsiaTheme="minorEastAsia" w:hAnsiTheme="minorHAnsi" w:cstheme="minorHAnsi"/>
          <w:bCs/>
          <w:color w:val="000000" w:themeColor="text1"/>
          <w:kern w:val="24"/>
          <w:szCs w:val="21"/>
        </w:rPr>
        <w:t>i</w:t>
      </w:r>
      <w:r w:rsidRPr="00D92E4A">
        <w:rPr>
          <w:rFonts w:asciiTheme="minorHAnsi" w:eastAsiaTheme="minorEastAsia" w:hAnsiTheme="minorHAnsi" w:cstheme="minorHAnsi"/>
          <w:bCs/>
          <w:color w:val="000000" w:themeColor="text1"/>
          <w:kern w:val="24"/>
          <w:szCs w:val="21"/>
        </w:rPr>
        <w:t xml:space="preserve">ncome </w:t>
      </w:r>
      <w:r w:rsidR="002943ED">
        <w:rPr>
          <w:rFonts w:asciiTheme="minorHAnsi" w:eastAsiaTheme="minorEastAsia" w:hAnsiTheme="minorHAnsi" w:cstheme="minorHAnsi"/>
          <w:bCs/>
          <w:color w:val="000000" w:themeColor="text1"/>
          <w:kern w:val="24"/>
          <w:szCs w:val="21"/>
        </w:rPr>
        <w:t>s</w:t>
      </w:r>
      <w:r w:rsidRPr="00D92E4A">
        <w:rPr>
          <w:rFonts w:asciiTheme="minorHAnsi" w:eastAsiaTheme="minorEastAsia" w:hAnsiTheme="minorHAnsi" w:cstheme="minorHAnsi"/>
          <w:bCs/>
          <w:color w:val="000000" w:themeColor="text1"/>
          <w:kern w:val="24"/>
          <w:szCs w:val="21"/>
        </w:rPr>
        <w:t>upport</w:t>
      </w:r>
      <w:r w:rsidR="00514511">
        <w:rPr>
          <w:rFonts w:asciiTheme="minorHAnsi" w:eastAsiaTheme="minorEastAsia" w:hAnsiTheme="minorHAnsi" w:cstheme="minorHAnsi"/>
          <w:bCs/>
          <w:color w:val="000000" w:themeColor="text1"/>
          <w:kern w:val="24"/>
          <w:szCs w:val="21"/>
        </w:rPr>
        <w:t>,</w:t>
      </w:r>
      <w:r w:rsidRPr="00D92E4A">
        <w:rPr>
          <w:rFonts w:asciiTheme="minorHAnsi" w:eastAsiaTheme="minorEastAsia" w:hAnsiTheme="minorHAnsi" w:cstheme="minorHAnsi"/>
          <w:bCs/>
          <w:color w:val="000000" w:themeColor="text1"/>
          <w:kern w:val="24"/>
          <w:szCs w:val="21"/>
        </w:rPr>
        <w:t xml:space="preserve"> including Disability Support Pension </w:t>
      </w:r>
      <w:r w:rsidR="00B70809">
        <w:rPr>
          <w:rFonts w:asciiTheme="minorHAnsi" w:eastAsiaTheme="minorEastAsia" w:hAnsiTheme="minorHAnsi" w:cstheme="minorHAnsi"/>
          <w:bCs/>
          <w:color w:val="000000" w:themeColor="text1"/>
          <w:kern w:val="24"/>
          <w:szCs w:val="21"/>
        </w:rPr>
        <w:t>(DSP)</w:t>
      </w:r>
      <w:r w:rsidRPr="00D92E4A">
        <w:rPr>
          <w:rFonts w:asciiTheme="minorHAnsi" w:eastAsiaTheme="minorEastAsia" w:hAnsiTheme="minorHAnsi" w:cstheme="minorHAnsi"/>
          <w:bCs/>
          <w:color w:val="000000" w:themeColor="text1"/>
          <w:kern w:val="24"/>
          <w:szCs w:val="21"/>
        </w:rPr>
        <w:t xml:space="preserve"> or Carer Payment.</w:t>
      </w:r>
    </w:p>
    <w:p w14:paraId="244231FE" w14:textId="4D327EB9" w:rsidR="0039382B" w:rsidRPr="00A13641" w:rsidRDefault="007855DD" w:rsidP="005E332C">
      <w:pPr>
        <w:pStyle w:val="FigureMainHeading"/>
      </w:pPr>
      <w:bookmarkStart w:id="62" w:name="_Ref153298793"/>
      <w:r>
        <w:t>Figure </w:t>
      </w:r>
      <w:r w:rsidR="00B80D45">
        <w:fldChar w:fldCharType="begin"/>
      </w:r>
      <w:r w:rsidR="00B80D45">
        <w:instrText xml:space="preserve"> STYLEREF 1 \s </w:instrText>
      </w:r>
      <w:r w:rsidR="00B80D45">
        <w:fldChar w:fldCharType="separate"/>
      </w:r>
      <w:r w:rsidR="00722C0A">
        <w:rPr>
          <w:noProof/>
        </w:rPr>
        <w:t>6</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1</w:t>
      </w:r>
      <w:r w:rsidR="00B80D45">
        <w:rPr>
          <w:noProof/>
        </w:rPr>
        <w:fldChar w:fldCharType="end"/>
      </w:r>
      <w:bookmarkEnd w:id="62"/>
      <w:r w:rsidR="005E332C">
        <w:t>:</w:t>
      </w:r>
      <w:r w:rsidR="005E332C">
        <w:tab/>
      </w:r>
      <w:r w:rsidR="00C95BE9">
        <w:t>R</w:t>
      </w:r>
      <w:r w:rsidR="00C95BE9" w:rsidRPr="00A13641">
        <w:t>etirement age (66</w:t>
      </w:r>
      <w:r w:rsidR="00E46C6A">
        <w:t> year</w:t>
      </w:r>
      <w:r w:rsidR="00C95BE9" w:rsidRPr="00A13641">
        <w:t>s 6</w:t>
      </w:r>
      <w:r>
        <w:t> months</w:t>
      </w:r>
      <w:r w:rsidR="00C95BE9" w:rsidRPr="00A13641">
        <w:t xml:space="preserve"> and over) composition at 30</w:t>
      </w:r>
      <w:r w:rsidR="00E46C6A">
        <w:t> June </w:t>
      </w:r>
      <w:r w:rsidR="00C95BE9" w:rsidRPr="00A13641">
        <w:t>2022</w:t>
      </w:r>
    </w:p>
    <w:p w14:paraId="1C60DE8E" w14:textId="77777777" w:rsidR="00B04FCE" w:rsidRDefault="007A560F" w:rsidP="00C95BE9">
      <w:pPr>
        <w:pStyle w:val="ChartGraphic"/>
      </w:pPr>
      <w:r>
        <w:rPr>
          <w:noProof/>
        </w:rPr>
        <w:drawing>
          <wp:inline distT="0" distB="0" distL="0" distR="0" wp14:anchorId="56EA11E9" wp14:editId="1D00C2A1">
            <wp:extent cx="4320000" cy="2742565"/>
            <wp:effectExtent l="0" t="0" r="4445" b="635"/>
            <wp:docPr id="11" name="Chart 11" descr="This chart shows that 65% of people aged 66 and over received income support at 30 June 2022, most of which was the Age Pension. Of the 62% who received the Age Pension, 40% were on full rate pension, and 22% were on part rate pens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50839C1" w14:textId="4B535B05" w:rsidR="00035389" w:rsidRDefault="006C5802" w:rsidP="00EF5B7F">
      <w:pPr>
        <w:pStyle w:val="Heading2notnumbered"/>
        <w:rPr>
          <w:rFonts w:eastAsiaTheme="minorEastAsia"/>
        </w:rPr>
      </w:pPr>
      <w:r>
        <w:rPr>
          <w:rFonts w:eastAsiaTheme="minorEastAsia"/>
        </w:rPr>
        <w:t xml:space="preserve">The extent of interaction with the social security system at retirement is closely related to the length of income support use during </w:t>
      </w:r>
      <w:r w:rsidR="000E14EE">
        <w:rPr>
          <w:rFonts w:eastAsiaTheme="minorEastAsia"/>
        </w:rPr>
        <w:t>a person</w:t>
      </w:r>
      <w:r w:rsidR="00B04FCE">
        <w:rPr>
          <w:rFonts w:eastAsiaTheme="minorEastAsia"/>
        </w:rPr>
        <w:t>’</w:t>
      </w:r>
      <w:r w:rsidR="000E14EE">
        <w:rPr>
          <w:rFonts w:eastAsiaTheme="minorEastAsia"/>
        </w:rPr>
        <w:t xml:space="preserve">s </w:t>
      </w:r>
      <w:r>
        <w:rPr>
          <w:rFonts w:eastAsiaTheme="minorEastAsia"/>
        </w:rPr>
        <w:t>working life.</w:t>
      </w:r>
    </w:p>
    <w:p w14:paraId="3464E511" w14:textId="2372357D" w:rsidR="00D0247A" w:rsidRPr="00C1426E" w:rsidDel="00D0247A" w:rsidRDefault="00D0247A" w:rsidP="005E6E1B">
      <w:pPr>
        <w:spacing w:after="120"/>
        <w:rPr>
          <w:rFonts w:asciiTheme="minorHAnsi" w:eastAsiaTheme="minorEastAsia" w:hAnsiTheme="minorHAnsi" w:cstheme="minorHAnsi"/>
          <w:color w:val="000000" w:themeColor="text1"/>
          <w:kern w:val="24"/>
        </w:rPr>
      </w:pPr>
      <w:r w:rsidRPr="00C1426E">
        <w:rPr>
          <w:rFonts w:asciiTheme="minorHAnsi" w:eastAsiaTheme="minorEastAsia" w:hAnsiTheme="minorHAnsi" w:cstheme="minorHAnsi"/>
          <w:color w:val="000000" w:themeColor="text1"/>
          <w:kern w:val="24"/>
        </w:rPr>
        <w:t>In 2021</w:t>
      </w:r>
      <w:r w:rsidR="009F12CC">
        <w:rPr>
          <w:rFonts w:asciiTheme="minorHAnsi" w:eastAsiaTheme="minorEastAsia" w:hAnsiTheme="minorHAnsi" w:cstheme="minorHAnsi"/>
          <w:color w:val="000000" w:themeColor="text1"/>
          <w:kern w:val="24"/>
        </w:rPr>
        <w:t>–</w:t>
      </w:r>
      <w:r w:rsidRPr="00C1426E">
        <w:rPr>
          <w:rFonts w:asciiTheme="minorHAnsi" w:eastAsiaTheme="minorEastAsia" w:hAnsiTheme="minorHAnsi" w:cstheme="minorHAnsi"/>
          <w:color w:val="000000" w:themeColor="text1"/>
          <w:kern w:val="24"/>
        </w:rPr>
        <w:t xml:space="preserve">22, </w:t>
      </w:r>
      <w:r w:rsidR="00F34E70" w:rsidRPr="00C1426E">
        <w:rPr>
          <w:rFonts w:asciiTheme="minorHAnsi" w:eastAsiaTheme="minorEastAsia" w:hAnsiTheme="minorHAnsi" w:cstheme="minorHAnsi"/>
          <w:color w:val="000000" w:themeColor="text1"/>
          <w:kern w:val="24"/>
        </w:rPr>
        <w:t xml:space="preserve">136,000 people reached </w:t>
      </w:r>
      <w:r w:rsidR="00AD6FEE">
        <w:rPr>
          <w:rFonts w:asciiTheme="minorHAnsi" w:eastAsiaTheme="minorEastAsia" w:hAnsiTheme="minorHAnsi" w:cstheme="minorHAnsi"/>
          <w:color w:val="000000" w:themeColor="text1"/>
          <w:kern w:val="24"/>
        </w:rPr>
        <w:t>retirement</w:t>
      </w:r>
      <w:r w:rsidR="00F34E70" w:rsidRPr="00C1426E">
        <w:rPr>
          <w:rFonts w:asciiTheme="minorHAnsi" w:eastAsiaTheme="minorEastAsia" w:hAnsiTheme="minorHAnsi" w:cstheme="minorHAnsi"/>
          <w:color w:val="000000" w:themeColor="text1"/>
          <w:kern w:val="24"/>
        </w:rPr>
        <w:t xml:space="preserve"> age, and 44,000 (32%) </w:t>
      </w:r>
      <w:r w:rsidR="00AD6FEE">
        <w:rPr>
          <w:rFonts w:asciiTheme="minorHAnsi" w:eastAsiaTheme="minorEastAsia" w:hAnsiTheme="minorHAnsi" w:cstheme="minorHAnsi"/>
          <w:color w:val="000000" w:themeColor="text1"/>
          <w:kern w:val="24"/>
        </w:rPr>
        <w:t>began receiving</w:t>
      </w:r>
      <w:r w:rsidR="00AD6FEE" w:rsidRPr="00C1426E">
        <w:rPr>
          <w:rFonts w:asciiTheme="minorHAnsi" w:eastAsiaTheme="minorEastAsia" w:hAnsiTheme="minorHAnsi" w:cstheme="minorHAnsi"/>
          <w:color w:val="000000" w:themeColor="text1"/>
          <w:kern w:val="24"/>
        </w:rPr>
        <w:t xml:space="preserve"> </w:t>
      </w:r>
      <w:r w:rsidR="00F34E70" w:rsidRPr="00C1426E">
        <w:rPr>
          <w:rFonts w:asciiTheme="minorHAnsi" w:eastAsiaTheme="minorEastAsia" w:hAnsiTheme="minorHAnsi" w:cstheme="minorHAnsi"/>
          <w:color w:val="000000" w:themeColor="text1"/>
          <w:kern w:val="24"/>
        </w:rPr>
        <w:t>Age Pension</w:t>
      </w:r>
      <w:r w:rsidR="007E256C" w:rsidRPr="00C1426E">
        <w:rPr>
          <w:rFonts w:asciiTheme="minorHAnsi" w:eastAsiaTheme="minorEastAsia" w:hAnsiTheme="minorHAnsi" w:cstheme="minorHAnsi"/>
          <w:color w:val="000000" w:themeColor="text1"/>
          <w:kern w:val="24"/>
        </w:rPr>
        <w:t xml:space="preserve">. </w:t>
      </w:r>
      <w:r w:rsidR="00713BEB" w:rsidRPr="00C1426E">
        <w:rPr>
          <w:rFonts w:asciiTheme="minorHAnsi" w:eastAsiaTheme="minorEastAsia" w:hAnsiTheme="minorHAnsi" w:cstheme="minorHAnsi"/>
          <w:color w:val="000000" w:themeColor="text1"/>
          <w:kern w:val="24"/>
        </w:rPr>
        <w:t xml:space="preserve">As shown </w:t>
      </w:r>
      <w:r w:rsidR="00AD6FEE">
        <w:rPr>
          <w:rFonts w:asciiTheme="minorHAnsi" w:eastAsiaTheme="minorEastAsia" w:hAnsiTheme="minorHAnsi" w:cstheme="minorHAnsi"/>
          <w:color w:val="000000" w:themeColor="text1"/>
          <w:kern w:val="24"/>
        </w:rPr>
        <w:t>i</w:t>
      </w:r>
      <w:r w:rsidR="00713BEB" w:rsidRPr="00C1426E">
        <w:rPr>
          <w:rFonts w:asciiTheme="minorHAnsi" w:eastAsiaTheme="minorEastAsia" w:hAnsiTheme="minorHAnsi" w:cstheme="minorHAnsi"/>
          <w:color w:val="000000" w:themeColor="text1"/>
          <w:kern w:val="24"/>
        </w:rPr>
        <w:t xml:space="preserve">n </w:t>
      </w:r>
      <w:r w:rsidR="00355643">
        <w:rPr>
          <w:rFonts w:asciiTheme="minorHAnsi" w:eastAsiaTheme="minorEastAsia" w:hAnsiTheme="minorHAnsi" w:cstheme="minorHAnsi"/>
          <w:color w:val="000000" w:themeColor="text1"/>
          <w:kern w:val="24"/>
        </w:rPr>
        <w:fldChar w:fldCharType="begin"/>
      </w:r>
      <w:r w:rsidR="00355643">
        <w:rPr>
          <w:rFonts w:asciiTheme="minorHAnsi" w:eastAsiaTheme="minorEastAsia" w:hAnsiTheme="minorHAnsi" w:cstheme="minorHAnsi"/>
          <w:color w:val="000000" w:themeColor="text1"/>
          <w:kern w:val="24"/>
        </w:rPr>
        <w:instrText xml:space="preserve"> REF _Ref153303940 \h  \* MERGEFORMAT </w:instrText>
      </w:r>
      <w:r w:rsidR="00355643">
        <w:rPr>
          <w:rFonts w:asciiTheme="minorHAnsi" w:eastAsiaTheme="minorEastAsia" w:hAnsiTheme="minorHAnsi" w:cstheme="minorHAnsi"/>
          <w:color w:val="000000" w:themeColor="text1"/>
          <w:kern w:val="24"/>
        </w:rPr>
      </w:r>
      <w:r w:rsidR="00355643">
        <w:rPr>
          <w:rFonts w:asciiTheme="minorHAnsi" w:eastAsiaTheme="minorEastAsia" w:hAnsiTheme="minorHAnsi" w:cstheme="minorHAnsi"/>
          <w:color w:val="000000" w:themeColor="text1"/>
          <w:kern w:val="24"/>
        </w:rPr>
        <w:fldChar w:fldCharType="separate"/>
      </w:r>
      <w:r w:rsidR="00722C0A" w:rsidRPr="00722C0A">
        <w:rPr>
          <w:rFonts w:asciiTheme="minorHAnsi" w:eastAsiaTheme="minorEastAsia" w:hAnsiTheme="minorHAnsi" w:cstheme="minorHAnsi"/>
          <w:color w:val="000000" w:themeColor="text1"/>
          <w:kern w:val="24"/>
        </w:rPr>
        <w:t>Figure 6.2</w:t>
      </w:r>
      <w:r w:rsidR="00355643">
        <w:rPr>
          <w:rFonts w:asciiTheme="minorHAnsi" w:eastAsiaTheme="minorEastAsia" w:hAnsiTheme="minorHAnsi" w:cstheme="minorHAnsi"/>
          <w:color w:val="000000" w:themeColor="text1"/>
          <w:kern w:val="24"/>
        </w:rPr>
        <w:fldChar w:fldCharType="end"/>
      </w:r>
      <w:r w:rsidR="00713BEB" w:rsidRPr="00C1426E">
        <w:rPr>
          <w:rFonts w:asciiTheme="minorHAnsi" w:eastAsiaTheme="minorEastAsia" w:hAnsiTheme="minorHAnsi" w:cstheme="minorHAnsi"/>
          <w:color w:val="000000" w:themeColor="text1"/>
          <w:kern w:val="24"/>
        </w:rPr>
        <w:t xml:space="preserve">, </w:t>
      </w:r>
      <w:r w:rsidR="00AD6FEE">
        <w:rPr>
          <w:rFonts w:asciiTheme="minorHAnsi" w:eastAsiaTheme="minorEastAsia" w:hAnsiTheme="minorHAnsi" w:cstheme="minorHAnsi"/>
          <w:color w:val="000000" w:themeColor="text1"/>
          <w:kern w:val="24"/>
        </w:rPr>
        <w:t>this group</w:t>
      </w:r>
      <w:r w:rsidR="007E256C" w:rsidRPr="00C1426E">
        <w:rPr>
          <w:rFonts w:asciiTheme="minorHAnsi" w:eastAsiaTheme="minorEastAsia" w:hAnsiTheme="minorHAnsi" w:cstheme="minorHAnsi"/>
          <w:color w:val="000000" w:themeColor="text1"/>
          <w:kern w:val="24"/>
        </w:rPr>
        <w:t xml:space="preserve"> spent an average of 2.2</w:t>
      </w:r>
      <w:r w:rsidR="00E46C6A">
        <w:rPr>
          <w:rFonts w:asciiTheme="minorHAnsi" w:eastAsiaTheme="minorEastAsia" w:hAnsiTheme="minorHAnsi" w:cstheme="minorHAnsi"/>
          <w:color w:val="000000" w:themeColor="text1"/>
          <w:kern w:val="24"/>
        </w:rPr>
        <w:t> year</w:t>
      </w:r>
      <w:r w:rsidR="007E256C" w:rsidRPr="00C1426E">
        <w:rPr>
          <w:rFonts w:asciiTheme="minorHAnsi" w:eastAsiaTheme="minorEastAsia" w:hAnsiTheme="minorHAnsi" w:cstheme="minorHAnsi"/>
          <w:color w:val="000000" w:themeColor="text1"/>
          <w:kern w:val="24"/>
        </w:rPr>
        <w:t xml:space="preserve">s on </w:t>
      </w:r>
      <w:r w:rsidR="00AD6FEE">
        <w:rPr>
          <w:rFonts w:asciiTheme="minorHAnsi" w:eastAsiaTheme="minorEastAsia" w:hAnsiTheme="minorHAnsi" w:cstheme="minorHAnsi"/>
          <w:color w:val="000000" w:themeColor="text1"/>
          <w:kern w:val="24"/>
        </w:rPr>
        <w:t xml:space="preserve">an </w:t>
      </w:r>
      <w:r w:rsidR="007E256C" w:rsidRPr="00C1426E">
        <w:rPr>
          <w:rFonts w:asciiTheme="minorHAnsi" w:eastAsiaTheme="minorEastAsia" w:hAnsiTheme="minorHAnsi" w:cstheme="minorHAnsi"/>
          <w:color w:val="000000" w:themeColor="text1"/>
          <w:kern w:val="24"/>
        </w:rPr>
        <w:t xml:space="preserve">income support payment in the </w:t>
      </w:r>
      <w:r w:rsidR="00AD6FEE">
        <w:rPr>
          <w:rFonts w:asciiTheme="minorHAnsi" w:eastAsiaTheme="minorEastAsia" w:hAnsiTheme="minorHAnsi" w:cstheme="minorHAnsi"/>
          <w:color w:val="000000" w:themeColor="text1"/>
          <w:kern w:val="24"/>
        </w:rPr>
        <w:t>previous</w:t>
      </w:r>
      <w:r w:rsidR="00AD6FEE" w:rsidRPr="00C1426E">
        <w:rPr>
          <w:rFonts w:asciiTheme="minorHAnsi" w:eastAsiaTheme="minorEastAsia" w:hAnsiTheme="minorHAnsi" w:cstheme="minorHAnsi"/>
          <w:color w:val="000000" w:themeColor="text1"/>
          <w:kern w:val="24"/>
        </w:rPr>
        <w:t xml:space="preserve"> </w:t>
      </w:r>
      <w:r w:rsidR="007E256C" w:rsidRPr="00C1426E">
        <w:rPr>
          <w:rFonts w:asciiTheme="minorHAnsi" w:eastAsiaTheme="minorEastAsia" w:hAnsiTheme="minorHAnsi" w:cstheme="minorHAnsi"/>
          <w:color w:val="000000" w:themeColor="text1"/>
          <w:kern w:val="24"/>
        </w:rPr>
        <w:t>5</w:t>
      </w:r>
      <w:r w:rsidR="00E46C6A">
        <w:rPr>
          <w:rFonts w:asciiTheme="minorHAnsi" w:eastAsiaTheme="minorEastAsia" w:hAnsiTheme="minorHAnsi" w:cstheme="minorHAnsi"/>
          <w:color w:val="000000" w:themeColor="text1"/>
          <w:kern w:val="24"/>
        </w:rPr>
        <w:t> year</w:t>
      </w:r>
      <w:r w:rsidR="007E256C" w:rsidRPr="00C1426E">
        <w:rPr>
          <w:rFonts w:asciiTheme="minorHAnsi" w:eastAsiaTheme="minorEastAsia" w:hAnsiTheme="minorHAnsi" w:cstheme="minorHAnsi"/>
          <w:color w:val="000000" w:themeColor="text1"/>
          <w:kern w:val="24"/>
        </w:rPr>
        <w:t xml:space="preserve">s </w:t>
      </w:r>
      <w:r w:rsidR="00AD6FEE">
        <w:rPr>
          <w:rFonts w:asciiTheme="minorHAnsi" w:eastAsiaTheme="minorEastAsia" w:hAnsiTheme="minorHAnsi" w:cstheme="minorHAnsi"/>
          <w:color w:val="000000" w:themeColor="text1"/>
          <w:kern w:val="24"/>
        </w:rPr>
        <w:t>before receiving Age Pension, and half</w:t>
      </w:r>
      <w:r w:rsidR="007E256C" w:rsidRPr="00C1426E">
        <w:rPr>
          <w:rFonts w:asciiTheme="minorHAnsi" w:eastAsiaTheme="minorEastAsia" w:hAnsiTheme="minorHAnsi" w:cstheme="minorHAnsi"/>
          <w:color w:val="000000" w:themeColor="text1"/>
          <w:kern w:val="24"/>
        </w:rPr>
        <w:t xml:space="preserve"> of </w:t>
      </w:r>
      <w:r w:rsidR="00AD6FEE">
        <w:rPr>
          <w:rFonts w:asciiTheme="minorHAnsi" w:eastAsiaTheme="minorEastAsia" w:hAnsiTheme="minorHAnsi" w:cstheme="minorHAnsi"/>
          <w:color w:val="000000" w:themeColor="text1"/>
          <w:kern w:val="24"/>
        </w:rPr>
        <w:t>this time was spent in receipt of a</w:t>
      </w:r>
      <w:r w:rsidR="00713BEB" w:rsidRPr="00C1426E">
        <w:rPr>
          <w:rFonts w:asciiTheme="minorHAnsi" w:eastAsiaTheme="minorEastAsia" w:hAnsiTheme="minorHAnsi" w:cstheme="minorHAnsi"/>
          <w:color w:val="000000" w:themeColor="text1"/>
          <w:kern w:val="24"/>
        </w:rPr>
        <w:t xml:space="preserve"> w</w:t>
      </w:r>
      <w:r w:rsidR="007E256C" w:rsidRPr="00C1426E">
        <w:rPr>
          <w:rFonts w:asciiTheme="minorHAnsi" w:eastAsiaTheme="minorEastAsia" w:hAnsiTheme="minorHAnsi" w:cstheme="minorHAnsi"/>
          <w:color w:val="000000" w:themeColor="text1"/>
          <w:kern w:val="24"/>
        </w:rPr>
        <w:t xml:space="preserve">orking age payment. In comparison, those who did not </w:t>
      </w:r>
      <w:r w:rsidR="00AD6FEE">
        <w:rPr>
          <w:rFonts w:asciiTheme="minorHAnsi" w:eastAsiaTheme="minorEastAsia" w:hAnsiTheme="minorHAnsi" w:cstheme="minorHAnsi"/>
          <w:color w:val="000000" w:themeColor="text1"/>
          <w:kern w:val="24"/>
        </w:rPr>
        <w:t>begin receiving</w:t>
      </w:r>
      <w:r w:rsidR="007E256C" w:rsidRPr="00C1426E">
        <w:rPr>
          <w:rFonts w:asciiTheme="minorHAnsi" w:eastAsiaTheme="minorEastAsia" w:hAnsiTheme="minorHAnsi" w:cstheme="minorHAnsi"/>
          <w:color w:val="000000" w:themeColor="text1"/>
          <w:kern w:val="24"/>
        </w:rPr>
        <w:t xml:space="preserve"> Age Pension </w:t>
      </w:r>
      <w:r w:rsidR="00AD6FEE">
        <w:rPr>
          <w:rFonts w:asciiTheme="minorHAnsi" w:eastAsiaTheme="minorEastAsia" w:hAnsiTheme="minorHAnsi" w:cstheme="minorHAnsi"/>
          <w:color w:val="000000" w:themeColor="text1"/>
          <w:kern w:val="24"/>
        </w:rPr>
        <w:t>when</w:t>
      </w:r>
      <w:r w:rsidR="00AD6FEE" w:rsidRPr="00C1426E">
        <w:rPr>
          <w:rFonts w:asciiTheme="minorHAnsi" w:eastAsiaTheme="minorEastAsia" w:hAnsiTheme="minorHAnsi" w:cstheme="minorHAnsi"/>
          <w:color w:val="000000" w:themeColor="text1"/>
          <w:kern w:val="24"/>
        </w:rPr>
        <w:t xml:space="preserve"> </w:t>
      </w:r>
      <w:r w:rsidR="007E256C" w:rsidRPr="00C1426E">
        <w:rPr>
          <w:rFonts w:asciiTheme="minorHAnsi" w:eastAsiaTheme="minorEastAsia" w:hAnsiTheme="minorHAnsi" w:cstheme="minorHAnsi"/>
          <w:color w:val="000000" w:themeColor="text1"/>
          <w:kern w:val="24"/>
        </w:rPr>
        <w:t xml:space="preserve">they reached </w:t>
      </w:r>
      <w:r w:rsidR="00AD6FEE">
        <w:rPr>
          <w:rFonts w:asciiTheme="minorHAnsi" w:eastAsiaTheme="minorEastAsia" w:hAnsiTheme="minorHAnsi" w:cstheme="minorHAnsi"/>
          <w:color w:val="000000" w:themeColor="text1"/>
          <w:kern w:val="24"/>
        </w:rPr>
        <w:t>eligibility</w:t>
      </w:r>
      <w:r w:rsidR="007E256C" w:rsidRPr="00C1426E">
        <w:rPr>
          <w:rFonts w:asciiTheme="minorHAnsi" w:eastAsiaTheme="minorEastAsia" w:hAnsiTheme="minorHAnsi" w:cstheme="minorHAnsi"/>
          <w:color w:val="000000" w:themeColor="text1"/>
          <w:kern w:val="24"/>
        </w:rPr>
        <w:t xml:space="preserve"> age spent only 0.6</w:t>
      </w:r>
      <w:r w:rsidR="00E46C6A">
        <w:rPr>
          <w:rFonts w:asciiTheme="minorHAnsi" w:eastAsiaTheme="minorEastAsia" w:hAnsiTheme="minorHAnsi" w:cstheme="minorHAnsi"/>
          <w:color w:val="000000" w:themeColor="text1"/>
          <w:kern w:val="24"/>
        </w:rPr>
        <w:t> year</w:t>
      </w:r>
      <w:r w:rsidR="007E256C" w:rsidRPr="00C1426E">
        <w:rPr>
          <w:rFonts w:asciiTheme="minorHAnsi" w:eastAsiaTheme="minorEastAsia" w:hAnsiTheme="minorHAnsi" w:cstheme="minorHAnsi"/>
          <w:color w:val="000000" w:themeColor="text1"/>
          <w:kern w:val="24"/>
        </w:rPr>
        <w:t>s on inc</w:t>
      </w:r>
      <w:r w:rsidR="00713BEB" w:rsidRPr="00C1426E">
        <w:rPr>
          <w:rFonts w:asciiTheme="minorHAnsi" w:eastAsiaTheme="minorEastAsia" w:hAnsiTheme="minorHAnsi" w:cstheme="minorHAnsi"/>
          <w:color w:val="000000" w:themeColor="text1"/>
          <w:kern w:val="24"/>
        </w:rPr>
        <w:t>ome support in the past 5</w:t>
      </w:r>
      <w:r w:rsidR="00E46C6A">
        <w:rPr>
          <w:rFonts w:asciiTheme="minorHAnsi" w:eastAsiaTheme="minorEastAsia" w:hAnsiTheme="minorHAnsi" w:cstheme="minorHAnsi"/>
          <w:color w:val="000000" w:themeColor="text1"/>
          <w:kern w:val="24"/>
        </w:rPr>
        <w:t> year</w:t>
      </w:r>
      <w:r w:rsidR="00713BEB" w:rsidRPr="00C1426E">
        <w:rPr>
          <w:rFonts w:asciiTheme="minorHAnsi" w:eastAsiaTheme="minorEastAsia" w:hAnsiTheme="minorHAnsi" w:cstheme="minorHAnsi"/>
          <w:color w:val="000000" w:themeColor="text1"/>
          <w:kern w:val="24"/>
        </w:rPr>
        <w:t xml:space="preserve">s, </w:t>
      </w:r>
      <w:r w:rsidR="00AD6FEE">
        <w:rPr>
          <w:rFonts w:asciiTheme="minorHAnsi" w:eastAsiaTheme="minorEastAsia" w:hAnsiTheme="minorHAnsi" w:cstheme="minorHAnsi"/>
          <w:color w:val="000000" w:themeColor="text1"/>
          <w:kern w:val="24"/>
        </w:rPr>
        <w:t>including</w:t>
      </w:r>
      <w:r w:rsidR="00AD6FEE" w:rsidRPr="00C1426E">
        <w:rPr>
          <w:rFonts w:asciiTheme="minorHAnsi" w:eastAsiaTheme="minorEastAsia" w:hAnsiTheme="minorHAnsi" w:cstheme="minorHAnsi"/>
          <w:color w:val="000000" w:themeColor="text1"/>
          <w:kern w:val="24"/>
        </w:rPr>
        <w:t xml:space="preserve"> </w:t>
      </w:r>
      <w:r w:rsidR="00713BEB" w:rsidRPr="00C1426E">
        <w:rPr>
          <w:rFonts w:asciiTheme="minorHAnsi" w:eastAsiaTheme="minorEastAsia" w:hAnsiTheme="minorHAnsi" w:cstheme="minorHAnsi"/>
          <w:color w:val="000000" w:themeColor="text1"/>
          <w:kern w:val="24"/>
        </w:rPr>
        <w:t>an average of 0.3</w:t>
      </w:r>
      <w:r w:rsidR="00E46C6A">
        <w:rPr>
          <w:rFonts w:asciiTheme="minorHAnsi" w:eastAsiaTheme="minorEastAsia" w:hAnsiTheme="minorHAnsi" w:cstheme="minorHAnsi"/>
          <w:color w:val="000000" w:themeColor="text1"/>
          <w:kern w:val="24"/>
        </w:rPr>
        <w:t> year</w:t>
      </w:r>
      <w:r w:rsidR="00713BEB" w:rsidRPr="00C1426E">
        <w:rPr>
          <w:rFonts w:asciiTheme="minorHAnsi" w:eastAsiaTheme="minorEastAsia" w:hAnsiTheme="minorHAnsi" w:cstheme="minorHAnsi"/>
          <w:color w:val="000000" w:themeColor="text1"/>
          <w:kern w:val="24"/>
        </w:rPr>
        <w:t xml:space="preserve">s </w:t>
      </w:r>
      <w:r w:rsidR="00AD6FEE">
        <w:rPr>
          <w:rFonts w:asciiTheme="minorHAnsi" w:eastAsiaTheme="minorEastAsia" w:hAnsiTheme="minorHAnsi" w:cstheme="minorHAnsi"/>
          <w:color w:val="000000" w:themeColor="text1"/>
          <w:kern w:val="24"/>
        </w:rPr>
        <w:t>on</w:t>
      </w:r>
      <w:r w:rsidR="00713BEB" w:rsidRPr="00C1426E">
        <w:rPr>
          <w:rFonts w:asciiTheme="minorHAnsi" w:eastAsiaTheme="minorEastAsia" w:hAnsiTheme="minorHAnsi" w:cstheme="minorHAnsi"/>
          <w:color w:val="000000" w:themeColor="text1"/>
          <w:kern w:val="24"/>
        </w:rPr>
        <w:t xml:space="preserve"> </w:t>
      </w:r>
      <w:r w:rsidR="00A745CE">
        <w:rPr>
          <w:rFonts w:asciiTheme="minorHAnsi" w:eastAsiaTheme="minorEastAsia" w:hAnsiTheme="minorHAnsi" w:cstheme="minorHAnsi"/>
          <w:color w:val="000000" w:themeColor="text1"/>
          <w:kern w:val="24"/>
        </w:rPr>
        <w:t>DSP.</w:t>
      </w:r>
    </w:p>
    <w:p w14:paraId="3B4BBB5B" w14:textId="5BB91441" w:rsidR="00355643" w:rsidRPr="00A13641" w:rsidRDefault="007855DD" w:rsidP="005E332C">
      <w:pPr>
        <w:pStyle w:val="FigureMainHeading"/>
      </w:pPr>
      <w:bookmarkStart w:id="63" w:name="_Ref153303940"/>
      <w:r>
        <w:lastRenderedPageBreak/>
        <w:t>Figure </w:t>
      </w:r>
      <w:r w:rsidR="00B80D45">
        <w:fldChar w:fldCharType="begin"/>
      </w:r>
      <w:r w:rsidR="00B80D45">
        <w:instrText xml:space="preserve"> STYLEREF 1 \s </w:instrText>
      </w:r>
      <w:r w:rsidR="00B80D45">
        <w:fldChar w:fldCharType="separate"/>
      </w:r>
      <w:r w:rsidR="00722C0A">
        <w:rPr>
          <w:noProof/>
        </w:rPr>
        <w:t>6</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2</w:t>
      </w:r>
      <w:r w:rsidR="00B80D45">
        <w:rPr>
          <w:noProof/>
        </w:rPr>
        <w:fldChar w:fldCharType="end"/>
      </w:r>
      <w:bookmarkEnd w:id="63"/>
      <w:r w:rsidR="005E332C">
        <w:t>:</w:t>
      </w:r>
      <w:r w:rsidR="005E332C">
        <w:tab/>
      </w:r>
      <w:r w:rsidR="00C95BE9">
        <w:t>A</w:t>
      </w:r>
      <w:r w:rsidR="00C95BE9" w:rsidRPr="00A13641">
        <w:t>verage time on income support over the previous 5</w:t>
      </w:r>
      <w:r w:rsidR="00E46C6A">
        <w:t> year</w:t>
      </w:r>
      <w:r w:rsidR="00C95BE9" w:rsidRPr="00A13641">
        <w:t>s for people who reached retirement age in 2021</w:t>
      </w:r>
      <w:r w:rsidR="00C95BE9">
        <w:t>–</w:t>
      </w:r>
      <w:r w:rsidR="00C95BE9" w:rsidRPr="00A13641">
        <w:t>22</w:t>
      </w:r>
    </w:p>
    <w:p w14:paraId="76A5D9BF" w14:textId="7EB55BA1" w:rsidR="00035389" w:rsidRDefault="00AD1B25" w:rsidP="00EF5B7F">
      <w:pPr>
        <w:pStyle w:val="ChartGraphic"/>
      </w:pPr>
      <w:r>
        <w:rPr>
          <w:noProof/>
        </w:rPr>
        <w:drawing>
          <wp:inline distT="0" distB="0" distL="0" distR="0" wp14:anchorId="51677AA5" wp14:editId="2D865F94">
            <wp:extent cx="4400550" cy="1685925"/>
            <wp:effectExtent l="0" t="0" r="0" b="0"/>
            <wp:docPr id="1005177407" name="Chart 1005177407" descr="This chart shows the average time receiving income support for people aged 66 and above, over the previous 5 years, split by :&#10;&#10;- People that received Age Pension: 2.2 years&#10;- People that did not receive Age Pension: 0.6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D6756CD" w14:textId="224D2096" w:rsidR="00B04FCE" w:rsidRDefault="00E252BE" w:rsidP="00EF5B7F">
      <w:pPr>
        <w:pStyle w:val="Heading2notnumbered"/>
      </w:pPr>
      <w:r w:rsidRPr="00E252BE">
        <w:t xml:space="preserve">Single people </w:t>
      </w:r>
      <w:r w:rsidR="00BF3F40">
        <w:t>receiving</w:t>
      </w:r>
      <w:r w:rsidRPr="00E252BE">
        <w:t xml:space="preserve"> Age Pension </w:t>
      </w:r>
      <w:r w:rsidR="0062420D">
        <w:t>in 2021</w:t>
      </w:r>
      <w:r w:rsidR="009F12CC">
        <w:t>–</w:t>
      </w:r>
      <w:r w:rsidR="0062420D">
        <w:t xml:space="preserve">22 </w:t>
      </w:r>
      <w:r w:rsidRPr="00E252BE">
        <w:t>spent 1.2</w:t>
      </w:r>
      <w:r w:rsidR="00E46C6A">
        <w:t> year</w:t>
      </w:r>
      <w:r w:rsidRPr="00E252BE">
        <w:t xml:space="preserve">s longer </w:t>
      </w:r>
      <w:r w:rsidR="00BF3F40">
        <w:t>on</w:t>
      </w:r>
      <w:r w:rsidRPr="00E252BE">
        <w:t xml:space="preserve"> income support in the previous 5</w:t>
      </w:r>
      <w:r w:rsidR="00E46C6A">
        <w:t> year</w:t>
      </w:r>
      <w:r w:rsidRPr="00E252BE">
        <w:t>s, compared to those with a partner.</w:t>
      </w:r>
    </w:p>
    <w:p w14:paraId="4E168957" w14:textId="63B95B29" w:rsidR="00B04FCE" w:rsidRDefault="00550D3D" w:rsidP="008549B5">
      <w:pPr>
        <w:spacing w:after="120"/>
        <w:rPr>
          <w:rFonts w:asciiTheme="minorHAnsi" w:hAnsiTheme="minorHAnsi" w:cstheme="minorHAnsi"/>
        </w:rPr>
      </w:pPr>
      <w:r w:rsidRPr="00550D3D">
        <w:rPr>
          <w:rFonts w:asciiTheme="minorHAnsi" w:hAnsiTheme="minorHAnsi" w:cstheme="minorHAnsi"/>
        </w:rPr>
        <w:t>Of the 44,000 people who became eligible and started to receive Age Pension during 2021</w:t>
      </w:r>
      <w:r w:rsidR="009F12CC">
        <w:rPr>
          <w:rFonts w:asciiTheme="minorHAnsi" w:hAnsiTheme="minorHAnsi" w:cstheme="minorHAnsi"/>
        </w:rPr>
        <w:t>–</w:t>
      </w:r>
      <w:r w:rsidRPr="00550D3D">
        <w:rPr>
          <w:rFonts w:asciiTheme="minorHAnsi" w:hAnsiTheme="minorHAnsi" w:cstheme="minorHAnsi"/>
        </w:rPr>
        <w:t xml:space="preserve">22, </w:t>
      </w:r>
      <w:r w:rsidR="00740AF6">
        <w:rPr>
          <w:rFonts w:asciiTheme="minorHAnsi" w:hAnsiTheme="minorHAnsi" w:cstheme="minorHAnsi"/>
        </w:rPr>
        <w:t xml:space="preserve">54% </w:t>
      </w:r>
      <w:r w:rsidR="0062420D">
        <w:rPr>
          <w:rFonts w:asciiTheme="minorHAnsi" w:hAnsiTheme="minorHAnsi" w:cstheme="minorHAnsi"/>
        </w:rPr>
        <w:t>had a</w:t>
      </w:r>
      <w:r w:rsidR="00740AF6">
        <w:rPr>
          <w:rFonts w:asciiTheme="minorHAnsi" w:hAnsiTheme="minorHAnsi" w:cstheme="minorHAnsi"/>
        </w:rPr>
        <w:t xml:space="preserve"> partner and 46% </w:t>
      </w:r>
      <w:r w:rsidR="0062420D">
        <w:rPr>
          <w:rFonts w:asciiTheme="minorHAnsi" w:hAnsiTheme="minorHAnsi" w:cstheme="minorHAnsi"/>
        </w:rPr>
        <w:t>were</w:t>
      </w:r>
      <w:r w:rsidR="00740AF6">
        <w:rPr>
          <w:rFonts w:asciiTheme="minorHAnsi" w:hAnsiTheme="minorHAnsi" w:cstheme="minorHAnsi"/>
        </w:rPr>
        <w:t xml:space="preserve"> single. </w:t>
      </w:r>
      <w:r w:rsidR="0062420D">
        <w:rPr>
          <w:rFonts w:asciiTheme="minorHAnsi" w:hAnsiTheme="minorHAnsi" w:cstheme="minorHAnsi"/>
        </w:rPr>
        <w:t>As shown in</w:t>
      </w:r>
      <w:r w:rsidR="00A70D19" w:rsidRPr="00C1426E">
        <w:rPr>
          <w:rFonts w:asciiTheme="minorHAnsi" w:hAnsiTheme="minorHAnsi" w:cstheme="minorHAnsi"/>
        </w:rPr>
        <w:t xml:space="preserve"> </w:t>
      </w:r>
      <w:r w:rsidR="000D50B6">
        <w:rPr>
          <w:rFonts w:asciiTheme="minorHAnsi" w:hAnsiTheme="minorHAnsi" w:cstheme="minorHAnsi"/>
        </w:rPr>
        <w:fldChar w:fldCharType="begin"/>
      </w:r>
      <w:r w:rsidR="000D50B6">
        <w:rPr>
          <w:rFonts w:asciiTheme="minorHAnsi" w:hAnsiTheme="minorHAnsi" w:cstheme="minorHAnsi"/>
        </w:rPr>
        <w:instrText xml:space="preserve"> REF _Ref153307560 \h </w:instrText>
      </w:r>
      <w:r w:rsidR="007B1371">
        <w:rPr>
          <w:rFonts w:asciiTheme="minorHAnsi" w:hAnsiTheme="minorHAnsi" w:cstheme="minorHAnsi"/>
        </w:rPr>
        <w:instrText xml:space="preserve"> \* MERGEFORMAT </w:instrText>
      </w:r>
      <w:r w:rsidR="000D50B6">
        <w:rPr>
          <w:rFonts w:asciiTheme="minorHAnsi" w:hAnsiTheme="minorHAnsi" w:cstheme="minorHAnsi"/>
        </w:rPr>
      </w:r>
      <w:r w:rsidR="000D50B6">
        <w:rPr>
          <w:rFonts w:asciiTheme="minorHAnsi" w:hAnsiTheme="minorHAnsi" w:cstheme="minorHAnsi"/>
        </w:rPr>
        <w:fldChar w:fldCharType="separate"/>
      </w:r>
      <w:r w:rsidR="00722C0A" w:rsidRPr="00722C0A">
        <w:rPr>
          <w:rFonts w:asciiTheme="minorHAnsi" w:hAnsiTheme="minorHAnsi" w:cstheme="minorHAnsi"/>
        </w:rPr>
        <w:t>Figure 6.3</w:t>
      </w:r>
      <w:r w:rsidR="000D50B6">
        <w:rPr>
          <w:rFonts w:asciiTheme="minorHAnsi" w:hAnsiTheme="minorHAnsi" w:cstheme="minorHAnsi"/>
        </w:rPr>
        <w:fldChar w:fldCharType="end"/>
      </w:r>
      <w:r w:rsidR="00A70D19" w:rsidRPr="00C1426E">
        <w:rPr>
          <w:rFonts w:asciiTheme="minorHAnsi" w:hAnsiTheme="minorHAnsi" w:cstheme="minorHAnsi"/>
        </w:rPr>
        <w:t>,</w:t>
      </w:r>
      <w:r w:rsidR="00C1426E">
        <w:rPr>
          <w:rFonts w:asciiTheme="minorHAnsi" w:hAnsiTheme="minorHAnsi" w:cstheme="minorHAnsi"/>
        </w:rPr>
        <w:t xml:space="preserve"> </w:t>
      </w:r>
      <w:r w:rsidR="00764DF1" w:rsidRPr="00C1426E">
        <w:rPr>
          <w:rFonts w:asciiTheme="minorHAnsi" w:hAnsiTheme="minorHAnsi" w:cstheme="minorHAnsi"/>
        </w:rPr>
        <w:t>single people spent an average of 1.9</w:t>
      </w:r>
      <w:r w:rsidR="00E46C6A">
        <w:rPr>
          <w:rFonts w:asciiTheme="minorHAnsi" w:hAnsiTheme="minorHAnsi" w:cstheme="minorHAnsi"/>
        </w:rPr>
        <w:t> year</w:t>
      </w:r>
      <w:r w:rsidR="00764DF1" w:rsidRPr="00C1426E">
        <w:rPr>
          <w:rFonts w:asciiTheme="minorHAnsi" w:hAnsiTheme="minorHAnsi" w:cstheme="minorHAnsi"/>
        </w:rPr>
        <w:t xml:space="preserve">s on income support over the </w:t>
      </w:r>
      <w:r w:rsidR="0062420D">
        <w:rPr>
          <w:rFonts w:asciiTheme="minorHAnsi" w:hAnsiTheme="minorHAnsi" w:cstheme="minorHAnsi"/>
        </w:rPr>
        <w:t>previous</w:t>
      </w:r>
      <w:r w:rsidR="00764DF1" w:rsidRPr="00C1426E">
        <w:rPr>
          <w:rFonts w:asciiTheme="minorHAnsi" w:hAnsiTheme="minorHAnsi" w:cstheme="minorHAnsi"/>
        </w:rPr>
        <w:t xml:space="preserve"> 5</w:t>
      </w:r>
      <w:r w:rsidR="00E46C6A">
        <w:rPr>
          <w:rFonts w:asciiTheme="minorHAnsi" w:hAnsiTheme="minorHAnsi" w:cstheme="minorHAnsi"/>
        </w:rPr>
        <w:t> year</w:t>
      </w:r>
      <w:r w:rsidR="00764DF1" w:rsidRPr="00C1426E">
        <w:rPr>
          <w:rFonts w:asciiTheme="minorHAnsi" w:hAnsiTheme="minorHAnsi" w:cstheme="minorHAnsi"/>
        </w:rPr>
        <w:t>s</w:t>
      </w:r>
      <w:r w:rsidR="0062420D">
        <w:rPr>
          <w:rFonts w:asciiTheme="minorHAnsi" w:hAnsiTheme="minorHAnsi" w:cstheme="minorHAnsi"/>
        </w:rPr>
        <w:t>,</w:t>
      </w:r>
      <w:r w:rsidR="00B91B4B" w:rsidRPr="00C1426E">
        <w:rPr>
          <w:rFonts w:asciiTheme="minorHAnsi" w:hAnsiTheme="minorHAnsi" w:cstheme="minorHAnsi"/>
        </w:rPr>
        <w:t xml:space="preserve"> and over </w:t>
      </w:r>
      <w:r w:rsidR="003D4A44" w:rsidRPr="00C1426E">
        <w:rPr>
          <w:rFonts w:asciiTheme="minorHAnsi" w:hAnsiTheme="minorHAnsi" w:cstheme="minorHAnsi"/>
        </w:rPr>
        <w:t>50%</w:t>
      </w:r>
      <w:r w:rsidR="00B91B4B" w:rsidRPr="00C1426E">
        <w:rPr>
          <w:rFonts w:asciiTheme="minorHAnsi" w:hAnsiTheme="minorHAnsi" w:cstheme="minorHAnsi"/>
        </w:rPr>
        <w:t xml:space="preserve"> of the 1.9</w:t>
      </w:r>
      <w:r w:rsidR="00E46C6A">
        <w:rPr>
          <w:rFonts w:asciiTheme="minorHAnsi" w:hAnsiTheme="minorHAnsi" w:cstheme="minorHAnsi"/>
        </w:rPr>
        <w:t> year</w:t>
      </w:r>
      <w:r w:rsidR="00B91B4B" w:rsidRPr="00C1426E">
        <w:rPr>
          <w:rFonts w:asciiTheme="minorHAnsi" w:hAnsiTheme="minorHAnsi" w:cstheme="minorHAnsi"/>
        </w:rPr>
        <w:t xml:space="preserve">s </w:t>
      </w:r>
      <w:r w:rsidR="0062420D">
        <w:rPr>
          <w:rFonts w:asciiTheme="minorHAnsi" w:hAnsiTheme="minorHAnsi" w:cstheme="minorHAnsi"/>
        </w:rPr>
        <w:t>was spent receiving</w:t>
      </w:r>
      <w:r w:rsidR="00ED0390">
        <w:rPr>
          <w:rFonts w:asciiTheme="minorHAnsi" w:hAnsiTheme="minorHAnsi" w:cstheme="minorHAnsi"/>
        </w:rPr>
        <w:t xml:space="preserve"> </w:t>
      </w:r>
      <w:r w:rsidR="00D415CE">
        <w:rPr>
          <w:rFonts w:asciiTheme="minorHAnsi" w:hAnsiTheme="minorHAnsi" w:cstheme="minorHAnsi"/>
        </w:rPr>
        <w:t>DSP</w:t>
      </w:r>
      <w:r w:rsidR="00381B76" w:rsidRPr="00C1426E">
        <w:rPr>
          <w:rFonts w:asciiTheme="minorHAnsi" w:hAnsiTheme="minorHAnsi" w:cstheme="minorHAnsi"/>
        </w:rPr>
        <w:t>.</w:t>
      </w:r>
    </w:p>
    <w:p w14:paraId="126CC90F" w14:textId="4B5EF3A7" w:rsidR="00B04FCE" w:rsidRDefault="007855DD" w:rsidP="005E332C">
      <w:pPr>
        <w:pStyle w:val="FigureMainHeading"/>
      </w:pPr>
      <w:bookmarkStart w:id="64" w:name="_Ref153306031"/>
      <w:bookmarkStart w:id="65" w:name="_Ref153307560"/>
      <w:r>
        <w:t>Figure </w:t>
      </w:r>
      <w:r w:rsidR="00B80D45">
        <w:fldChar w:fldCharType="begin"/>
      </w:r>
      <w:r w:rsidR="00B80D45">
        <w:instrText xml:space="preserve"> STYLEREF 1 \s </w:instrText>
      </w:r>
      <w:r w:rsidR="00B80D45">
        <w:fldChar w:fldCharType="separate"/>
      </w:r>
      <w:r w:rsidR="00722C0A">
        <w:rPr>
          <w:noProof/>
        </w:rPr>
        <w:t>6</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3</w:t>
      </w:r>
      <w:r w:rsidR="00B80D45">
        <w:rPr>
          <w:noProof/>
        </w:rPr>
        <w:fldChar w:fldCharType="end"/>
      </w:r>
      <w:bookmarkEnd w:id="64"/>
      <w:bookmarkEnd w:id="65"/>
      <w:r w:rsidR="005E332C">
        <w:t>:</w:t>
      </w:r>
      <w:r w:rsidR="005E332C">
        <w:tab/>
      </w:r>
      <w:r w:rsidR="00C95BE9">
        <w:t>A</w:t>
      </w:r>
      <w:r w:rsidR="00C95BE9" w:rsidRPr="00A13641">
        <w:t>verage time on income support over the previous 5</w:t>
      </w:r>
      <w:r w:rsidR="00E46C6A">
        <w:t> year</w:t>
      </w:r>
      <w:r w:rsidR="00C95BE9" w:rsidRPr="00A13641">
        <w:t>s for people who reached retirement age in 2021</w:t>
      </w:r>
      <w:r w:rsidR="00C95BE9">
        <w:t>–</w:t>
      </w:r>
      <w:r w:rsidR="00C95BE9" w:rsidRPr="00A13641">
        <w:t>22</w:t>
      </w:r>
    </w:p>
    <w:p w14:paraId="31DD120E" w14:textId="35A91491" w:rsidR="00035389" w:rsidRDefault="00F4793B" w:rsidP="00EF5B7F">
      <w:pPr>
        <w:pStyle w:val="ChartGraphic"/>
        <w:rPr>
          <w:rFonts w:asciiTheme="minorHAnsi" w:hAnsiTheme="minorHAnsi" w:cstheme="minorHAnsi"/>
        </w:rPr>
      </w:pPr>
      <w:r>
        <w:rPr>
          <w:noProof/>
        </w:rPr>
        <w:drawing>
          <wp:inline distT="0" distB="0" distL="0" distR="0" wp14:anchorId="0B743442" wp14:editId="1B905357">
            <wp:extent cx="4319905" cy="1610017"/>
            <wp:effectExtent l="0" t="0" r="4445" b="0"/>
            <wp:docPr id="273" name="Chart 273" descr="This chart shows the average time receiving income support for people aged 66 and above, over the previous 5 years, split by :&#10;&#10;- People that were single: 1.9 years&#10;- People that were partnered: 0.7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D489FD2" w14:textId="0377DEBC" w:rsidR="00D74591" w:rsidRDefault="00D74591" w:rsidP="00EF5B7F">
      <w:pPr>
        <w:pStyle w:val="Heading2notnumbered"/>
      </w:pPr>
      <w:r>
        <w:t>Women received income support payments only slightly longer than men in the 5</w:t>
      </w:r>
      <w:r w:rsidR="00E46C6A">
        <w:t> year</w:t>
      </w:r>
      <w:r>
        <w:t>s leading up to retirement.</w:t>
      </w:r>
    </w:p>
    <w:p w14:paraId="2454134C" w14:textId="421BF4FF" w:rsidR="002B3352" w:rsidRPr="00C663A1" w:rsidRDefault="00740AF6" w:rsidP="00C663A1">
      <w:pPr>
        <w:spacing w:after="120"/>
        <w:rPr>
          <w:rFonts w:asciiTheme="minorHAnsi" w:hAnsiTheme="minorHAnsi" w:cstheme="minorHAnsi"/>
        </w:rPr>
      </w:pPr>
      <w:r w:rsidRPr="00C663A1">
        <w:rPr>
          <w:rFonts w:asciiTheme="minorHAnsi" w:hAnsiTheme="minorHAnsi" w:cstheme="minorHAnsi"/>
        </w:rPr>
        <w:t xml:space="preserve">Of the 44,000 people who </w:t>
      </w:r>
      <w:r w:rsidR="00034A34" w:rsidRPr="00C663A1">
        <w:rPr>
          <w:rFonts w:asciiTheme="minorHAnsi" w:hAnsiTheme="minorHAnsi" w:cstheme="minorHAnsi"/>
        </w:rPr>
        <w:t>became</w:t>
      </w:r>
      <w:r w:rsidRPr="00C663A1">
        <w:rPr>
          <w:rFonts w:asciiTheme="minorHAnsi" w:hAnsiTheme="minorHAnsi" w:cstheme="minorHAnsi"/>
        </w:rPr>
        <w:t xml:space="preserve"> eligible and </w:t>
      </w:r>
      <w:r w:rsidR="0062420D">
        <w:rPr>
          <w:rFonts w:asciiTheme="minorHAnsi" w:hAnsiTheme="minorHAnsi" w:cstheme="minorHAnsi"/>
        </w:rPr>
        <w:t>began receiving</w:t>
      </w:r>
      <w:r w:rsidRPr="00C663A1">
        <w:rPr>
          <w:rFonts w:asciiTheme="minorHAnsi" w:hAnsiTheme="minorHAnsi" w:cstheme="minorHAnsi"/>
        </w:rPr>
        <w:t xml:space="preserve"> Age Pension during 20</w:t>
      </w:r>
      <w:r w:rsidR="00704169">
        <w:rPr>
          <w:rFonts w:asciiTheme="minorHAnsi" w:hAnsiTheme="minorHAnsi" w:cstheme="minorHAnsi"/>
        </w:rPr>
        <w:t>2</w:t>
      </w:r>
      <w:r w:rsidRPr="00C663A1">
        <w:rPr>
          <w:rFonts w:asciiTheme="minorHAnsi" w:hAnsiTheme="minorHAnsi" w:cstheme="minorHAnsi"/>
        </w:rPr>
        <w:t>1</w:t>
      </w:r>
      <w:r w:rsidR="009F12CC">
        <w:rPr>
          <w:rFonts w:asciiTheme="minorHAnsi" w:hAnsiTheme="minorHAnsi" w:cstheme="minorHAnsi"/>
        </w:rPr>
        <w:t>–</w:t>
      </w:r>
      <w:r w:rsidRPr="00C663A1">
        <w:rPr>
          <w:rFonts w:asciiTheme="minorHAnsi" w:hAnsiTheme="minorHAnsi" w:cstheme="minorHAnsi"/>
        </w:rPr>
        <w:t xml:space="preserve">22, 44% </w:t>
      </w:r>
      <w:r w:rsidR="0062420D">
        <w:rPr>
          <w:rFonts w:asciiTheme="minorHAnsi" w:hAnsiTheme="minorHAnsi" w:cstheme="minorHAnsi"/>
        </w:rPr>
        <w:t>were</w:t>
      </w:r>
      <w:r w:rsidRPr="00C663A1">
        <w:rPr>
          <w:rFonts w:asciiTheme="minorHAnsi" w:hAnsiTheme="minorHAnsi" w:cstheme="minorHAnsi"/>
        </w:rPr>
        <w:t xml:space="preserve"> men and 56% </w:t>
      </w:r>
      <w:r w:rsidR="0062420D">
        <w:rPr>
          <w:rFonts w:asciiTheme="minorHAnsi" w:hAnsiTheme="minorHAnsi" w:cstheme="minorHAnsi"/>
        </w:rPr>
        <w:t>were</w:t>
      </w:r>
      <w:r w:rsidRPr="00C663A1">
        <w:rPr>
          <w:rFonts w:asciiTheme="minorHAnsi" w:hAnsiTheme="minorHAnsi" w:cstheme="minorHAnsi"/>
        </w:rPr>
        <w:t xml:space="preserve"> women. </w:t>
      </w:r>
      <w:r w:rsidR="0062420D">
        <w:rPr>
          <w:rFonts w:asciiTheme="minorHAnsi" w:hAnsiTheme="minorHAnsi" w:cstheme="minorHAnsi"/>
        </w:rPr>
        <w:t>As shown in</w:t>
      </w:r>
      <w:r w:rsidR="00A70D19" w:rsidRPr="00C663A1">
        <w:rPr>
          <w:rFonts w:asciiTheme="minorHAnsi" w:hAnsiTheme="minorHAnsi" w:cstheme="minorHAnsi"/>
        </w:rPr>
        <w:t xml:space="preserve"> </w:t>
      </w:r>
      <w:r w:rsidR="007B1371">
        <w:rPr>
          <w:rFonts w:asciiTheme="minorHAnsi" w:hAnsiTheme="minorHAnsi" w:cstheme="minorHAnsi"/>
        </w:rPr>
        <w:fldChar w:fldCharType="begin"/>
      </w:r>
      <w:r w:rsidR="007B1371">
        <w:rPr>
          <w:rFonts w:asciiTheme="minorHAnsi" w:hAnsiTheme="minorHAnsi" w:cstheme="minorHAnsi"/>
        </w:rPr>
        <w:instrText xml:space="preserve"> REF _Ref153306652 \h  \* MERGEFORMAT </w:instrText>
      </w:r>
      <w:r w:rsidR="007B1371">
        <w:rPr>
          <w:rFonts w:asciiTheme="minorHAnsi" w:hAnsiTheme="minorHAnsi" w:cstheme="minorHAnsi"/>
        </w:rPr>
      </w:r>
      <w:r w:rsidR="007B1371">
        <w:rPr>
          <w:rFonts w:asciiTheme="minorHAnsi" w:hAnsiTheme="minorHAnsi" w:cstheme="minorHAnsi"/>
        </w:rPr>
        <w:fldChar w:fldCharType="separate"/>
      </w:r>
      <w:r w:rsidR="00722C0A" w:rsidRPr="00722C0A">
        <w:rPr>
          <w:rFonts w:asciiTheme="minorHAnsi" w:hAnsiTheme="minorHAnsi" w:cstheme="minorHAnsi"/>
        </w:rPr>
        <w:t>Figure 6.4</w:t>
      </w:r>
      <w:r w:rsidR="007B1371">
        <w:rPr>
          <w:rFonts w:asciiTheme="minorHAnsi" w:hAnsiTheme="minorHAnsi" w:cstheme="minorHAnsi"/>
        </w:rPr>
        <w:fldChar w:fldCharType="end"/>
      </w:r>
      <w:r w:rsidR="00105B35" w:rsidRPr="00C663A1">
        <w:rPr>
          <w:rFonts w:asciiTheme="minorHAnsi" w:hAnsiTheme="minorHAnsi" w:cstheme="minorHAnsi"/>
        </w:rPr>
        <w:t>, women spent an average of 1.2</w:t>
      </w:r>
      <w:r w:rsidR="00E46C6A">
        <w:rPr>
          <w:rFonts w:asciiTheme="minorHAnsi" w:hAnsiTheme="minorHAnsi" w:cstheme="minorHAnsi"/>
        </w:rPr>
        <w:t> year</w:t>
      </w:r>
      <w:r w:rsidR="00105B35" w:rsidRPr="00C663A1">
        <w:rPr>
          <w:rFonts w:asciiTheme="minorHAnsi" w:hAnsiTheme="minorHAnsi" w:cstheme="minorHAnsi"/>
        </w:rPr>
        <w:t xml:space="preserve">s on income support </w:t>
      </w:r>
      <w:r w:rsidR="0062420D">
        <w:rPr>
          <w:rFonts w:asciiTheme="minorHAnsi" w:hAnsiTheme="minorHAnsi" w:cstheme="minorHAnsi"/>
        </w:rPr>
        <w:t>in the previous 5</w:t>
      </w:r>
      <w:r w:rsidR="00E46C6A">
        <w:rPr>
          <w:rFonts w:asciiTheme="minorHAnsi" w:hAnsiTheme="minorHAnsi" w:cstheme="minorHAnsi"/>
        </w:rPr>
        <w:t> year</w:t>
      </w:r>
      <w:r w:rsidR="0062420D">
        <w:rPr>
          <w:rFonts w:asciiTheme="minorHAnsi" w:hAnsiTheme="minorHAnsi" w:cstheme="minorHAnsi"/>
        </w:rPr>
        <w:t>s</w:t>
      </w:r>
      <w:r w:rsidR="00105B35" w:rsidRPr="00C663A1">
        <w:rPr>
          <w:rFonts w:asciiTheme="minorHAnsi" w:hAnsiTheme="minorHAnsi" w:cstheme="minorHAnsi"/>
        </w:rPr>
        <w:t>, which is 0.3</w:t>
      </w:r>
      <w:r w:rsidR="00E46C6A">
        <w:rPr>
          <w:rFonts w:asciiTheme="minorHAnsi" w:hAnsiTheme="minorHAnsi" w:cstheme="minorHAnsi"/>
        </w:rPr>
        <w:t> year</w:t>
      </w:r>
      <w:r w:rsidR="00105B35" w:rsidRPr="00C663A1">
        <w:rPr>
          <w:rFonts w:asciiTheme="minorHAnsi" w:hAnsiTheme="minorHAnsi" w:cstheme="minorHAnsi"/>
        </w:rPr>
        <w:t xml:space="preserve">s </w:t>
      </w:r>
      <w:r w:rsidR="0062420D">
        <w:rPr>
          <w:rFonts w:asciiTheme="minorHAnsi" w:hAnsiTheme="minorHAnsi" w:cstheme="minorHAnsi"/>
        </w:rPr>
        <w:t>longer than</w:t>
      </w:r>
      <w:r w:rsidR="00105B35" w:rsidRPr="00C663A1">
        <w:rPr>
          <w:rFonts w:asciiTheme="minorHAnsi" w:hAnsiTheme="minorHAnsi" w:cstheme="minorHAnsi"/>
        </w:rPr>
        <w:t xml:space="preserve"> men</w:t>
      </w:r>
      <w:r w:rsidR="00D74591">
        <w:rPr>
          <w:rFonts w:asciiTheme="minorHAnsi" w:hAnsiTheme="minorHAnsi" w:cstheme="minorHAnsi"/>
        </w:rPr>
        <w:t>.</w:t>
      </w:r>
    </w:p>
    <w:p w14:paraId="44F58A6A" w14:textId="300890B8" w:rsidR="00913D4D" w:rsidRPr="00A13641" w:rsidRDefault="007855DD" w:rsidP="005E332C">
      <w:pPr>
        <w:pStyle w:val="FigureMainHeading"/>
      </w:pPr>
      <w:bookmarkStart w:id="66" w:name="_Ref153306652"/>
      <w:r>
        <w:t>Figure </w:t>
      </w:r>
      <w:r w:rsidR="00B80D45">
        <w:fldChar w:fldCharType="begin"/>
      </w:r>
      <w:r w:rsidR="00B80D45">
        <w:instrText xml:space="preserve"> STYLEREF 1 \s </w:instrText>
      </w:r>
      <w:r w:rsidR="00B80D45">
        <w:fldChar w:fldCharType="separate"/>
      </w:r>
      <w:r w:rsidR="00722C0A">
        <w:rPr>
          <w:noProof/>
        </w:rPr>
        <w:t>6</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4</w:t>
      </w:r>
      <w:r w:rsidR="00B80D45">
        <w:rPr>
          <w:noProof/>
        </w:rPr>
        <w:fldChar w:fldCharType="end"/>
      </w:r>
      <w:bookmarkEnd w:id="66"/>
      <w:r w:rsidR="005E332C">
        <w:t>:</w:t>
      </w:r>
      <w:r w:rsidR="005E332C">
        <w:tab/>
      </w:r>
      <w:r w:rsidR="00C95BE9">
        <w:t>A</w:t>
      </w:r>
      <w:r w:rsidR="00C95BE9" w:rsidRPr="00A13641">
        <w:t>verage time on income support over the previous 5</w:t>
      </w:r>
      <w:r w:rsidR="00E46C6A">
        <w:t> year</w:t>
      </w:r>
      <w:r w:rsidR="00C95BE9" w:rsidRPr="00A13641">
        <w:t>s for people who reached retirement age in 2021</w:t>
      </w:r>
      <w:r w:rsidR="00C95BE9">
        <w:t>–</w:t>
      </w:r>
      <w:r w:rsidR="00C95BE9" w:rsidRPr="00A13641">
        <w:t>22</w:t>
      </w:r>
    </w:p>
    <w:p w14:paraId="473D4358" w14:textId="7A0571D1" w:rsidR="002B3352" w:rsidRDefault="00140AB1" w:rsidP="00EF5B7F">
      <w:pPr>
        <w:pStyle w:val="ChartGraphic"/>
        <w:rPr>
          <w:rFonts w:asciiTheme="minorHAnsi" w:hAnsiTheme="minorHAnsi" w:cstheme="minorHAnsi"/>
        </w:rPr>
      </w:pPr>
      <w:r>
        <w:rPr>
          <w:noProof/>
        </w:rPr>
        <w:drawing>
          <wp:inline distT="0" distB="0" distL="0" distR="0" wp14:anchorId="5EE39EA7" wp14:editId="179F6241">
            <wp:extent cx="4319905" cy="1898650"/>
            <wp:effectExtent l="0" t="0" r="4445" b="6350"/>
            <wp:docPr id="276" name="Chart 276" descr="This chart shows the average time receiving income support for people aged 66 and above, over the previous 5 years, split by gender:&#10;&#10;- Females: 1.2 years&#10;- Males: 0.9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702A923" w14:textId="4FA0DDAA" w:rsidR="00B04FCE" w:rsidRDefault="005E6E1B" w:rsidP="00EF5B7F">
      <w:pPr>
        <w:pStyle w:val="Heading2notnumbered"/>
      </w:pPr>
      <w:r>
        <w:t>Projected</w:t>
      </w:r>
      <w:r w:rsidR="002B3352">
        <w:t xml:space="preserve"> </w:t>
      </w:r>
      <w:r w:rsidR="00C663A1">
        <w:t>Age Pension usage over the long</w:t>
      </w:r>
      <w:r w:rsidR="00B04FCE">
        <w:noBreakHyphen/>
      </w:r>
      <w:r w:rsidR="00C663A1">
        <w:t xml:space="preserve">term is driven </w:t>
      </w:r>
      <w:r>
        <w:t xml:space="preserve">largely </w:t>
      </w:r>
      <w:r w:rsidR="00C663A1">
        <w:t xml:space="preserve">by </w:t>
      </w:r>
      <w:r>
        <w:t>population ageing and the maturation of the superannuation system</w:t>
      </w:r>
      <w:r w:rsidR="002B3352">
        <w:t>.</w:t>
      </w:r>
    </w:p>
    <w:p w14:paraId="6B9985ED" w14:textId="6E2BDC02" w:rsidR="00B04FCE" w:rsidRDefault="00FF4F01" w:rsidP="005E6E1B">
      <w:pPr>
        <w:spacing w:after="120"/>
        <w:rPr>
          <w:rFonts w:asciiTheme="minorHAnsi" w:eastAsiaTheme="minorEastAsia" w:hAnsiTheme="minorHAnsi" w:cstheme="minorHAnsi"/>
          <w:bCs/>
          <w:color w:val="000000" w:themeColor="text1"/>
          <w:kern w:val="24"/>
          <w:szCs w:val="21"/>
        </w:rPr>
      </w:pPr>
      <w:r>
        <w:rPr>
          <w:rFonts w:asciiTheme="minorHAnsi" w:eastAsiaTheme="minorEastAsia" w:hAnsiTheme="minorHAnsi" w:cstheme="minorHAnsi"/>
          <w:bCs/>
          <w:color w:val="000000" w:themeColor="text1"/>
          <w:kern w:val="24"/>
          <w:szCs w:val="21"/>
        </w:rPr>
        <w:t xml:space="preserve">As </w:t>
      </w:r>
      <w:r w:rsidR="002B3352" w:rsidRPr="00D92E4A">
        <w:rPr>
          <w:rFonts w:asciiTheme="minorHAnsi" w:eastAsiaTheme="minorEastAsia" w:hAnsiTheme="minorHAnsi" w:cstheme="minorHAnsi"/>
          <w:bCs/>
          <w:color w:val="000000" w:themeColor="text1"/>
          <w:kern w:val="24"/>
          <w:szCs w:val="21"/>
        </w:rPr>
        <w:t>Australia</w:t>
      </w:r>
      <w:r w:rsidR="00B04FCE">
        <w:rPr>
          <w:rFonts w:asciiTheme="minorHAnsi" w:eastAsiaTheme="minorEastAsia" w:hAnsiTheme="minorHAnsi" w:cstheme="minorHAnsi"/>
          <w:bCs/>
          <w:color w:val="000000" w:themeColor="text1"/>
          <w:kern w:val="24"/>
          <w:szCs w:val="21"/>
        </w:rPr>
        <w:t>’</w:t>
      </w:r>
      <w:r w:rsidR="002B3352" w:rsidRPr="00D92E4A">
        <w:rPr>
          <w:rFonts w:asciiTheme="minorHAnsi" w:eastAsiaTheme="minorEastAsia" w:hAnsiTheme="minorHAnsi" w:cstheme="minorHAnsi"/>
          <w:bCs/>
          <w:color w:val="000000" w:themeColor="text1"/>
          <w:kern w:val="24"/>
          <w:szCs w:val="21"/>
        </w:rPr>
        <w:t xml:space="preserve">s population </w:t>
      </w:r>
      <w:r>
        <w:rPr>
          <w:rFonts w:asciiTheme="minorHAnsi" w:eastAsiaTheme="minorEastAsia" w:hAnsiTheme="minorHAnsi" w:cstheme="minorHAnsi"/>
          <w:bCs/>
          <w:color w:val="000000" w:themeColor="text1"/>
          <w:kern w:val="24"/>
          <w:szCs w:val="21"/>
        </w:rPr>
        <w:t>ages</w:t>
      </w:r>
      <w:r w:rsidR="002B3352">
        <w:rPr>
          <w:rFonts w:asciiTheme="minorHAnsi" w:eastAsiaTheme="minorEastAsia" w:hAnsiTheme="minorHAnsi" w:cstheme="minorHAnsi"/>
          <w:bCs/>
          <w:color w:val="000000" w:themeColor="text1"/>
          <w:kern w:val="24"/>
          <w:szCs w:val="21"/>
        </w:rPr>
        <w:t xml:space="preserve">, the </w:t>
      </w:r>
      <w:r w:rsidR="002B3352" w:rsidRPr="00D92E4A">
        <w:rPr>
          <w:rFonts w:asciiTheme="minorHAnsi" w:eastAsiaTheme="minorEastAsia" w:hAnsiTheme="minorHAnsi" w:cstheme="minorHAnsi"/>
          <w:bCs/>
          <w:color w:val="000000" w:themeColor="text1"/>
          <w:kern w:val="24"/>
          <w:szCs w:val="21"/>
        </w:rPr>
        <w:t xml:space="preserve">number of </w:t>
      </w:r>
      <w:r>
        <w:rPr>
          <w:rFonts w:asciiTheme="minorHAnsi" w:eastAsiaTheme="minorEastAsia" w:hAnsiTheme="minorHAnsi" w:cstheme="minorHAnsi"/>
          <w:bCs/>
          <w:color w:val="000000" w:themeColor="text1"/>
          <w:kern w:val="24"/>
          <w:szCs w:val="21"/>
        </w:rPr>
        <w:t>people accessing Age Pension is</w:t>
      </w:r>
      <w:r w:rsidR="002B3352" w:rsidRPr="00D92E4A">
        <w:rPr>
          <w:rFonts w:asciiTheme="minorHAnsi" w:eastAsiaTheme="minorEastAsia" w:hAnsiTheme="minorHAnsi" w:cstheme="minorHAnsi"/>
          <w:bCs/>
          <w:color w:val="000000" w:themeColor="text1"/>
          <w:kern w:val="24"/>
          <w:szCs w:val="21"/>
        </w:rPr>
        <w:t xml:space="preserve"> projected to increase by more than 40% </w:t>
      </w:r>
      <w:r w:rsidR="00C64F57">
        <w:rPr>
          <w:rFonts w:asciiTheme="minorHAnsi" w:eastAsiaTheme="minorEastAsia" w:hAnsiTheme="minorHAnsi" w:cstheme="minorHAnsi"/>
          <w:bCs/>
          <w:color w:val="000000" w:themeColor="text1"/>
          <w:kern w:val="24"/>
          <w:szCs w:val="21"/>
        </w:rPr>
        <w:t>by 2060</w:t>
      </w:r>
      <w:r w:rsidR="000D50B6">
        <w:rPr>
          <w:rFonts w:asciiTheme="minorHAnsi" w:eastAsiaTheme="minorEastAsia" w:hAnsiTheme="minorHAnsi" w:cstheme="minorHAnsi"/>
          <w:bCs/>
          <w:color w:val="000000" w:themeColor="text1"/>
          <w:kern w:val="24"/>
          <w:szCs w:val="21"/>
        </w:rPr>
        <w:t xml:space="preserve"> (see </w:t>
      </w:r>
      <w:r w:rsidR="007B1371">
        <w:rPr>
          <w:rFonts w:asciiTheme="minorHAnsi" w:eastAsiaTheme="minorEastAsia" w:hAnsiTheme="minorHAnsi" w:cstheme="minorHAnsi"/>
          <w:bCs/>
          <w:color w:val="000000" w:themeColor="text1"/>
          <w:kern w:val="24"/>
          <w:szCs w:val="21"/>
        </w:rPr>
        <w:fldChar w:fldCharType="begin"/>
      </w:r>
      <w:r w:rsidR="007B1371">
        <w:rPr>
          <w:rFonts w:asciiTheme="minorHAnsi" w:eastAsiaTheme="minorEastAsia" w:hAnsiTheme="minorHAnsi" w:cstheme="minorHAnsi"/>
          <w:bCs/>
          <w:color w:val="000000" w:themeColor="text1"/>
          <w:kern w:val="24"/>
          <w:szCs w:val="21"/>
        </w:rPr>
        <w:instrText xml:space="preserve"> REF _Ref153309174 \h  \* MERGEFORMAT </w:instrText>
      </w:r>
      <w:r w:rsidR="007B1371">
        <w:rPr>
          <w:rFonts w:asciiTheme="minorHAnsi" w:eastAsiaTheme="minorEastAsia" w:hAnsiTheme="minorHAnsi" w:cstheme="minorHAnsi"/>
          <w:bCs/>
          <w:color w:val="000000" w:themeColor="text1"/>
          <w:kern w:val="24"/>
          <w:szCs w:val="21"/>
        </w:rPr>
      </w:r>
      <w:r w:rsidR="007B1371">
        <w:rPr>
          <w:rFonts w:asciiTheme="minorHAnsi" w:eastAsiaTheme="minorEastAsia" w:hAnsiTheme="minorHAnsi" w:cstheme="minorHAnsi"/>
          <w:bCs/>
          <w:color w:val="000000" w:themeColor="text1"/>
          <w:kern w:val="24"/>
          <w:szCs w:val="21"/>
        </w:rPr>
        <w:fldChar w:fldCharType="separate"/>
      </w:r>
      <w:r w:rsidR="00722C0A" w:rsidRPr="00722C0A">
        <w:rPr>
          <w:rFonts w:asciiTheme="minorHAnsi" w:eastAsiaTheme="minorEastAsia" w:hAnsiTheme="minorHAnsi" w:cstheme="minorHAnsi"/>
          <w:color w:val="000000" w:themeColor="text1"/>
          <w:kern w:val="24"/>
          <w:szCs w:val="21"/>
        </w:rPr>
        <w:t>Figure 6.5</w:t>
      </w:r>
      <w:r w:rsidR="007B1371">
        <w:rPr>
          <w:rFonts w:asciiTheme="minorHAnsi" w:eastAsiaTheme="minorEastAsia" w:hAnsiTheme="minorHAnsi" w:cstheme="minorHAnsi"/>
          <w:bCs/>
          <w:color w:val="000000" w:themeColor="text1"/>
          <w:kern w:val="24"/>
          <w:szCs w:val="21"/>
        </w:rPr>
        <w:fldChar w:fldCharType="end"/>
      </w:r>
      <w:r w:rsidR="000D50B6">
        <w:rPr>
          <w:rFonts w:asciiTheme="minorHAnsi" w:eastAsiaTheme="minorEastAsia" w:hAnsiTheme="minorHAnsi" w:cstheme="minorHAnsi"/>
          <w:bCs/>
          <w:color w:val="000000" w:themeColor="text1"/>
          <w:kern w:val="24"/>
          <w:szCs w:val="21"/>
        </w:rPr>
        <w:t>)</w:t>
      </w:r>
      <w:r w:rsidR="002B3352" w:rsidRPr="00D92E4A">
        <w:rPr>
          <w:rFonts w:asciiTheme="minorHAnsi" w:eastAsiaTheme="minorEastAsia" w:hAnsiTheme="minorHAnsi" w:cstheme="minorHAnsi"/>
          <w:bCs/>
          <w:color w:val="000000" w:themeColor="text1"/>
          <w:kern w:val="24"/>
          <w:szCs w:val="21"/>
        </w:rPr>
        <w:t>.</w:t>
      </w:r>
      <w:r w:rsidR="00B04FCE">
        <w:rPr>
          <w:rFonts w:asciiTheme="minorHAnsi" w:eastAsiaTheme="minorEastAsia" w:hAnsiTheme="minorHAnsi" w:cstheme="minorHAnsi"/>
          <w:bCs/>
          <w:color w:val="000000" w:themeColor="text1"/>
          <w:kern w:val="24"/>
          <w:szCs w:val="21"/>
        </w:rPr>
        <w:t xml:space="preserve"> </w:t>
      </w:r>
      <w:r w:rsidR="00181502">
        <w:rPr>
          <w:rFonts w:asciiTheme="minorHAnsi" w:eastAsiaTheme="minorEastAsia" w:hAnsiTheme="minorHAnsi" w:cstheme="minorHAnsi"/>
          <w:bCs/>
          <w:color w:val="000000" w:themeColor="text1"/>
          <w:kern w:val="24"/>
          <w:szCs w:val="21"/>
        </w:rPr>
        <w:t>However, a</w:t>
      </w:r>
      <w:r w:rsidR="00181502" w:rsidRPr="00D92E4A">
        <w:rPr>
          <w:rFonts w:asciiTheme="minorHAnsi" w:eastAsiaTheme="minorEastAsia" w:hAnsiTheme="minorHAnsi" w:cstheme="minorHAnsi"/>
          <w:bCs/>
          <w:color w:val="000000" w:themeColor="text1"/>
          <w:kern w:val="24"/>
          <w:szCs w:val="21"/>
        </w:rPr>
        <w:t>s the superannuation system continues to mature over the next few decades, a higher proportion of Australians are expected to self</w:t>
      </w:r>
      <w:r w:rsidR="00B04FCE">
        <w:rPr>
          <w:rFonts w:asciiTheme="minorHAnsi" w:eastAsiaTheme="minorEastAsia" w:hAnsiTheme="minorHAnsi" w:cstheme="minorHAnsi"/>
          <w:bCs/>
          <w:color w:val="000000" w:themeColor="text1"/>
          <w:kern w:val="24"/>
          <w:szCs w:val="21"/>
        </w:rPr>
        <w:noBreakHyphen/>
      </w:r>
      <w:r w:rsidR="00181502" w:rsidRPr="00D92E4A">
        <w:rPr>
          <w:rFonts w:asciiTheme="minorHAnsi" w:eastAsiaTheme="minorEastAsia" w:hAnsiTheme="minorHAnsi" w:cstheme="minorHAnsi"/>
          <w:bCs/>
          <w:color w:val="000000" w:themeColor="text1"/>
          <w:kern w:val="24"/>
          <w:szCs w:val="21"/>
        </w:rPr>
        <w:t>finance their own retirement</w:t>
      </w:r>
      <w:r w:rsidR="00181502">
        <w:rPr>
          <w:rFonts w:asciiTheme="minorHAnsi" w:eastAsiaTheme="minorEastAsia" w:hAnsiTheme="minorHAnsi" w:cstheme="minorHAnsi"/>
          <w:bCs/>
          <w:color w:val="000000" w:themeColor="text1"/>
          <w:kern w:val="24"/>
          <w:szCs w:val="21"/>
        </w:rPr>
        <w:t xml:space="preserve"> with an increased accumulated superannuation balance</w:t>
      </w:r>
      <w:r w:rsidR="00181502" w:rsidRPr="00D92E4A">
        <w:rPr>
          <w:rFonts w:asciiTheme="minorHAnsi" w:eastAsiaTheme="minorEastAsia" w:hAnsiTheme="minorHAnsi" w:cstheme="minorHAnsi"/>
          <w:bCs/>
          <w:color w:val="000000" w:themeColor="text1"/>
          <w:kern w:val="24"/>
          <w:szCs w:val="21"/>
        </w:rPr>
        <w:t>.</w:t>
      </w:r>
      <w:r w:rsidR="00181502">
        <w:rPr>
          <w:rFonts w:asciiTheme="minorHAnsi" w:eastAsiaTheme="minorEastAsia" w:hAnsiTheme="minorHAnsi" w:cstheme="minorHAnsi"/>
          <w:bCs/>
          <w:color w:val="000000" w:themeColor="text1"/>
          <w:kern w:val="24"/>
          <w:szCs w:val="21"/>
        </w:rPr>
        <w:t xml:space="preserve"> </w:t>
      </w:r>
      <w:r>
        <w:rPr>
          <w:rFonts w:asciiTheme="minorHAnsi" w:eastAsiaTheme="minorEastAsia" w:hAnsiTheme="minorHAnsi" w:cstheme="minorHAnsi"/>
          <w:bCs/>
          <w:color w:val="000000" w:themeColor="text1"/>
          <w:kern w:val="24"/>
          <w:szCs w:val="21"/>
        </w:rPr>
        <w:t>T</w:t>
      </w:r>
      <w:r w:rsidR="00181502">
        <w:rPr>
          <w:rFonts w:asciiTheme="minorHAnsi" w:eastAsiaTheme="minorEastAsia" w:hAnsiTheme="minorHAnsi" w:cstheme="minorHAnsi"/>
          <w:bCs/>
          <w:color w:val="000000" w:themeColor="text1"/>
          <w:kern w:val="24"/>
          <w:szCs w:val="21"/>
        </w:rPr>
        <w:t>his means t</w:t>
      </w:r>
      <w:r>
        <w:rPr>
          <w:rFonts w:asciiTheme="minorHAnsi" w:eastAsiaTheme="minorEastAsia" w:hAnsiTheme="minorHAnsi" w:cstheme="minorHAnsi"/>
          <w:bCs/>
          <w:color w:val="000000" w:themeColor="text1"/>
          <w:kern w:val="24"/>
          <w:szCs w:val="21"/>
        </w:rPr>
        <w:t xml:space="preserve">he proportion of people receiving Age Pension in the total </w:t>
      </w:r>
      <w:r w:rsidR="007E53FA">
        <w:rPr>
          <w:rFonts w:asciiTheme="minorHAnsi" w:eastAsiaTheme="minorEastAsia" w:hAnsiTheme="minorHAnsi" w:cstheme="minorHAnsi"/>
          <w:bCs/>
          <w:color w:val="000000" w:themeColor="text1"/>
          <w:kern w:val="24"/>
          <w:szCs w:val="21"/>
        </w:rPr>
        <w:t>population of people who have reached Age Pension eligibility age is</w:t>
      </w:r>
      <w:r>
        <w:rPr>
          <w:rFonts w:asciiTheme="minorHAnsi" w:eastAsiaTheme="minorEastAsia" w:hAnsiTheme="minorHAnsi" w:cstheme="minorHAnsi"/>
          <w:bCs/>
          <w:color w:val="000000" w:themeColor="text1"/>
          <w:kern w:val="24"/>
          <w:szCs w:val="21"/>
        </w:rPr>
        <w:t xml:space="preserve"> projected to decline from </w:t>
      </w:r>
      <w:r w:rsidR="00B458EE">
        <w:rPr>
          <w:rFonts w:asciiTheme="minorHAnsi" w:eastAsiaTheme="minorEastAsia" w:hAnsiTheme="minorHAnsi" w:cstheme="minorHAnsi"/>
          <w:bCs/>
          <w:color w:val="000000" w:themeColor="text1"/>
          <w:kern w:val="24"/>
          <w:szCs w:val="21"/>
        </w:rPr>
        <w:t>62</w:t>
      </w:r>
      <w:r>
        <w:rPr>
          <w:rFonts w:asciiTheme="minorHAnsi" w:eastAsiaTheme="minorEastAsia" w:hAnsiTheme="minorHAnsi" w:cstheme="minorHAnsi"/>
          <w:bCs/>
          <w:color w:val="000000" w:themeColor="text1"/>
          <w:kern w:val="24"/>
          <w:szCs w:val="21"/>
        </w:rPr>
        <w:t xml:space="preserve">% to 50% </w:t>
      </w:r>
      <w:r w:rsidR="00C64F57">
        <w:rPr>
          <w:rFonts w:asciiTheme="minorHAnsi" w:eastAsiaTheme="minorEastAsia" w:hAnsiTheme="minorHAnsi" w:cstheme="minorHAnsi"/>
          <w:bCs/>
          <w:color w:val="000000" w:themeColor="text1"/>
          <w:kern w:val="24"/>
          <w:szCs w:val="21"/>
        </w:rPr>
        <w:t>by 2060</w:t>
      </w:r>
      <w:r w:rsidR="000D50B6">
        <w:rPr>
          <w:rFonts w:asciiTheme="minorHAnsi" w:eastAsiaTheme="minorEastAsia" w:hAnsiTheme="minorHAnsi" w:cstheme="minorHAnsi"/>
          <w:bCs/>
          <w:color w:val="000000" w:themeColor="text1"/>
          <w:kern w:val="24"/>
          <w:szCs w:val="21"/>
        </w:rPr>
        <w:t xml:space="preserve"> (see </w:t>
      </w:r>
      <w:r w:rsidR="007B1371">
        <w:rPr>
          <w:rFonts w:asciiTheme="minorHAnsi" w:eastAsiaTheme="minorEastAsia" w:hAnsiTheme="minorHAnsi" w:cstheme="minorHAnsi"/>
          <w:bCs/>
          <w:color w:val="000000" w:themeColor="text1"/>
          <w:kern w:val="24"/>
          <w:szCs w:val="21"/>
        </w:rPr>
        <w:fldChar w:fldCharType="begin"/>
      </w:r>
      <w:r w:rsidR="007B1371">
        <w:rPr>
          <w:rFonts w:asciiTheme="minorHAnsi" w:eastAsiaTheme="minorEastAsia" w:hAnsiTheme="minorHAnsi" w:cstheme="minorHAnsi"/>
          <w:bCs/>
          <w:color w:val="000000" w:themeColor="text1"/>
          <w:kern w:val="24"/>
          <w:szCs w:val="21"/>
        </w:rPr>
        <w:instrText xml:space="preserve"> REF _Ref153309183 \h  \* MERGEFORMAT </w:instrText>
      </w:r>
      <w:r w:rsidR="007B1371">
        <w:rPr>
          <w:rFonts w:asciiTheme="minorHAnsi" w:eastAsiaTheme="minorEastAsia" w:hAnsiTheme="minorHAnsi" w:cstheme="minorHAnsi"/>
          <w:bCs/>
          <w:color w:val="000000" w:themeColor="text1"/>
          <w:kern w:val="24"/>
          <w:szCs w:val="21"/>
        </w:rPr>
      </w:r>
      <w:r w:rsidR="007B1371">
        <w:rPr>
          <w:rFonts w:asciiTheme="minorHAnsi" w:eastAsiaTheme="minorEastAsia" w:hAnsiTheme="minorHAnsi" w:cstheme="minorHAnsi"/>
          <w:bCs/>
          <w:color w:val="000000" w:themeColor="text1"/>
          <w:kern w:val="24"/>
          <w:szCs w:val="21"/>
        </w:rPr>
        <w:fldChar w:fldCharType="separate"/>
      </w:r>
      <w:r w:rsidR="00722C0A" w:rsidRPr="00722C0A">
        <w:rPr>
          <w:rFonts w:asciiTheme="minorHAnsi" w:eastAsiaTheme="minorEastAsia" w:hAnsiTheme="minorHAnsi" w:cstheme="minorHAnsi"/>
          <w:color w:val="000000" w:themeColor="text1"/>
          <w:kern w:val="24"/>
          <w:szCs w:val="21"/>
        </w:rPr>
        <w:t>Figure 6.6</w:t>
      </w:r>
      <w:r w:rsidR="007B1371">
        <w:rPr>
          <w:rFonts w:asciiTheme="minorHAnsi" w:eastAsiaTheme="minorEastAsia" w:hAnsiTheme="minorHAnsi" w:cstheme="minorHAnsi"/>
          <w:bCs/>
          <w:color w:val="000000" w:themeColor="text1"/>
          <w:kern w:val="24"/>
          <w:szCs w:val="21"/>
        </w:rPr>
        <w:fldChar w:fldCharType="end"/>
      </w:r>
      <w:r w:rsidR="000D50B6">
        <w:rPr>
          <w:rFonts w:asciiTheme="minorHAnsi" w:eastAsiaTheme="minorEastAsia" w:hAnsiTheme="minorHAnsi" w:cstheme="minorHAnsi"/>
          <w:bCs/>
          <w:color w:val="000000" w:themeColor="text1"/>
          <w:kern w:val="24"/>
          <w:szCs w:val="21"/>
        </w:rPr>
        <w:t>)</w:t>
      </w:r>
      <w:r>
        <w:rPr>
          <w:rFonts w:asciiTheme="minorHAnsi" w:eastAsiaTheme="minorEastAsia" w:hAnsiTheme="minorHAnsi" w:cstheme="minorHAnsi"/>
          <w:bCs/>
          <w:color w:val="000000" w:themeColor="text1"/>
          <w:kern w:val="24"/>
          <w:szCs w:val="21"/>
        </w:rPr>
        <w:t>.</w:t>
      </w:r>
    </w:p>
    <w:p w14:paraId="73EA0EAB" w14:textId="4410D46D" w:rsidR="000D50B6" w:rsidRPr="00A13641" w:rsidRDefault="007855DD" w:rsidP="005E332C">
      <w:pPr>
        <w:pStyle w:val="FigureMainHeading"/>
      </w:pPr>
      <w:bookmarkStart w:id="67" w:name="_Ref153309174"/>
      <w:r>
        <w:lastRenderedPageBreak/>
        <w:t>Figure </w:t>
      </w:r>
      <w:r w:rsidR="00B80D45">
        <w:fldChar w:fldCharType="begin"/>
      </w:r>
      <w:r w:rsidR="00B80D45">
        <w:instrText xml:space="preserve"> STYLEREF 1 \s </w:instrText>
      </w:r>
      <w:r w:rsidR="00B80D45">
        <w:fldChar w:fldCharType="separate"/>
      </w:r>
      <w:r w:rsidR="00722C0A">
        <w:rPr>
          <w:noProof/>
        </w:rPr>
        <w:t>6</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5</w:t>
      </w:r>
      <w:r w:rsidR="00B80D45">
        <w:rPr>
          <w:noProof/>
        </w:rPr>
        <w:fldChar w:fldCharType="end"/>
      </w:r>
      <w:bookmarkEnd w:id="67"/>
      <w:r w:rsidR="005E332C">
        <w:t>:</w:t>
      </w:r>
      <w:r w:rsidR="005E332C">
        <w:tab/>
      </w:r>
      <w:r w:rsidR="000D50B6" w:rsidRPr="00A13641">
        <w:t xml:space="preserve">Projected </w:t>
      </w:r>
      <w:r w:rsidR="00C95BE9" w:rsidRPr="00A13641">
        <w:t xml:space="preserve">number of people receiving </w:t>
      </w:r>
      <w:r w:rsidR="00D01768">
        <w:t>Age Pension</w:t>
      </w:r>
    </w:p>
    <w:p w14:paraId="0EA5B1CA" w14:textId="1F9F34CE" w:rsidR="002B3352" w:rsidRDefault="00D8296C" w:rsidP="00EF5B7F">
      <w:pPr>
        <w:pStyle w:val="ChartGraphic"/>
      </w:pPr>
      <w:r>
        <w:rPr>
          <w:noProof/>
        </w:rPr>
        <w:drawing>
          <wp:inline distT="0" distB="0" distL="0" distR="0" wp14:anchorId="33FF07C0" wp14:editId="04330EFA">
            <wp:extent cx="4319905" cy="2209800"/>
            <wp:effectExtent l="0" t="0" r="4445" b="0"/>
            <wp:docPr id="5" name="Chart 5" descr="This chart shows that the projected number of people receiving age pension is projected to rise over the next 40 years in the simulation, from 2.7 million in 2023 to 3.9 million in 2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D22557C" w14:textId="77777777" w:rsidR="00B04FCE" w:rsidRDefault="008E65AA" w:rsidP="00C95BE9">
      <w:pPr>
        <w:pStyle w:val="Note"/>
        <w:rPr>
          <w:noProof/>
          <w:sz w:val="22"/>
        </w:rPr>
      </w:pPr>
      <w:r w:rsidRPr="001E6853">
        <w:t xml:space="preserve">* </w:t>
      </w:r>
      <w:r>
        <w:t>Projections of Age Pension use do not include the impact of migration.</w:t>
      </w:r>
    </w:p>
    <w:p w14:paraId="4431BBD3" w14:textId="08FF4BEA" w:rsidR="000D50B6" w:rsidRPr="00A13641" w:rsidRDefault="007855DD" w:rsidP="005E332C">
      <w:pPr>
        <w:pStyle w:val="FigureMainHeading"/>
      </w:pPr>
      <w:bookmarkStart w:id="68" w:name="_Ref153309183"/>
      <w:r>
        <w:t>Figure </w:t>
      </w:r>
      <w:r w:rsidR="00B80D45">
        <w:fldChar w:fldCharType="begin"/>
      </w:r>
      <w:r w:rsidR="00B80D45">
        <w:instrText xml:space="preserve"> STYLEREF 1 \s </w:instrText>
      </w:r>
      <w:r w:rsidR="00B80D45">
        <w:fldChar w:fldCharType="separate"/>
      </w:r>
      <w:r w:rsidR="00722C0A">
        <w:rPr>
          <w:noProof/>
        </w:rPr>
        <w:t>6</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6</w:t>
      </w:r>
      <w:r w:rsidR="00B80D45">
        <w:rPr>
          <w:noProof/>
        </w:rPr>
        <w:fldChar w:fldCharType="end"/>
      </w:r>
      <w:bookmarkEnd w:id="68"/>
      <w:r w:rsidR="005E332C">
        <w:t>:</w:t>
      </w:r>
      <w:r w:rsidR="005E332C">
        <w:tab/>
      </w:r>
      <w:r w:rsidR="00C95BE9">
        <w:t>P</w:t>
      </w:r>
      <w:r w:rsidR="00C95BE9" w:rsidRPr="00A13641">
        <w:t xml:space="preserve">rojected percentage of people on or past retirement age receiving </w:t>
      </w:r>
      <w:r w:rsidR="00D01768">
        <w:t>Age Pension</w:t>
      </w:r>
    </w:p>
    <w:p w14:paraId="3CA9C2BE" w14:textId="20407C18" w:rsidR="002B3352" w:rsidRDefault="00B458EE" w:rsidP="00EF5B7F">
      <w:pPr>
        <w:pStyle w:val="ChartGraphic"/>
      </w:pPr>
      <w:r>
        <w:rPr>
          <w:noProof/>
        </w:rPr>
        <w:drawing>
          <wp:inline distT="0" distB="0" distL="0" distR="0" wp14:anchorId="3AD58BAA" wp14:editId="34007B6D">
            <wp:extent cx="4319905" cy="2133600"/>
            <wp:effectExtent l="0" t="0" r="4445" b="0"/>
            <wp:docPr id="3" name="Chart 3" descr="This chart shows that the percentage of people on or above retirement age who are projected to receive age pension will fall over the next 40 years, from 62% in 2023, to 50% in 2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422FFC5" w14:textId="77777777" w:rsidR="00B04FCE" w:rsidRDefault="00EB0901" w:rsidP="00C95BE9">
      <w:pPr>
        <w:pStyle w:val="Note"/>
        <w:rPr>
          <w:noProof/>
          <w:sz w:val="22"/>
        </w:rPr>
      </w:pPr>
      <w:r w:rsidRPr="001E6853">
        <w:t xml:space="preserve">* </w:t>
      </w:r>
      <w:r>
        <w:t>Projections of Age Pension use do not include the impact of migration.</w:t>
      </w:r>
    </w:p>
    <w:p w14:paraId="0CD799EE" w14:textId="38BABB91" w:rsidR="002B3352" w:rsidRPr="008F3B60" w:rsidRDefault="002B3352" w:rsidP="00EF5B7F">
      <w:pPr>
        <w:pStyle w:val="Heading2notnumbered"/>
      </w:pPr>
      <w:r>
        <w:t xml:space="preserve">More than 70% of people who reached </w:t>
      </w:r>
      <w:r w:rsidR="00164638">
        <w:t>retirement</w:t>
      </w:r>
      <w:r>
        <w:t xml:space="preserve"> age in 2021</w:t>
      </w:r>
      <w:r w:rsidR="009F12CC">
        <w:t>–</w:t>
      </w:r>
      <w:r>
        <w:t xml:space="preserve">22 are projected to </w:t>
      </w:r>
      <w:r w:rsidR="002A2018">
        <w:t>receive</w:t>
      </w:r>
      <w:r>
        <w:t xml:space="preserve"> Age Pension at some point during their lifetime.</w:t>
      </w:r>
    </w:p>
    <w:p w14:paraId="51FE60A6" w14:textId="03379D6F" w:rsidR="00B04FCE" w:rsidRDefault="002B3352" w:rsidP="00430894">
      <w:r w:rsidRPr="005D2E5B">
        <w:rPr>
          <w:rFonts w:eastAsiaTheme="minorEastAsia"/>
        </w:rPr>
        <w:t>In 2021</w:t>
      </w:r>
      <w:r w:rsidR="009F12CC">
        <w:rPr>
          <w:rFonts w:eastAsiaTheme="minorEastAsia"/>
        </w:rPr>
        <w:t>–</w:t>
      </w:r>
      <w:r w:rsidRPr="005D2E5B">
        <w:rPr>
          <w:rFonts w:eastAsiaTheme="minorEastAsia"/>
        </w:rPr>
        <w:t>22, 6</w:t>
      </w:r>
      <w:r w:rsidR="000166EE" w:rsidRPr="005D2E5B">
        <w:rPr>
          <w:rFonts w:eastAsiaTheme="minorEastAsia"/>
        </w:rPr>
        <w:t>2</w:t>
      </w:r>
      <w:r w:rsidRPr="005D2E5B">
        <w:rPr>
          <w:rFonts w:eastAsiaTheme="minorEastAsia"/>
        </w:rPr>
        <w:t xml:space="preserve">% of the Australian population </w:t>
      </w:r>
      <w:r w:rsidR="00674750" w:rsidRPr="005D2E5B">
        <w:rPr>
          <w:rFonts w:eastAsiaTheme="minorEastAsia"/>
        </w:rPr>
        <w:t xml:space="preserve">at and above </w:t>
      </w:r>
      <w:r w:rsidR="00903680" w:rsidRPr="005D2E5B">
        <w:rPr>
          <w:rFonts w:eastAsiaTheme="minorEastAsia"/>
        </w:rPr>
        <w:t>retirement age</w:t>
      </w:r>
      <w:r w:rsidRPr="005D2E5B">
        <w:rPr>
          <w:rFonts w:eastAsiaTheme="minorEastAsia"/>
        </w:rPr>
        <w:t xml:space="preserve"> received the Age Pension</w:t>
      </w:r>
      <w:r w:rsidR="002A2018" w:rsidRPr="005D2E5B">
        <w:rPr>
          <w:rFonts w:eastAsiaTheme="minorEastAsia"/>
        </w:rPr>
        <w:t>.</w:t>
      </w:r>
      <w:r w:rsidRPr="005D2E5B">
        <w:rPr>
          <w:rFonts w:eastAsiaTheme="minorEastAsia"/>
        </w:rPr>
        <w:t xml:space="preserve"> A further 1</w:t>
      </w:r>
      <w:r w:rsidR="00DC481B" w:rsidRPr="005D2E5B">
        <w:rPr>
          <w:rFonts w:eastAsiaTheme="minorEastAsia"/>
        </w:rPr>
        <w:t>2</w:t>
      </w:r>
      <w:r w:rsidRPr="005D2E5B">
        <w:rPr>
          <w:rFonts w:eastAsiaTheme="minorEastAsia"/>
        </w:rPr>
        <w:t xml:space="preserve">% are projected to start receiving </w:t>
      </w:r>
      <w:r w:rsidR="002A2018" w:rsidRPr="005D2E5B">
        <w:rPr>
          <w:rFonts w:eastAsiaTheme="minorEastAsia"/>
        </w:rPr>
        <w:t>Age Pension</w:t>
      </w:r>
      <w:r w:rsidRPr="005D2E5B">
        <w:rPr>
          <w:rFonts w:eastAsiaTheme="minorEastAsia"/>
        </w:rPr>
        <w:t xml:space="preserve"> later in their lives.</w:t>
      </w:r>
    </w:p>
    <w:p w14:paraId="105143EF" w14:textId="48C53E93" w:rsidR="002B3352" w:rsidRPr="005D2E5B" w:rsidRDefault="002B3352" w:rsidP="008F3B60">
      <w:pPr>
        <w:spacing w:after="120"/>
        <w:rPr>
          <w:rFonts w:asciiTheme="minorHAnsi" w:eastAsiaTheme="minorEastAsia" w:hAnsiTheme="minorHAnsi" w:cstheme="minorHAnsi"/>
          <w:bCs/>
          <w:color w:val="000000" w:themeColor="text1"/>
          <w:kern w:val="24"/>
        </w:rPr>
      </w:pPr>
      <w:r w:rsidRPr="005D2E5B">
        <w:rPr>
          <w:rFonts w:asciiTheme="minorHAnsi" w:eastAsiaTheme="minorEastAsia" w:hAnsiTheme="minorHAnsi" w:cstheme="minorHAnsi"/>
          <w:bCs/>
          <w:color w:val="000000" w:themeColor="text1"/>
          <w:kern w:val="24"/>
        </w:rPr>
        <w:t xml:space="preserve">Almost all people who receive Age Pension are projected to remain on </w:t>
      </w:r>
      <w:r w:rsidR="002A2018" w:rsidRPr="005D2E5B">
        <w:rPr>
          <w:rFonts w:asciiTheme="minorHAnsi" w:eastAsiaTheme="minorEastAsia" w:hAnsiTheme="minorHAnsi" w:cstheme="minorHAnsi"/>
          <w:bCs/>
          <w:color w:val="000000" w:themeColor="text1"/>
          <w:kern w:val="24"/>
        </w:rPr>
        <w:t xml:space="preserve">the </w:t>
      </w:r>
      <w:r w:rsidRPr="005D2E5B">
        <w:rPr>
          <w:rFonts w:asciiTheme="minorHAnsi" w:eastAsiaTheme="minorEastAsia" w:hAnsiTheme="minorHAnsi" w:cstheme="minorHAnsi"/>
          <w:bCs/>
          <w:color w:val="000000" w:themeColor="text1"/>
          <w:kern w:val="24"/>
        </w:rPr>
        <w:t>payment for the rest of their life.</w:t>
      </w:r>
    </w:p>
    <w:p w14:paraId="6D1C6A1F" w14:textId="77777777" w:rsidR="00523C23" w:rsidRPr="00EC4FC8" w:rsidRDefault="00523C23" w:rsidP="00EC4FC8">
      <w:bookmarkStart w:id="69" w:name="_Toc153355581"/>
      <w:bookmarkStart w:id="70" w:name="_Toc155358647"/>
    </w:p>
    <w:p w14:paraId="29670421" w14:textId="77777777" w:rsidR="00EC4FC8" w:rsidRPr="00EC4FC8" w:rsidRDefault="00EC4FC8" w:rsidP="00EC4FC8">
      <w:pPr>
        <w:sectPr w:rsidR="00EC4FC8" w:rsidRPr="00EC4FC8" w:rsidSect="00B46214">
          <w:footerReference w:type="default" r:id="rId71"/>
          <w:pgSz w:w="16838" w:h="11906" w:orient="landscape" w:code="9"/>
          <w:pgMar w:top="1418" w:right="1134" w:bottom="1418" w:left="1134" w:header="425" w:footer="680" w:gutter="0"/>
          <w:cols w:num="2" w:space="709"/>
          <w:docGrid w:linePitch="360"/>
        </w:sectPr>
      </w:pPr>
    </w:p>
    <w:p w14:paraId="3D5564B6" w14:textId="26651229" w:rsidR="003005FC" w:rsidRPr="00035389" w:rsidRDefault="003005FC" w:rsidP="00EC4FC8">
      <w:pPr>
        <w:pStyle w:val="Heading1"/>
      </w:pPr>
      <w:bookmarkStart w:id="71" w:name="_Toc160109477"/>
      <w:r w:rsidRPr="00035389">
        <w:lastRenderedPageBreak/>
        <w:t xml:space="preserve">People with </w:t>
      </w:r>
      <w:r w:rsidR="00C07350" w:rsidRPr="00EC4FC8">
        <w:t>c</w:t>
      </w:r>
      <w:r w:rsidRPr="00EC4FC8">
        <w:t>hildren</w:t>
      </w:r>
      <w:bookmarkEnd w:id="69"/>
      <w:bookmarkEnd w:id="70"/>
      <w:bookmarkEnd w:id="71"/>
    </w:p>
    <w:p w14:paraId="4F0B993D" w14:textId="2AEAC027" w:rsidR="00B04FCE" w:rsidRDefault="00E27124" w:rsidP="00EF5B7F">
      <w:r>
        <w:t xml:space="preserve">Parents </w:t>
      </w:r>
      <w:r w:rsidR="00F46927">
        <w:t xml:space="preserve">or guardians </w:t>
      </w:r>
      <w:r w:rsidRPr="00D27014">
        <w:t xml:space="preserve">can </w:t>
      </w:r>
      <w:r w:rsidR="00F46927">
        <w:t>access</w:t>
      </w:r>
      <w:r w:rsidRPr="00D27014">
        <w:t xml:space="preserve"> </w:t>
      </w:r>
      <w:r w:rsidR="00F46927">
        <w:t xml:space="preserve">different </w:t>
      </w:r>
      <w:r>
        <w:t>s</w:t>
      </w:r>
      <w:r w:rsidRPr="00D27014">
        <w:t xml:space="preserve">ocial </w:t>
      </w:r>
      <w:r>
        <w:t>s</w:t>
      </w:r>
      <w:r w:rsidRPr="00D27014">
        <w:t xml:space="preserve">ecurity payments depending on their </w:t>
      </w:r>
      <w:r w:rsidR="003C0D97">
        <w:t>eligibility and needs.</w:t>
      </w:r>
      <w:r w:rsidR="00B04FCE">
        <w:t xml:space="preserve"> </w:t>
      </w:r>
      <w:r w:rsidR="006B2377">
        <w:t>Parenting Payment is the main income support available to assist when a parent or guardian is a young child</w:t>
      </w:r>
      <w:r w:rsidR="00B04FCE">
        <w:t>’</w:t>
      </w:r>
      <w:r w:rsidR="006B2377">
        <w:t>s main carer.</w:t>
      </w:r>
      <w:r w:rsidR="006B2377" w:rsidRPr="00D27014">
        <w:t xml:space="preserve"> </w:t>
      </w:r>
      <w:r w:rsidR="00423116">
        <w:t xml:space="preserve">Paid </w:t>
      </w:r>
      <w:r w:rsidR="00423116" w:rsidRPr="00F46927">
        <w:t>Parental Leave</w:t>
      </w:r>
      <w:r w:rsidR="00423116">
        <w:t xml:space="preserve"> </w:t>
      </w:r>
      <w:r w:rsidR="00423116" w:rsidRPr="00F46927">
        <w:t>and Dad and Partner Pay</w:t>
      </w:r>
      <w:r w:rsidR="00423116">
        <w:t xml:space="preserve"> (combined into Parental Leave Pay from 1 July 2023)</w:t>
      </w:r>
      <w:r w:rsidR="00423116" w:rsidRPr="00F46927">
        <w:t xml:space="preserve"> </w:t>
      </w:r>
      <w:r w:rsidR="00F46927" w:rsidRPr="00F46927">
        <w:t>are available to help care for a newborn or newly adopted child. Child Care Subsidy is</w:t>
      </w:r>
      <w:r w:rsidR="00C5263C">
        <w:t xml:space="preserve"> available to assist with child</w:t>
      </w:r>
      <w:r w:rsidR="00F46927" w:rsidRPr="00F46927">
        <w:t>care fees. Family Tax Benefit</w:t>
      </w:r>
      <w:r w:rsidR="0015585A">
        <w:t xml:space="preserve"> (FTB)</w:t>
      </w:r>
      <w:r w:rsidR="00F46927" w:rsidRPr="00F46927">
        <w:t xml:space="preserve"> is </w:t>
      </w:r>
      <w:r w:rsidR="00F46927">
        <w:t xml:space="preserve">a supplementary payment </w:t>
      </w:r>
      <w:r w:rsidR="00F46927" w:rsidRPr="00F46927">
        <w:t>available to help with the cost of raising children.</w:t>
      </w:r>
    </w:p>
    <w:p w14:paraId="5624ADA5" w14:textId="577D9498" w:rsidR="00BB5DB0" w:rsidRDefault="00C11D91" w:rsidP="00C71BE5">
      <w:pPr>
        <w:pStyle w:val="FigureMainHeading"/>
        <w:spacing w:after="0"/>
      </w:pPr>
      <w:r w:rsidRPr="00D27014">
        <w:t>Australian population</w:t>
      </w:r>
    </w:p>
    <w:p w14:paraId="1A337CBA" w14:textId="0033144C" w:rsidR="00C71BE5" w:rsidRPr="00C71BE5" w:rsidRDefault="00C71BE5" w:rsidP="00C71BE5">
      <w:pPr>
        <w:pStyle w:val="ChartGraphic"/>
      </w:pPr>
      <w:r>
        <w:rPr>
          <w:noProof/>
        </w:rPr>
        <w:drawing>
          <wp:inline distT="0" distB="0" distL="0" distR="0" wp14:anchorId="4DAD1CD1" wp14:editId="57064CC0">
            <wp:extent cx="4400550" cy="366395"/>
            <wp:effectExtent l="0" t="0" r="0" b="0"/>
            <wp:docPr id="22" name="Chart 22" descr="This picture shows that the people in this subsection, that is, people with children make up 23% of the Australian population.">
              <a:extLst xmlns:a="http://schemas.openxmlformats.org/drawingml/2006/main">
                <a:ext uri="{FF2B5EF4-FFF2-40B4-BE49-F238E27FC236}">
                  <a16:creationId xmlns:a16="http://schemas.microsoft.com/office/drawing/2014/main" id="{00000000-0008-0000-0000-00003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633892C" w14:textId="2A9E9CA0" w:rsidR="00E27124" w:rsidRPr="008F3B60" w:rsidRDefault="006B2377" w:rsidP="00EF5B7F">
      <w:pPr>
        <w:pStyle w:val="Heading2notnumbered"/>
      </w:pPr>
      <w:r w:rsidRPr="008F3B60">
        <w:t xml:space="preserve">There were </w:t>
      </w:r>
      <w:r w:rsidR="00E27124" w:rsidRPr="008F3B60">
        <w:t>6</w:t>
      </w:r>
      <w:r w:rsidR="00F40387">
        <w:t> million</w:t>
      </w:r>
      <w:r w:rsidR="00E27124" w:rsidRPr="008F3B60">
        <w:t xml:space="preserve"> </w:t>
      </w:r>
      <w:r w:rsidR="00F46927" w:rsidRPr="008F3B60">
        <w:t>parents or guardians</w:t>
      </w:r>
      <w:r w:rsidR="00E27124" w:rsidRPr="008F3B60">
        <w:t xml:space="preserve"> with children </w:t>
      </w:r>
      <w:r w:rsidRPr="008F3B60">
        <w:t xml:space="preserve">aged </w:t>
      </w:r>
      <w:r w:rsidR="004B721D" w:rsidRPr="008F3B60">
        <w:t xml:space="preserve">19 or under </w:t>
      </w:r>
      <w:r w:rsidR="00E27124" w:rsidRPr="008F3B60">
        <w:t>in Australia</w:t>
      </w:r>
      <w:r w:rsidRPr="008F3B60">
        <w:t xml:space="preserve"> at 30</w:t>
      </w:r>
      <w:r w:rsidR="00E46C6A">
        <w:t> June </w:t>
      </w:r>
      <w:r w:rsidRPr="008F3B60">
        <w:t>2022</w:t>
      </w:r>
      <w:r w:rsidR="00E27124" w:rsidRPr="008F3B60">
        <w:t>, making up 23% of the population.</w:t>
      </w:r>
    </w:p>
    <w:p w14:paraId="66CCC3C6" w14:textId="2A4FC170" w:rsidR="00D6375C" w:rsidRDefault="00D6375C" w:rsidP="00B04FCE">
      <w:r>
        <w:t xml:space="preserve">The definition of a </w:t>
      </w:r>
      <w:r w:rsidR="009A50D2">
        <w:t xml:space="preserve">child </w:t>
      </w:r>
      <w:r>
        <w:t xml:space="preserve">in this section is </w:t>
      </w:r>
      <w:r w:rsidR="00F17678">
        <w:t>up to and including</w:t>
      </w:r>
      <w:r w:rsidR="00D01768">
        <w:t xml:space="preserve"> age </w:t>
      </w:r>
      <w:r w:rsidR="00F17678">
        <w:t xml:space="preserve">19. This definition is </w:t>
      </w:r>
      <w:r>
        <w:t xml:space="preserve">based on when a parent or guardian is eligible for certain payments </w:t>
      </w:r>
      <w:r w:rsidR="009A50D2">
        <w:t>according to the age of the child</w:t>
      </w:r>
      <w:r>
        <w:t xml:space="preserve">. </w:t>
      </w:r>
      <w:r w:rsidR="00F17678">
        <w:t>For example, a p</w:t>
      </w:r>
      <w:r>
        <w:t xml:space="preserve">arent or guardian can continue to claim </w:t>
      </w:r>
      <w:r w:rsidR="0015585A">
        <w:t>FTB</w:t>
      </w:r>
      <w:r w:rsidR="00C5263C">
        <w:t xml:space="preserve"> </w:t>
      </w:r>
      <w:r>
        <w:t>Part A up to and including when their child is age</w:t>
      </w:r>
      <w:r w:rsidR="00F17678">
        <w:t>d</w:t>
      </w:r>
      <w:r>
        <w:t xml:space="preserve"> 19.</w:t>
      </w:r>
    </w:p>
    <w:p w14:paraId="5B6C1509" w14:textId="74DEADC9" w:rsidR="00B04FCE" w:rsidRDefault="00F46927" w:rsidP="00EF5B7F">
      <w:pPr>
        <w:pStyle w:val="Heading2notnumbered"/>
      </w:pPr>
      <w:r>
        <w:t>13% of parents or guardians in Australia were receiving income support</w:t>
      </w:r>
      <w:r w:rsidR="00F17678">
        <w:t xml:space="preserve"> at 30</w:t>
      </w:r>
      <w:r w:rsidR="00E46C6A">
        <w:t> June </w:t>
      </w:r>
      <w:r w:rsidR="00F17678">
        <w:t>2022</w:t>
      </w:r>
      <w:r>
        <w:t>.</w:t>
      </w:r>
      <w:r w:rsidR="00B04FCE">
        <w:t xml:space="preserve"> </w:t>
      </w:r>
      <w:r>
        <w:t>During 2021</w:t>
      </w:r>
      <w:r w:rsidR="009F12CC">
        <w:t>–</w:t>
      </w:r>
      <w:r>
        <w:t>22</w:t>
      </w:r>
      <w:r w:rsidR="00F17678">
        <w:t>,</w:t>
      </w:r>
      <w:r>
        <w:t xml:space="preserve"> a further 28% received a supplementary family payment to assist with the cost of raising a child.</w:t>
      </w:r>
    </w:p>
    <w:p w14:paraId="5600ED6A" w14:textId="1FF9A4B5" w:rsidR="00435E2A" w:rsidRPr="00D27014" w:rsidRDefault="00F17678" w:rsidP="000B4910">
      <w:pPr>
        <w:keepLines/>
        <w:spacing w:after="120"/>
        <w:rPr>
          <w:rFonts w:asciiTheme="minorHAnsi" w:hAnsiTheme="minorHAnsi" w:cstheme="minorHAnsi"/>
          <w:szCs w:val="21"/>
        </w:rPr>
      </w:pPr>
      <w:r>
        <w:rPr>
          <w:rFonts w:asciiTheme="minorHAnsi" w:hAnsiTheme="minorHAnsi" w:cstheme="minorHAnsi"/>
        </w:rPr>
        <w:t>T</w:t>
      </w:r>
      <w:r w:rsidR="00F46927">
        <w:rPr>
          <w:rFonts w:asciiTheme="minorHAnsi" w:hAnsiTheme="minorHAnsi" w:cstheme="minorHAnsi"/>
        </w:rPr>
        <w:t xml:space="preserve">he majority of </w:t>
      </w:r>
      <w:r w:rsidR="00046296">
        <w:rPr>
          <w:rFonts w:asciiTheme="minorHAnsi" w:hAnsiTheme="minorHAnsi" w:cstheme="minorHAnsi"/>
        </w:rPr>
        <w:t xml:space="preserve">parents </w:t>
      </w:r>
      <w:r>
        <w:rPr>
          <w:rFonts w:asciiTheme="minorHAnsi" w:hAnsiTheme="minorHAnsi" w:cstheme="minorHAnsi"/>
        </w:rPr>
        <w:t>or</w:t>
      </w:r>
      <w:r w:rsidR="00046296">
        <w:rPr>
          <w:rFonts w:asciiTheme="minorHAnsi" w:hAnsiTheme="minorHAnsi" w:cstheme="minorHAnsi"/>
        </w:rPr>
        <w:t xml:space="preserve"> guardians </w:t>
      </w:r>
      <w:r w:rsidR="00612310">
        <w:rPr>
          <w:rFonts w:asciiTheme="minorHAnsi" w:hAnsiTheme="minorHAnsi" w:cstheme="minorHAnsi"/>
        </w:rPr>
        <w:t>receiving income support were receiving either Parenting Payment</w:t>
      </w:r>
      <w:r w:rsidR="008C0D44">
        <w:rPr>
          <w:rFonts w:asciiTheme="minorHAnsi" w:hAnsiTheme="minorHAnsi" w:cstheme="minorHAnsi"/>
        </w:rPr>
        <w:t xml:space="preserve"> </w:t>
      </w:r>
      <w:r w:rsidR="00612310">
        <w:rPr>
          <w:rFonts w:asciiTheme="minorHAnsi" w:hAnsiTheme="minorHAnsi" w:cstheme="minorHAnsi"/>
        </w:rPr>
        <w:t xml:space="preserve">or a working age payment </w:t>
      </w:r>
      <w:r w:rsidR="00435E2A">
        <w:rPr>
          <w:rFonts w:asciiTheme="minorHAnsi" w:hAnsiTheme="minorHAnsi" w:cstheme="minorHAnsi"/>
        </w:rPr>
        <w:t>such as</w:t>
      </w:r>
      <w:r w:rsidR="00E979F6">
        <w:rPr>
          <w:rFonts w:asciiTheme="minorHAnsi" w:hAnsiTheme="minorHAnsi" w:cstheme="minorHAnsi"/>
        </w:rPr>
        <w:t xml:space="preserve"> </w:t>
      </w:r>
      <w:r w:rsidR="005E332C">
        <w:rPr>
          <w:rFonts w:asciiTheme="minorHAnsi" w:hAnsiTheme="minorHAnsi" w:cstheme="minorHAnsi"/>
        </w:rPr>
        <w:t>JobSeeker Payment</w:t>
      </w:r>
      <w:r w:rsidR="00612310">
        <w:rPr>
          <w:rFonts w:asciiTheme="minorHAnsi" w:hAnsiTheme="minorHAnsi" w:cstheme="minorHAnsi"/>
        </w:rPr>
        <w:t>. At 30</w:t>
      </w:r>
      <w:r w:rsidR="00E46C6A">
        <w:rPr>
          <w:rFonts w:asciiTheme="minorHAnsi" w:hAnsiTheme="minorHAnsi" w:cstheme="minorHAnsi"/>
        </w:rPr>
        <w:t> June </w:t>
      </w:r>
      <w:r w:rsidR="00612310">
        <w:rPr>
          <w:rFonts w:asciiTheme="minorHAnsi" w:hAnsiTheme="minorHAnsi" w:cstheme="minorHAnsi"/>
        </w:rPr>
        <w:t>2022</w:t>
      </w:r>
      <w:r w:rsidR="00435E2A">
        <w:rPr>
          <w:rFonts w:asciiTheme="minorHAnsi" w:hAnsiTheme="minorHAnsi" w:cstheme="minorHAnsi"/>
        </w:rPr>
        <w:t>,</w:t>
      </w:r>
      <w:r w:rsidR="00612310">
        <w:rPr>
          <w:rFonts w:asciiTheme="minorHAnsi" w:hAnsiTheme="minorHAnsi" w:cstheme="minorHAnsi"/>
        </w:rPr>
        <w:t xml:space="preserve"> Parenting Payment was available until the youngest child was aged 8 if the parent</w:t>
      </w:r>
      <w:r w:rsidR="00435E2A">
        <w:rPr>
          <w:rFonts w:asciiTheme="minorHAnsi" w:hAnsiTheme="minorHAnsi" w:cstheme="minorHAnsi"/>
        </w:rPr>
        <w:t xml:space="preserve"> or </w:t>
      </w:r>
      <w:r w:rsidR="00612310">
        <w:rPr>
          <w:rFonts w:asciiTheme="minorHAnsi" w:hAnsiTheme="minorHAnsi" w:cstheme="minorHAnsi"/>
        </w:rPr>
        <w:t xml:space="preserve">guardian was single, or </w:t>
      </w:r>
      <w:r w:rsidR="00435E2A">
        <w:rPr>
          <w:rFonts w:asciiTheme="minorHAnsi" w:hAnsiTheme="minorHAnsi" w:cstheme="minorHAnsi"/>
        </w:rPr>
        <w:t xml:space="preserve">aged </w:t>
      </w:r>
      <w:r w:rsidR="00612310">
        <w:rPr>
          <w:rFonts w:asciiTheme="minorHAnsi" w:hAnsiTheme="minorHAnsi" w:cstheme="minorHAnsi"/>
        </w:rPr>
        <w:t>6 if the parent</w:t>
      </w:r>
      <w:r w:rsidR="00435E2A">
        <w:rPr>
          <w:rFonts w:asciiTheme="minorHAnsi" w:hAnsiTheme="minorHAnsi" w:cstheme="minorHAnsi"/>
        </w:rPr>
        <w:t xml:space="preserve"> or </w:t>
      </w:r>
      <w:r w:rsidR="00612310">
        <w:rPr>
          <w:rFonts w:asciiTheme="minorHAnsi" w:hAnsiTheme="minorHAnsi" w:cstheme="minorHAnsi"/>
        </w:rPr>
        <w:t>guardian was partnered</w:t>
      </w:r>
      <w:r w:rsidR="008C0D44">
        <w:rPr>
          <w:rFonts w:asciiTheme="minorHAnsi" w:hAnsiTheme="minorHAnsi" w:cstheme="minorHAnsi"/>
        </w:rPr>
        <w:t>.</w:t>
      </w:r>
      <w:r w:rsidR="00B04FCE">
        <w:rPr>
          <w:rFonts w:asciiTheme="minorHAnsi" w:hAnsiTheme="minorHAnsi" w:cstheme="minorHAnsi"/>
        </w:rPr>
        <w:t xml:space="preserve"> </w:t>
      </w:r>
      <w:r w:rsidR="007B5EB9">
        <w:rPr>
          <w:rFonts w:asciiTheme="minorHAnsi" w:hAnsiTheme="minorHAnsi" w:cstheme="minorHAnsi"/>
        </w:rPr>
        <w:t>M</w:t>
      </w:r>
      <w:r w:rsidR="008C0D44">
        <w:rPr>
          <w:rFonts w:asciiTheme="minorHAnsi" w:hAnsiTheme="minorHAnsi" w:cstheme="minorHAnsi"/>
        </w:rPr>
        <w:t>any parents</w:t>
      </w:r>
      <w:r w:rsidR="00435E2A">
        <w:rPr>
          <w:rFonts w:asciiTheme="minorHAnsi" w:hAnsiTheme="minorHAnsi" w:cstheme="minorHAnsi"/>
        </w:rPr>
        <w:t xml:space="preserve"> or </w:t>
      </w:r>
      <w:r w:rsidR="008C0D44">
        <w:rPr>
          <w:rFonts w:asciiTheme="minorHAnsi" w:hAnsiTheme="minorHAnsi" w:cstheme="minorHAnsi"/>
        </w:rPr>
        <w:t xml:space="preserve">guardians who </w:t>
      </w:r>
      <w:r w:rsidR="00435E2A">
        <w:rPr>
          <w:rFonts w:asciiTheme="minorHAnsi" w:hAnsiTheme="minorHAnsi" w:cstheme="minorHAnsi"/>
        </w:rPr>
        <w:t>were</w:t>
      </w:r>
      <w:r w:rsidR="008C0D44">
        <w:rPr>
          <w:rFonts w:asciiTheme="minorHAnsi" w:hAnsiTheme="minorHAnsi" w:cstheme="minorHAnsi"/>
        </w:rPr>
        <w:t xml:space="preserve"> ineligible due to their child</w:t>
      </w:r>
      <w:r w:rsidR="00B04FCE">
        <w:rPr>
          <w:rFonts w:asciiTheme="minorHAnsi" w:hAnsiTheme="minorHAnsi" w:cstheme="minorHAnsi"/>
        </w:rPr>
        <w:t>’</w:t>
      </w:r>
      <w:r w:rsidR="008C0D44">
        <w:rPr>
          <w:rFonts w:asciiTheme="minorHAnsi" w:hAnsiTheme="minorHAnsi" w:cstheme="minorHAnsi"/>
        </w:rPr>
        <w:t>s age receive</w:t>
      </w:r>
      <w:r w:rsidR="00435E2A">
        <w:rPr>
          <w:rFonts w:asciiTheme="minorHAnsi" w:hAnsiTheme="minorHAnsi" w:cstheme="minorHAnsi"/>
        </w:rPr>
        <w:t>d</w:t>
      </w:r>
      <w:r w:rsidR="008C0D44">
        <w:rPr>
          <w:rFonts w:asciiTheme="minorHAnsi" w:hAnsiTheme="minorHAnsi" w:cstheme="minorHAnsi"/>
        </w:rPr>
        <w:t xml:space="preserve"> a working age payment instead. </w:t>
      </w:r>
      <w:r w:rsidR="002568D4" w:rsidRPr="00D67F78">
        <w:rPr>
          <w:rFonts w:asciiTheme="minorHAnsi" w:hAnsiTheme="minorHAnsi" w:cstheme="minorHAnsi"/>
        </w:rPr>
        <w:fldChar w:fldCharType="begin"/>
      </w:r>
      <w:r w:rsidR="002568D4" w:rsidRPr="00D67F78">
        <w:rPr>
          <w:rFonts w:asciiTheme="minorHAnsi" w:hAnsiTheme="minorHAnsi" w:cstheme="minorHAnsi"/>
        </w:rPr>
        <w:instrText xml:space="preserve"> REF _Ref153309633 \h </w:instrText>
      </w:r>
      <w:r w:rsidR="00D67F78" w:rsidRPr="00D67F78">
        <w:rPr>
          <w:rFonts w:asciiTheme="minorHAnsi" w:hAnsiTheme="minorHAnsi" w:cstheme="minorHAnsi"/>
        </w:rPr>
        <w:instrText xml:space="preserve"> \* MERGEFORMAT </w:instrText>
      </w:r>
      <w:r w:rsidR="002568D4" w:rsidRPr="00D67F78">
        <w:rPr>
          <w:rFonts w:asciiTheme="minorHAnsi" w:hAnsiTheme="minorHAnsi" w:cstheme="minorHAnsi"/>
        </w:rPr>
      </w:r>
      <w:r w:rsidR="002568D4" w:rsidRPr="00D67F78">
        <w:rPr>
          <w:rFonts w:asciiTheme="minorHAnsi" w:hAnsiTheme="minorHAnsi" w:cstheme="minorHAnsi"/>
        </w:rPr>
        <w:fldChar w:fldCharType="separate"/>
      </w:r>
      <w:r w:rsidR="00722C0A" w:rsidRPr="00722C0A">
        <w:rPr>
          <w:rFonts w:asciiTheme="minorHAnsi" w:hAnsiTheme="minorHAnsi" w:cstheme="minorHAnsi"/>
        </w:rPr>
        <w:t>Figure 7.1</w:t>
      </w:r>
      <w:r w:rsidR="002568D4" w:rsidRPr="00D67F78">
        <w:rPr>
          <w:rFonts w:asciiTheme="minorHAnsi" w:hAnsiTheme="minorHAnsi" w:cstheme="minorHAnsi"/>
        </w:rPr>
        <w:fldChar w:fldCharType="end"/>
      </w:r>
      <w:r w:rsidR="00D67F78">
        <w:rPr>
          <w:rFonts w:asciiTheme="minorHAnsi" w:hAnsiTheme="minorHAnsi" w:cstheme="minorHAnsi"/>
        </w:rPr>
        <w:t xml:space="preserve"> </w:t>
      </w:r>
      <w:r w:rsidR="00435E2A">
        <w:rPr>
          <w:rFonts w:asciiTheme="minorHAnsi" w:hAnsiTheme="minorHAnsi" w:cstheme="minorHAnsi"/>
        </w:rPr>
        <w:t xml:space="preserve">shows </w:t>
      </w:r>
      <w:r w:rsidR="008C0D44">
        <w:rPr>
          <w:rFonts w:asciiTheme="minorHAnsi" w:hAnsiTheme="minorHAnsi" w:cstheme="minorHAnsi"/>
        </w:rPr>
        <w:t>2% of parents</w:t>
      </w:r>
      <w:r w:rsidR="00435E2A">
        <w:rPr>
          <w:rFonts w:asciiTheme="minorHAnsi" w:hAnsiTheme="minorHAnsi" w:cstheme="minorHAnsi"/>
        </w:rPr>
        <w:t xml:space="preserve"> or </w:t>
      </w:r>
      <w:r w:rsidR="008C0D44">
        <w:rPr>
          <w:rFonts w:asciiTheme="minorHAnsi" w:hAnsiTheme="minorHAnsi" w:cstheme="minorHAnsi"/>
        </w:rPr>
        <w:t xml:space="preserve">guardians </w:t>
      </w:r>
      <w:r w:rsidR="00435E2A">
        <w:rPr>
          <w:rFonts w:asciiTheme="minorHAnsi" w:hAnsiTheme="minorHAnsi" w:cstheme="minorHAnsi"/>
        </w:rPr>
        <w:t>received</w:t>
      </w:r>
      <w:r w:rsidR="008C0D44">
        <w:rPr>
          <w:rFonts w:asciiTheme="minorHAnsi" w:hAnsiTheme="minorHAnsi" w:cstheme="minorHAnsi"/>
        </w:rPr>
        <w:t xml:space="preserve"> Carer Payment and a further 2% </w:t>
      </w:r>
      <w:r w:rsidR="00435E2A">
        <w:rPr>
          <w:rFonts w:asciiTheme="minorHAnsi" w:hAnsiTheme="minorHAnsi" w:cstheme="minorHAnsi"/>
        </w:rPr>
        <w:t>received</w:t>
      </w:r>
      <w:r w:rsidR="008C0D44">
        <w:rPr>
          <w:rFonts w:asciiTheme="minorHAnsi" w:hAnsiTheme="minorHAnsi" w:cstheme="minorHAnsi"/>
        </w:rPr>
        <w:t xml:space="preserve"> Disability Support Pension</w:t>
      </w:r>
      <w:r w:rsidR="00384ADA">
        <w:rPr>
          <w:rFonts w:asciiTheme="minorHAnsi" w:hAnsiTheme="minorHAnsi" w:cstheme="minorHAnsi"/>
        </w:rPr>
        <w:t xml:space="preserve"> (DSP)</w:t>
      </w:r>
      <w:r w:rsidR="008C0D44">
        <w:rPr>
          <w:rFonts w:asciiTheme="minorHAnsi" w:hAnsiTheme="minorHAnsi" w:cstheme="minorHAnsi"/>
        </w:rPr>
        <w:t>.</w:t>
      </w:r>
      <w:r w:rsidR="00612310">
        <w:rPr>
          <w:rFonts w:asciiTheme="minorHAnsi" w:hAnsiTheme="minorHAnsi" w:cstheme="minorHAnsi"/>
        </w:rPr>
        <w:t xml:space="preserve"> </w:t>
      </w:r>
      <w:r w:rsidR="00435E2A">
        <w:rPr>
          <w:rFonts w:asciiTheme="minorHAnsi" w:hAnsiTheme="minorHAnsi" w:cstheme="minorHAnsi"/>
          <w:szCs w:val="21"/>
        </w:rPr>
        <w:t>People receiving DSP and Carer Payment</w:t>
      </w:r>
      <w:r w:rsidR="00435E2A" w:rsidRPr="00D27014">
        <w:rPr>
          <w:rFonts w:asciiTheme="minorHAnsi" w:hAnsiTheme="minorHAnsi" w:cstheme="minorHAnsi"/>
          <w:szCs w:val="21"/>
        </w:rPr>
        <w:t xml:space="preserve"> are </w:t>
      </w:r>
      <w:r w:rsidR="00435E2A">
        <w:rPr>
          <w:rFonts w:asciiTheme="minorHAnsi" w:hAnsiTheme="minorHAnsi" w:cstheme="minorHAnsi"/>
          <w:szCs w:val="21"/>
        </w:rPr>
        <w:t xml:space="preserve">considered </w:t>
      </w:r>
      <w:r w:rsidR="00435E2A">
        <w:rPr>
          <w:rFonts w:asciiTheme="minorHAnsi" w:eastAsiaTheme="majorEastAsia" w:hAnsiTheme="minorHAnsi" w:cstheme="minorHAnsi"/>
          <w:bCs/>
          <w:color w:val="000000" w:themeColor="text1"/>
          <w:szCs w:val="21"/>
        </w:rPr>
        <w:t>as part of the In</w:t>
      </w:r>
      <w:r w:rsidR="00B04FCE">
        <w:rPr>
          <w:rFonts w:asciiTheme="minorHAnsi" w:eastAsiaTheme="majorEastAsia" w:hAnsiTheme="minorHAnsi" w:cstheme="minorHAnsi"/>
          <w:bCs/>
          <w:color w:val="000000" w:themeColor="text1"/>
          <w:szCs w:val="21"/>
        </w:rPr>
        <w:noBreakHyphen/>
      </w:r>
      <w:r w:rsidR="00435E2A">
        <w:rPr>
          <w:rFonts w:asciiTheme="minorHAnsi" w:eastAsiaTheme="majorEastAsia" w:hAnsiTheme="minorHAnsi" w:cstheme="minorHAnsi"/>
          <w:bCs/>
          <w:color w:val="000000" w:themeColor="text1"/>
          <w:szCs w:val="21"/>
        </w:rPr>
        <w:t xml:space="preserve">Depth Focus groups </w:t>
      </w:r>
      <w:r w:rsidR="00435E2A">
        <w:rPr>
          <w:rFonts w:asciiTheme="minorHAnsi" w:hAnsiTheme="minorHAnsi" w:cstheme="minorHAnsi"/>
          <w:szCs w:val="21"/>
        </w:rPr>
        <w:t xml:space="preserve">sections on </w:t>
      </w:r>
      <w:r w:rsidR="00435E2A" w:rsidRPr="00D27014">
        <w:rPr>
          <w:rFonts w:asciiTheme="minorHAnsi" w:hAnsiTheme="minorHAnsi" w:cstheme="minorHAnsi"/>
          <w:szCs w:val="21"/>
        </w:rPr>
        <w:t xml:space="preserve">People receiving </w:t>
      </w:r>
      <w:r w:rsidR="00435E2A">
        <w:rPr>
          <w:rFonts w:asciiTheme="minorHAnsi" w:hAnsiTheme="minorHAnsi" w:cstheme="minorHAnsi"/>
          <w:szCs w:val="21"/>
        </w:rPr>
        <w:t>payments to support caring</w:t>
      </w:r>
      <w:r w:rsidR="00435E2A" w:rsidRPr="00D27014">
        <w:rPr>
          <w:rFonts w:asciiTheme="minorHAnsi" w:hAnsiTheme="minorHAnsi" w:cstheme="minorHAnsi"/>
          <w:szCs w:val="21"/>
        </w:rPr>
        <w:t xml:space="preserve"> and People </w:t>
      </w:r>
      <w:r w:rsidR="00435E2A">
        <w:rPr>
          <w:rFonts w:asciiTheme="minorHAnsi" w:hAnsiTheme="minorHAnsi" w:cstheme="minorHAnsi"/>
          <w:szCs w:val="21"/>
        </w:rPr>
        <w:t>r</w:t>
      </w:r>
      <w:r w:rsidR="00435E2A" w:rsidRPr="00D27014">
        <w:rPr>
          <w:rFonts w:asciiTheme="minorHAnsi" w:hAnsiTheme="minorHAnsi" w:cstheme="minorHAnsi"/>
          <w:szCs w:val="21"/>
        </w:rPr>
        <w:t xml:space="preserve">eceiving </w:t>
      </w:r>
      <w:r w:rsidR="00012796">
        <w:rPr>
          <w:rFonts w:asciiTheme="minorHAnsi" w:hAnsiTheme="minorHAnsi" w:cstheme="minorHAnsi"/>
          <w:szCs w:val="21"/>
        </w:rPr>
        <w:t>DSP</w:t>
      </w:r>
      <w:r w:rsidR="00435E2A" w:rsidRPr="00D27014">
        <w:rPr>
          <w:rFonts w:asciiTheme="minorHAnsi" w:hAnsiTheme="minorHAnsi" w:cstheme="minorHAnsi"/>
          <w:szCs w:val="21"/>
        </w:rPr>
        <w:t>.</w:t>
      </w:r>
    </w:p>
    <w:p w14:paraId="7C0681D7" w14:textId="24B26A02" w:rsidR="00B04FCE" w:rsidRDefault="002F5CC5" w:rsidP="00EF5B7F">
      <w:pPr>
        <w:pStyle w:val="Heading2notnumbered"/>
      </w:pPr>
      <w:r>
        <w:t xml:space="preserve">Of the 13% </w:t>
      </w:r>
      <w:r w:rsidR="00D51581" w:rsidRPr="00384ADA">
        <w:t>of parents</w:t>
      </w:r>
      <w:r w:rsidR="00D51581">
        <w:t xml:space="preserve"> </w:t>
      </w:r>
      <w:r w:rsidR="00384ADA">
        <w:t>or guardians</w:t>
      </w:r>
      <w:r w:rsidR="00D51581" w:rsidRPr="00384ADA">
        <w:t xml:space="preserve"> receiving income support</w:t>
      </w:r>
      <w:r>
        <w:t>, just over two</w:t>
      </w:r>
      <w:r w:rsidR="00B04FCE">
        <w:noBreakHyphen/>
      </w:r>
      <w:r>
        <w:t>thirds</w:t>
      </w:r>
      <w:r w:rsidR="00D51581" w:rsidRPr="00384ADA">
        <w:t xml:space="preserve"> also received at least one supplementary family payment (</w:t>
      </w:r>
      <w:r w:rsidR="005D29A4">
        <w:t>such as</w:t>
      </w:r>
      <w:r w:rsidR="00D51581" w:rsidRPr="00384ADA">
        <w:t xml:space="preserve"> </w:t>
      </w:r>
      <w:r w:rsidR="007B0B38">
        <w:t>FTB</w:t>
      </w:r>
      <w:r w:rsidR="00D51581" w:rsidRPr="00384ADA">
        <w:t>) in 2021</w:t>
      </w:r>
      <w:r w:rsidR="009F12CC">
        <w:t>–</w:t>
      </w:r>
      <w:r w:rsidR="00D51581" w:rsidRPr="00384ADA">
        <w:t>22.</w:t>
      </w:r>
    </w:p>
    <w:p w14:paraId="065A15AD" w14:textId="7E92B905" w:rsidR="00D51581" w:rsidRDefault="00D51581" w:rsidP="00D27014">
      <w:pPr>
        <w:spacing w:after="120" w:line="240" w:lineRule="auto"/>
        <w:rPr>
          <w:rFonts w:asciiTheme="minorHAnsi" w:hAnsiTheme="minorHAnsi" w:cstheme="minorHAnsi"/>
        </w:rPr>
      </w:pPr>
      <w:r>
        <w:rPr>
          <w:rFonts w:asciiTheme="minorHAnsi" w:hAnsiTheme="minorHAnsi" w:cstheme="minorHAnsi"/>
        </w:rPr>
        <w:t>The remaining 59% of parents</w:t>
      </w:r>
      <w:r w:rsidR="00A360DA">
        <w:rPr>
          <w:rFonts w:asciiTheme="minorHAnsi" w:hAnsiTheme="minorHAnsi" w:cstheme="minorHAnsi"/>
        </w:rPr>
        <w:t xml:space="preserve"> or </w:t>
      </w:r>
      <w:r>
        <w:rPr>
          <w:rFonts w:asciiTheme="minorHAnsi" w:hAnsiTheme="minorHAnsi" w:cstheme="minorHAnsi"/>
        </w:rPr>
        <w:t xml:space="preserve">guardians of children aged 19 or younger </w:t>
      </w:r>
      <w:r w:rsidR="00A360DA">
        <w:rPr>
          <w:rFonts w:asciiTheme="minorHAnsi" w:hAnsiTheme="minorHAnsi" w:cstheme="minorHAnsi"/>
        </w:rPr>
        <w:t>did not use</w:t>
      </w:r>
      <w:r>
        <w:rPr>
          <w:rFonts w:asciiTheme="minorHAnsi" w:hAnsiTheme="minorHAnsi" w:cstheme="minorHAnsi"/>
        </w:rPr>
        <w:t xml:space="preserve"> </w:t>
      </w:r>
      <w:r w:rsidR="004B721D">
        <w:rPr>
          <w:rFonts w:asciiTheme="minorHAnsi" w:hAnsiTheme="minorHAnsi" w:cstheme="minorHAnsi"/>
        </w:rPr>
        <w:t>income support or supplementary family payments during 2021</w:t>
      </w:r>
      <w:r w:rsidR="00255A50">
        <w:rPr>
          <w:rFonts w:asciiTheme="minorHAnsi" w:hAnsiTheme="minorHAnsi" w:cstheme="minorHAnsi"/>
        </w:rPr>
        <w:t>‍</w:t>
      </w:r>
      <w:r w:rsidR="009F12CC">
        <w:rPr>
          <w:rFonts w:asciiTheme="minorHAnsi" w:hAnsiTheme="minorHAnsi" w:cstheme="minorHAnsi"/>
        </w:rPr>
        <w:t>–</w:t>
      </w:r>
      <w:r w:rsidR="00255A50">
        <w:rPr>
          <w:rFonts w:asciiTheme="minorHAnsi" w:hAnsiTheme="minorHAnsi" w:cstheme="minorHAnsi"/>
        </w:rPr>
        <w:t>‍</w:t>
      </w:r>
      <w:r w:rsidR="004B721D">
        <w:rPr>
          <w:rFonts w:asciiTheme="minorHAnsi" w:hAnsiTheme="minorHAnsi" w:cstheme="minorHAnsi"/>
        </w:rPr>
        <w:t>22</w:t>
      </w:r>
      <w:r w:rsidR="007B1371">
        <w:rPr>
          <w:rFonts w:asciiTheme="minorHAnsi" w:hAnsiTheme="minorHAnsi" w:cstheme="minorHAnsi"/>
        </w:rPr>
        <w:t xml:space="preserve"> (</w:t>
      </w:r>
      <w:r w:rsidR="00830E16">
        <w:rPr>
          <w:rFonts w:asciiTheme="minorHAnsi" w:hAnsiTheme="minorHAnsi" w:cstheme="minorHAnsi"/>
        </w:rPr>
        <w:fldChar w:fldCharType="begin"/>
      </w:r>
      <w:r w:rsidR="00830E16">
        <w:rPr>
          <w:rFonts w:asciiTheme="minorHAnsi" w:hAnsiTheme="minorHAnsi" w:cstheme="minorHAnsi"/>
        </w:rPr>
        <w:instrText xml:space="preserve"> REF _Ref153309633 \h  \* MERGEFORMAT </w:instrText>
      </w:r>
      <w:r w:rsidR="00830E16">
        <w:rPr>
          <w:rFonts w:asciiTheme="minorHAnsi" w:hAnsiTheme="minorHAnsi" w:cstheme="minorHAnsi"/>
        </w:rPr>
      </w:r>
      <w:r w:rsidR="00830E16">
        <w:rPr>
          <w:rFonts w:asciiTheme="minorHAnsi" w:hAnsiTheme="minorHAnsi" w:cstheme="minorHAnsi"/>
        </w:rPr>
        <w:fldChar w:fldCharType="separate"/>
      </w:r>
      <w:r w:rsidR="00722C0A" w:rsidRPr="00722C0A">
        <w:rPr>
          <w:rFonts w:asciiTheme="minorHAnsi" w:hAnsiTheme="minorHAnsi" w:cstheme="minorHAnsi"/>
        </w:rPr>
        <w:t>Figure 7.1</w:t>
      </w:r>
      <w:r w:rsidR="00830E16">
        <w:rPr>
          <w:rFonts w:asciiTheme="minorHAnsi" w:hAnsiTheme="minorHAnsi" w:cstheme="minorHAnsi"/>
        </w:rPr>
        <w:fldChar w:fldCharType="end"/>
      </w:r>
      <w:r w:rsidR="00830E16">
        <w:rPr>
          <w:rFonts w:asciiTheme="minorHAnsi" w:hAnsiTheme="minorHAnsi" w:cstheme="minorHAnsi"/>
        </w:rPr>
        <w:t>)</w:t>
      </w:r>
      <w:r w:rsidR="004B721D">
        <w:rPr>
          <w:rFonts w:asciiTheme="minorHAnsi" w:hAnsiTheme="minorHAnsi" w:cstheme="minorHAnsi"/>
        </w:rPr>
        <w:t>.</w:t>
      </w:r>
    </w:p>
    <w:p w14:paraId="4D0B9B19" w14:textId="77777777" w:rsidR="00B04FCE" w:rsidRDefault="00A360DA" w:rsidP="00D27014">
      <w:pPr>
        <w:spacing w:after="120" w:line="240" w:lineRule="auto"/>
        <w:rPr>
          <w:rFonts w:asciiTheme="minorHAnsi" w:hAnsiTheme="minorHAnsi" w:cstheme="minorHAnsi"/>
        </w:rPr>
      </w:pPr>
      <w:r>
        <w:rPr>
          <w:rFonts w:asciiTheme="minorHAnsi" w:hAnsiTheme="minorHAnsi" w:cstheme="minorHAnsi"/>
        </w:rPr>
        <w:t xml:space="preserve">Women comprised </w:t>
      </w:r>
      <w:r w:rsidR="0073502B">
        <w:rPr>
          <w:rFonts w:asciiTheme="minorHAnsi" w:hAnsiTheme="minorHAnsi" w:cstheme="minorHAnsi"/>
        </w:rPr>
        <w:t xml:space="preserve">the majority of </w:t>
      </w:r>
      <w:r>
        <w:rPr>
          <w:rFonts w:asciiTheme="minorHAnsi" w:hAnsiTheme="minorHAnsi" w:cstheme="minorHAnsi"/>
        </w:rPr>
        <w:t>parents or guardians</w:t>
      </w:r>
      <w:r w:rsidR="0073502B">
        <w:rPr>
          <w:rFonts w:asciiTheme="minorHAnsi" w:hAnsiTheme="minorHAnsi" w:cstheme="minorHAnsi"/>
        </w:rPr>
        <w:t xml:space="preserve"> claiming </w:t>
      </w:r>
      <w:r w:rsidR="003842C7">
        <w:rPr>
          <w:rFonts w:asciiTheme="minorHAnsi" w:hAnsiTheme="minorHAnsi" w:cstheme="minorHAnsi"/>
        </w:rPr>
        <w:t xml:space="preserve">social security </w:t>
      </w:r>
      <w:r w:rsidR="0073502B">
        <w:rPr>
          <w:rFonts w:asciiTheme="minorHAnsi" w:hAnsiTheme="minorHAnsi" w:cstheme="minorHAnsi"/>
        </w:rPr>
        <w:t>payment</w:t>
      </w:r>
      <w:r w:rsidR="003842C7">
        <w:rPr>
          <w:rFonts w:asciiTheme="minorHAnsi" w:hAnsiTheme="minorHAnsi" w:cstheme="minorHAnsi"/>
        </w:rPr>
        <w:t>s</w:t>
      </w:r>
      <w:r>
        <w:rPr>
          <w:rFonts w:asciiTheme="minorHAnsi" w:hAnsiTheme="minorHAnsi" w:cstheme="minorHAnsi"/>
        </w:rPr>
        <w:t>, including</w:t>
      </w:r>
      <w:r w:rsidR="0073502B">
        <w:rPr>
          <w:rFonts w:asciiTheme="minorHAnsi" w:hAnsiTheme="minorHAnsi" w:cstheme="minorHAnsi"/>
        </w:rPr>
        <w:t xml:space="preserve"> 94% of </w:t>
      </w:r>
      <w:r w:rsidR="007E53FA">
        <w:rPr>
          <w:rFonts w:asciiTheme="minorHAnsi" w:hAnsiTheme="minorHAnsi" w:cstheme="minorHAnsi"/>
        </w:rPr>
        <w:t xml:space="preserve">people receiving </w:t>
      </w:r>
      <w:r w:rsidR="0073502B">
        <w:rPr>
          <w:rFonts w:asciiTheme="minorHAnsi" w:hAnsiTheme="minorHAnsi" w:cstheme="minorHAnsi"/>
        </w:rPr>
        <w:t>Pare</w:t>
      </w:r>
      <w:r w:rsidR="007E53FA">
        <w:rPr>
          <w:rFonts w:asciiTheme="minorHAnsi" w:hAnsiTheme="minorHAnsi" w:cstheme="minorHAnsi"/>
        </w:rPr>
        <w:t>nting Payment</w:t>
      </w:r>
      <w:r w:rsidR="0073502B">
        <w:rPr>
          <w:rFonts w:asciiTheme="minorHAnsi" w:hAnsiTheme="minorHAnsi" w:cstheme="minorHAnsi"/>
        </w:rPr>
        <w:t>, 63% of parents</w:t>
      </w:r>
      <w:r>
        <w:rPr>
          <w:rFonts w:asciiTheme="minorHAnsi" w:hAnsiTheme="minorHAnsi" w:cstheme="minorHAnsi"/>
        </w:rPr>
        <w:t xml:space="preserve"> or </w:t>
      </w:r>
      <w:r w:rsidR="0073502B">
        <w:rPr>
          <w:rFonts w:asciiTheme="minorHAnsi" w:hAnsiTheme="minorHAnsi" w:cstheme="minorHAnsi"/>
        </w:rPr>
        <w:t xml:space="preserve">guardians receiving other income </w:t>
      </w:r>
      <w:r w:rsidR="003842C7">
        <w:rPr>
          <w:rFonts w:asciiTheme="minorHAnsi" w:hAnsiTheme="minorHAnsi" w:cstheme="minorHAnsi"/>
        </w:rPr>
        <w:t xml:space="preserve">support </w:t>
      </w:r>
      <w:r w:rsidR="0073502B">
        <w:rPr>
          <w:rFonts w:asciiTheme="minorHAnsi" w:hAnsiTheme="minorHAnsi" w:cstheme="minorHAnsi"/>
        </w:rPr>
        <w:t xml:space="preserve">payments, and 81% of </w:t>
      </w:r>
      <w:r>
        <w:rPr>
          <w:rFonts w:asciiTheme="minorHAnsi" w:hAnsiTheme="minorHAnsi" w:cstheme="minorHAnsi"/>
        </w:rPr>
        <w:t>those</w:t>
      </w:r>
      <w:r w:rsidR="0073502B">
        <w:rPr>
          <w:rFonts w:asciiTheme="minorHAnsi" w:hAnsiTheme="minorHAnsi" w:cstheme="minorHAnsi"/>
        </w:rPr>
        <w:t xml:space="preserve"> receiving supplementary </w:t>
      </w:r>
      <w:r w:rsidR="003842C7">
        <w:rPr>
          <w:rFonts w:asciiTheme="minorHAnsi" w:hAnsiTheme="minorHAnsi" w:cstheme="minorHAnsi"/>
        </w:rPr>
        <w:t xml:space="preserve">family </w:t>
      </w:r>
      <w:r w:rsidR="0073502B">
        <w:rPr>
          <w:rFonts w:asciiTheme="minorHAnsi" w:hAnsiTheme="minorHAnsi" w:cstheme="minorHAnsi"/>
        </w:rPr>
        <w:t xml:space="preserve">payments only. The majority of parents or guardians who were not receiving income support </w:t>
      </w:r>
      <w:r w:rsidR="003842C7">
        <w:rPr>
          <w:rFonts w:asciiTheme="minorHAnsi" w:hAnsiTheme="minorHAnsi" w:cstheme="minorHAnsi"/>
        </w:rPr>
        <w:t xml:space="preserve">or a supplementary family payment were </w:t>
      </w:r>
      <w:r>
        <w:rPr>
          <w:rFonts w:asciiTheme="minorHAnsi" w:hAnsiTheme="minorHAnsi" w:cstheme="minorHAnsi"/>
        </w:rPr>
        <w:t>men</w:t>
      </w:r>
      <w:r w:rsidR="003842C7">
        <w:rPr>
          <w:rFonts w:asciiTheme="minorHAnsi" w:hAnsiTheme="minorHAnsi" w:cstheme="minorHAnsi"/>
        </w:rPr>
        <w:t xml:space="preserve"> (62%).</w:t>
      </w:r>
    </w:p>
    <w:p w14:paraId="1DA16FDC" w14:textId="3D326608" w:rsidR="00B04FCE" w:rsidRDefault="007855DD" w:rsidP="005E332C">
      <w:pPr>
        <w:pStyle w:val="FigureMainHeading"/>
      </w:pPr>
      <w:bookmarkStart w:id="72" w:name="_Ref153309633"/>
      <w:bookmarkStart w:id="73" w:name="_Ref153366642"/>
      <w:r>
        <w:lastRenderedPageBreak/>
        <w:t>Figure </w:t>
      </w:r>
      <w:r w:rsidR="00B80D45">
        <w:fldChar w:fldCharType="begin"/>
      </w:r>
      <w:r w:rsidR="00B80D45">
        <w:instrText xml:space="preserve"> STYLEREF 1 \s </w:instrText>
      </w:r>
      <w:r w:rsidR="00B80D45">
        <w:fldChar w:fldCharType="separate"/>
      </w:r>
      <w:r w:rsidR="00722C0A">
        <w:rPr>
          <w:noProof/>
        </w:rPr>
        <w:t>7</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1</w:t>
      </w:r>
      <w:r w:rsidR="00B80D45">
        <w:rPr>
          <w:noProof/>
        </w:rPr>
        <w:fldChar w:fldCharType="end"/>
      </w:r>
      <w:bookmarkEnd w:id="72"/>
      <w:r w:rsidR="005E332C">
        <w:t>:</w:t>
      </w:r>
      <w:r w:rsidR="005E332C">
        <w:tab/>
      </w:r>
      <w:r w:rsidR="00675CE1">
        <w:t>C</w:t>
      </w:r>
      <w:r w:rsidR="00C130BF" w:rsidRPr="00A13641">
        <w:t xml:space="preserve">omposition </w:t>
      </w:r>
      <w:r w:rsidR="00C130BF">
        <w:t xml:space="preserve">of </w:t>
      </w:r>
      <w:r w:rsidR="00C95BE9" w:rsidRPr="00A13641">
        <w:t xml:space="preserve">parents or guardians with children </w:t>
      </w:r>
      <w:r w:rsidR="00C95BE9">
        <w:t xml:space="preserve">aged </w:t>
      </w:r>
      <w:r w:rsidR="00C95BE9" w:rsidRPr="00A13641">
        <w:t>1</w:t>
      </w:r>
      <w:r w:rsidR="00C95BE9">
        <w:t>9</w:t>
      </w:r>
      <w:r w:rsidR="00C95BE9" w:rsidRPr="00A13641">
        <w:t xml:space="preserve"> </w:t>
      </w:r>
      <w:r w:rsidR="00C95BE9">
        <w:t>and under</w:t>
      </w:r>
      <w:bookmarkEnd w:id="73"/>
    </w:p>
    <w:p w14:paraId="6EC0EF18" w14:textId="77777777" w:rsidR="00B04FCE" w:rsidRPr="00E90A1D" w:rsidRDefault="003005FC" w:rsidP="00E90A1D">
      <w:pPr>
        <w:pStyle w:val="ChartGraphic"/>
      </w:pPr>
      <w:r w:rsidRPr="00D27014">
        <w:rPr>
          <w:noProof/>
        </w:rPr>
        <w:drawing>
          <wp:inline distT="0" distB="0" distL="0" distR="0" wp14:anchorId="70A65FDA" wp14:editId="0FDB3967">
            <wp:extent cx="4319905" cy="2771775"/>
            <wp:effectExtent l="0" t="0" r="4445" b="0"/>
            <wp:docPr id="90" name="Chart 90" descr="This chart shows that 13% of people a with children received income support at 30 June 2022, 28% received supplementary family payments only over the 2021-22 financial year, and 59% received no income support or supplementary family payments. Of the 13% who received income support, 5% received Parenting Payment, 5% received working age payments, 2% received DSP, and 2% received Carer Pay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951D7FE" w14:textId="3A5BE9D0" w:rsidR="00B04FCE" w:rsidRDefault="005E332C" w:rsidP="00EF5B7F">
      <w:pPr>
        <w:pStyle w:val="Heading2notnumbered"/>
      </w:pPr>
      <w:r>
        <w:t>First Nation</w:t>
      </w:r>
      <w:r w:rsidR="00A360DA">
        <w:t>s</w:t>
      </w:r>
      <w:r w:rsidR="002B586A" w:rsidRPr="002B586A">
        <w:t xml:space="preserve"> parents who had their first child before age 22 were 6.4</w:t>
      </w:r>
      <w:r w:rsidR="00F40387">
        <w:t> times</w:t>
      </w:r>
      <w:r w:rsidR="002B586A" w:rsidRPr="002B586A">
        <w:t xml:space="preserve"> </w:t>
      </w:r>
      <w:r w:rsidR="00A360DA">
        <w:t>more</w:t>
      </w:r>
      <w:r w:rsidR="002B586A" w:rsidRPr="002B586A">
        <w:t xml:space="preserve"> likely to </w:t>
      </w:r>
      <w:r w:rsidR="00A360DA">
        <w:t>receive</w:t>
      </w:r>
      <w:r w:rsidR="002B586A" w:rsidRPr="002B586A">
        <w:t xml:space="preserve"> income support </w:t>
      </w:r>
      <w:r w:rsidR="00A360DA">
        <w:t>than</w:t>
      </w:r>
      <w:r w:rsidR="002B586A">
        <w:t xml:space="preserve"> </w:t>
      </w:r>
      <w:r w:rsidR="00A360DA">
        <w:t>non</w:t>
      </w:r>
      <w:r w:rsidR="00B04FCE">
        <w:noBreakHyphen/>
      </w:r>
      <w:r>
        <w:t>First Nation</w:t>
      </w:r>
      <w:r w:rsidR="00A360DA">
        <w:t>s</w:t>
      </w:r>
      <w:r w:rsidR="002B586A" w:rsidRPr="002B586A">
        <w:t xml:space="preserve"> parents </w:t>
      </w:r>
      <w:r w:rsidR="00A360DA">
        <w:t>who</w:t>
      </w:r>
      <w:r w:rsidR="002B586A" w:rsidRPr="002B586A">
        <w:t xml:space="preserve"> had their f</w:t>
      </w:r>
      <w:r w:rsidR="002B586A">
        <w:t>irst child at an older age</w:t>
      </w:r>
      <w:r w:rsidR="002B586A" w:rsidRPr="002B586A">
        <w:t>.</w:t>
      </w:r>
    </w:p>
    <w:p w14:paraId="1BF5A2A9" w14:textId="107E657D" w:rsidR="00B04FCE" w:rsidRDefault="00CB4AEA" w:rsidP="00400575">
      <w:pPr>
        <w:spacing w:after="120"/>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_Ref158295724 \h </w:instrText>
      </w:r>
      <w:r>
        <w:rPr>
          <w:rFonts w:asciiTheme="minorHAnsi" w:hAnsiTheme="minorHAnsi" w:cstheme="minorHAnsi"/>
        </w:rPr>
      </w:r>
      <w:r>
        <w:rPr>
          <w:rFonts w:asciiTheme="minorHAnsi" w:hAnsiTheme="minorHAnsi" w:cstheme="minorHAnsi"/>
        </w:rPr>
        <w:fldChar w:fldCharType="separate"/>
      </w:r>
      <w:r w:rsidR="00722C0A">
        <w:t>Figure </w:t>
      </w:r>
      <w:r w:rsidR="00722C0A">
        <w:rPr>
          <w:noProof/>
        </w:rPr>
        <w:t>7</w:t>
      </w:r>
      <w:r w:rsidR="00722C0A">
        <w:t>.</w:t>
      </w:r>
      <w:r w:rsidR="00722C0A">
        <w:rPr>
          <w:noProof/>
        </w:rPr>
        <w:t>2</w:t>
      </w:r>
      <w:r>
        <w:rPr>
          <w:rFonts w:asciiTheme="minorHAnsi" w:hAnsiTheme="minorHAnsi" w:cstheme="minorHAnsi"/>
        </w:rPr>
        <w:fldChar w:fldCharType="end"/>
      </w:r>
      <w:r w:rsidR="00F17BC0">
        <w:rPr>
          <w:rFonts w:asciiTheme="minorHAnsi" w:hAnsiTheme="minorHAnsi" w:cstheme="minorHAnsi"/>
        </w:rPr>
        <w:t xml:space="preserve"> </w:t>
      </w:r>
      <w:r w:rsidR="0034452F" w:rsidRPr="00400575">
        <w:rPr>
          <w:rFonts w:asciiTheme="minorHAnsi" w:hAnsiTheme="minorHAnsi" w:cstheme="minorHAnsi"/>
        </w:rPr>
        <w:t xml:space="preserve">shows parents </w:t>
      </w:r>
      <w:r w:rsidR="00400575">
        <w:rPr>
          <w:rFonts w:asciiTheme="minorHAnsi" w:hAnsiTheme="minorHAnsi" w:cstheme="minorHAnsi"/>
        </w:rPr>
        <w:t>who</w:t>
      </w:r>
      <w:r w:rsidR="0034452F" w:rsidRPr="00400575">
        <w:rPr>
          <w:rFonts w:asciiTheme="minorHAnsi" w:hAnsiTheme="minorHAnsi" w:cstheme="minorHAnsi"/>
        </w:rPr>
        <w:t xml:space="preserve"> had their children at an earlier age </w:t>
      </w:r>
      <w:r w:rsidR="00400575">
        <w:rPr>
          <w:rFonts w:asciiTheme="minorHAnsi" w:hAnsiTheme="minorHAnsi" w:cstheme="minorHAnsi"/>
        </w:rPr>
        <w:t>are</w:t>
      </w:r>
      <w:r w:rsidR="0034452F" w:rsidRPr="00400575">
        <w:rPr>
          <w:rFonts w:asciiTheme="minorHAnsi" w:hAnsiTheme="minorHAnsi" w:cstheme="minorHAnsi"/>
        </w:rPr>
        <w:t xml:space="preserve"> more likely to </w:t>
      </w:r>
      <w:r w:rsidR="00400575">
        <w:rPr>
          <w:rFonts w:asciiTheme="minorHAnsi" w:hAnsiTheme="minorHAnsi" w:cstheme="minorHAnsi"/>
        </w:rPr>
        <w:t>receive</w:t>
      </w:r>
      <w:r w:rsidR="0034452F" w:rsidRPr="00400575">
        <w:rPr>
          <w:rFonts w:asciiTheme="minorHAnsi" w:hAnsiTheme="minorHAnsi" w:cstheme="minorHAnsi"/>
        </w:rPr>
        <w:t xml:space="preserve"> an income support payment</w:t>
      </w:r>
      <w:r w:rsidR="00400575">
        <w:rPr>
          <w:rFonts w:asciiTheme="minorHAnsi" w:hAnsiTheme="minorHAnsi" w:cstheme="minorHAnsi"/>
        </w:rPr>
        <w:t xml:space="preserve">, particularly </w:t>
      </w:r>
      <w:r w:rsidR="005E332C">
        <w:rPr>
          <w:rFonts w:asciiTheme="minorHAnsi" w:hAnsiTheme="minorHAnsi" w:cstheme="minorHAnsi"/>
        </w:rPr>
        <w:t>First Nation</w:t>
      </w:r>
      <w:r w:rsidR="00400575">
        <w:rPr>
          <w:rFonts w:asciiTheme="minorHAnsi" w:hAnsiTheme="minorHAnsi" w:cstheme="minorHAnsi"/>
        </w:rPr>
        <w:t>s parents</w:t>
      </w:r>
      <w:r w:rsidR="0034452F" w:rsidRPr="00400575">
        <w:rPr>
          <w:rFonts w:asciiTheme="minorHAnsi" w:hAnsiTheme="minorHAnsi" w:cstheme="minorHAnsi"/>
        </w:rPr>
        <w:t xml:space="preserve">. </w:t>
      </w:r>
      <w:r w:rsidR="002B586A" w:rsidRPr="00400575">
        <w:rPr>
          <w:rFonts w:asciiTheme="minorHAnsi" w:hAnsiTheme="minorHAnsi" w:cstheme="minorHAnsi"/>
        </w:rPr>
        <w:t xml:space="preserve">Almost three quarters (72%) of </w:t>
      </w:r>
      <w:r w:rsidR="005E332C">
        <w:rPr>
          <w:rFonts w:asciiTheme="minorHAnsi" w:hAnsiTheme="minorHAnsi" w:cstheme="minorHAnsi"/>
        </w:rPr>
        <w:t>First Nation</w:t>
      </w:r>
      <w:r w:rsidR="00400575">
        <w:rPr>
          <w:rFonts w:asciiTheme="minorHAnsi" w:hAnsiTheme="minorHAnsi" w:cstheme="minorHAnsi"/>
        </w:rPr>
        <w:t>s</w:t>
      </w:r>
      <w:r w:rsidR="002B586A" w:rsidRPr="00400575">
        <w:rPr>
          <w:rFonts w:asciiTheme="minorHAnsi" w:hAnsiTheme="minorHAnsi" w:cstheme="minorHAnsi"/>
        </w:rPr>
        <w:t xml:space="preserve"> parents who had</w:t>
      </w:r>
      <w:r w:rsidR="0034452F" w:rsidRPr="00400575">
        <w:rPr>
          <w:rFonts w:asciiTheme="minorHAnsi" w:hAnsiTheme="minorHAnsi" w:cstheme="minorHAnsi"/>
        </w:rPr>
        <w:t xml:space="preserve"> their first child before age</w:t>
      </w:r>
      <w:r w:rsidR="00255A50">
        <w:rPr>
          <w:rFonts w:asciiTheme="minorHAnsi" w:hAnsiTheme="minorHAnsi" w:cstheme="minorHAnsi"/>
        </w:rPr>
        <w:t> </w:t>
      </w:r>
      <w:r w:rsidR="0034452F" w:rsidRPr="00400575">
        <w:rPr>
          <w:rFonts w:asciiTheme="minorHAnsi" w:hAnsiTheme="minorHAnsi" w:cstheme="minorHAnsi"/>
        </w:rPr>
        <w:t>22</w:t>
      </w:r>
      <w:r w:rsidR="002B586A" w:rsidRPr="00400575">
        <w:rPr>
          <w:rFonts w:asciiTheme="minorHAnsi" w:hAnsiTheme="minorHAnsi" w:cstheme="minorHAnsi"/>
        </w:rPr>
        <w:t xml:space="preserve"> were receiving income support at 30</w:t>
      </w:r>
      <w:r w:rsidR="00E46C6A">
        <w:rPr>
          <w:rFonts w:asciiTheme="minorHAnsi" w:hAnsiTheme="minorHAnsi" w:cstheme="minorHAnsi"/>
        </w:rPr>
        <w:t> June </w:t>
      </w:r>
      <w:r w:rsidR="002B586A" w:rsidRPr="00400575">
        <w:rPr>
          <w:rFonts w:asciiTheme="minorHAnsi" w:hAnsiTheme="minorHAnsi" w:cstheme="minorHAnsi"/>
        </w:rPr>
        <w:t>2022.</w:t>
      </w:r>
      <w:r w:rsidR="0034452F" w:rsidRPr="00400575">
        <w:rPr>
          <w:rFonts w:asciiTheme="minorHAnsi" w:hAnsiTheme="minorHAnsi" w:cstheme="minorHAnsi"/>
        </w:rPr>
        <w:t xml:space="preserve"> </w:t>
      </w:r>
      <w:r w:rsidR="002B586A" w:rsidRPr="00400575">
        <w:rPr>
          <w:rFonts w:asciiTheme="minorHAnsi" w:hAnsiTheme="minorHAnsi" w:cstheme="minorHAnsi"/>
        </w:rPr>
        <w:t>Only 11% of non</w:t>
      </w:r>
      <w:r w:rsidR="00B04FCE">
        <w:rPr>
          <w:rFonts w:asciiTheme="minorHAnsi" w:hAnsiTheme="minorHAnsi" w:cstheme="minorHAnsi"/>
        </w:rPr>
        <w:noBreakHyphen/>
      </w:r>
      <w:r w:rsidR="005E332C">
        <w:rPr>
          <w:rFonts w:asciiTheme="minorHAnsi" w:hAnsiTheme="minorHAnsi" w:cstheme="minorHAnsi"/>
        </w:rPr>
        <w:t>First Nation</w:t>
      </w:r>
      <w:r w:rsidR="00400575">
        <w:rPr>
          <w:rFonts w:asciiTheme="minorHAnsi" w:hAnsiTheme="minorHAnsi" w:cstheme="minorHAnsi"/>
        </w:rPr>
        <w:t xml:space="preserve">s </w:t>
      </w:r>
      <w:r w:rsidR="002B586A" w:rsidRPr="00400575">
        <w:rPr>
          <w:rFonts w:asciiTheme="minorHAnsi" w:hAnsiTheme="minorHAnsi" w:cstheme="minorHAnsi"/>
        </w:rPr>
        <w:t>parents who had their first child at an older age were receiving income support at 30</w:t>
      </w:r>
      <w:r w:rsidR="00E46C6A">
        <w:rPr>
          <w:rFonts w:asciiTheme="minorHAnsi" w:hAnsiTheme="minorHAnsi" w:cstheme="minorHAnsi"/>
        </w:rPr>
        <w:t> June </w:t>
      </w:r>
      <w:r w:rsidR="002B586A" w:rsidRPr="00400575">
        <w:rPr>
          <w:rFonts w:asciiTheme="minorHAnsi" w:hAnsiTheme="minorHAnsi" w:cstheme="minorHAnsi"/>
        </w:rPr>
        <w:t>2022.</w:t>
      </w:r>
    </w:p>
    <w:p w14:paraId="2395EBBA" w14:textId="7ADFF528" w:rsidR="00C95BE9" w:rsidRDefault="007855DD" w:rsidP="005E332C">
      <w:pPr>
        <w:pStyle w:val="FigureMainHeading"/>
      </w:pPr>
      <w:bookmarkStart w:id="74" w:name="_Ref158295724"/>
      <w:r>
        <w:t>Figure </w:t>
      </w:r>
      <w:r w:rsidR="00B80D45">
        <w:fldChar w:fldCharType="begin"/>
      </w:r>
      <w:r w:rsidR="00B80D45">
        <w:instrText xml:space="preserve"> STYLEREF 1 \s </w:instrText>
      </w:r>
      <w:r w:rsidR="00B80D45">
        <w:fldChar w:fldCharType="separate"/>
      </w:r>
      <w:r w:rsidR="00722C0A">
        <w:rPr>
          <w:noProof/>
        </w:rPr>
        <w:t>7</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2</w:t>
      </w:r>
      <w:r w:rsidR="00B80D45">
        <w:rPr>
          <w:noProof/>
        </w:rPr>
        <w:fldChar w:fldCharType="end"/>
      </w:r>
      <w:bookmarkEnd w:id="74"/>
      <w:r w:rsidR="005E332C">
        <w:t>:</w:t>
      </w:r>
      <w:r w:rsidR="005E332C">
        <w:tab/>
      </w:r>
      <w:r w:rsidR="007E4C2E" w:rsidRPr="00A13641">
        <w:t>Percentage</w:t>
      </w:r>
      <w:r w:rsidR="00830E16" w:rsidRPr="00A13641">
        <w:t xml:space="preserve"> </w:t>
      </w:r>
      <w:r w:rsidR="00C95BE9" w:rsidRPr="00A13641">
        <w:t xml:space="preserve">of parents/guardians receiving income support based on </w:t>
      </w:r>
      <w:r w:rsidR="005E332C">
        <w:t>First Nation</w:t>
      </w:r>
      <w:r w:rsidR="00C95BE9">
        <w:t xml:space="preserve">s status </w:t>
      </w:r>
      <w:r w:rsidR="00C95BE9" w:rsidRPr="00A13641">
        <w:t>and age when first child born</w:t>
      </w:r>
      <w:r w:rsidR="00C95BE9">
        <w:t xml:space="preserve"> or </w:t>
      </w:r>
      <w:r w:rsidR="00C95BE9" w:rsidRPr="00A13641">
        <w:t>adopted</w:t>
      </w:r>
    </w:p>
    <w:p w14:paraId="01697ED3" w14:textId="3944E870" w:rsidR="00B04FCE" w:rsidRDefault="00B90E27" w:rsidP="00EF5B7F">
      <w:pPr>
        <w:pStyle w:val="ChartGraphic"/>
      </w:pPr>
      <w:r>
        <w:rPr>
          <w:noProof/>
        </w:rPr>
        <w:drawing>
          <wp:inline distT="0" distB="0" distL="0" distR="0" wp14:anchorId="62410613" wp14:editId="73742F6B">
            <wp:extent cx="4319905" cy="1512000"/>
            <wp:effectExtent l="0" t="0" r="4445" b="0"/>
            <wp:docPr id="7" name="Chart 7" descr="This chart shows that the percentage of parents/guardians receiving income support is higher for First Nations people than Non-First Nations people, regardless of whether the parent/guardian had their first child before age 22 or at age 22 or afte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3E2E001" w14:textId="0449A2A6" w:rsidR="0014385E" w:rsidRPr="00D27014" w:rsidRDefault="0014385E" w:rsidP="00EF5B7F">
      <w:pPr>
        <w:pStyle w:val="Heading2notnumbered"/>
      </w:pPr>
      <w:r w:rsidRPr="00D27014">
        <w:t xml:space="preserve">Parents </w:t>
      </w:r>
      <w:r>
        <w:t>or guardians receiving</w:t>
      </w:r>
      <w:r w:rsidRPr="00D27014">
        <w:t xml:space="preserve"> </w:t>
      </w:r>
      <w:r>
        <w:t>i</w:t>
      </w:r>
      <w:r w:rsidRPr="00D27014">
        <w:t xml:space="preserve">ncome </w:t>
      </w:r>
      <w:r>
        <w:t>s</w:t>
      </w:r>
      <w:r w:rsidRPr="00D27014">
        <w:t xml:space="preserve">upport payments </w:t>
      </w:r>
      <w:r>
        <w:t>were</w:t>
      </w:r>
      <w:r w:rsidRPr="00D27014">
        <w:t xml:space="preserve"> </w:t>
      </w:r>
      <w:r>
        <w:t>2.4</w:t>
      </w:r>
      <w:r w:rsidR="00F40387">
        <w:t> times</w:t>
      </w:r>
      <w:r w:rsidRPr="00D27014">
        <w:t xml:space="preserve"> </w:t>
      </w:r>
      <w:r w:rsidR="005D3315">
        <w:t>more</w:t>
      </w:r>
      <w:r w:rsidRPr="00D27014">
        <w:t xml:space="preserve"> likely to live in the lowest </w:t>
      </w:r>
      <w:r>
        <w:t xml:space="preserve">20% of </w:t>
      </w:r>
      <w:r w:rsidRPr="00D27014">
        <w:t>socio</w:t>
      </w:r>
      <w:r w:rsidR="00B04FCE">
        <w:noBreakHyphen/>
      </w:r>
      <w:r w:rsidRPr="00D27014">
        <w:t>economic area</w:t>
      </w:r>
      <w:r>
        <w:t>s</w:t>
      </w:r>
      <w:r w:rsidRPr="00D27014">
        <w:t xml:space="preserve"> compared to parents</w:t>
      </w:r>
      <w:r w:rsidR="004207F6">
        <w:t xml:space="preserve"> who did not receive income support</w:t>
      </w:r>
      <w:r w:rsidRPr="00D27014">
        <w:t>.</w:t>
      </w:r>
    </w:p>
    <w:p w14:paraId="10A41F79" w14:textId="16D382D4" w:rsidR="00B04FCE" w:rsidRDefault="004207F6" w:rsidP="0014385E">
      <w:pPr>
        <w:spacing w:after="120" w:line="240" w:lineRule="auto"/>
        <w:rPr>
          <w:rFonts w:asciiTheme="minorHAnsi" w:hAnsiTheme="minorHAnsi" w:cstheme="minorHAnsi"/>
          <w:szCs w:val="21"/>
        </w:rPr>
      </w:pPr>
      <w:r>
        <w:rPr>
          <w:rFonts w:asciiTheme="minorHAnsi" w:hAnsiTheme="minorHAnsi" w:cstheme="minorHAnsi"/>
          <w:szCs w:val="21"/>
        </w:rPr>
        <w:t>65% of p</w:t>
      </w:r>
      <w:r w:rsidR="0014385E">
        <w:rPr>
          <w:rFonts w:asciiTheme="minorHAnsi" w:hAnsiTheme="minorHAnsi" w:cstheme="minorHAnsi"/>
          <w:szCs w:val="21"/>
        </w:rPr>
        <w:t xml:space="preserve">arents or guardians receiving income support </w:t>
      </w:r>
      <w:r>
        <w:rPr>
          <w:rFonts w:asciiTheme="minorHAnsi" w:hAnsiTheme="minorHAnsi" w:cstheme="minorHAnsi"/>
          <w:szCs w:val="21"/>
        </w:rPr>
        <w:t>live in</w:t>
      </w:r>
      <w:r w:rsidR="0014385E">
        <w:rPr>
          <w:rFonts w:asciiTheme="minorHAnsi" w:hAnsiTheme="minorHAnsi" w:cstheme="minorHAnsi"/>
          <w:szCs w:val="21"/>
        </w:rPr>
        <w:t xml:space="preserve"> the lowest 40% of socio</w:t>
      </w:r>
      <w:r w:rsidR="00B04FCE">
        <w:rPr>
          <w:rFonts w:asciiTheme="minorHAnsi" w:hAnsiTheme="minorHAnsi" w:cstheme="minorHAnsi"/>
          <w:szCs w:val="21"/>
        </w:rPr>
        <w:noBreakHyphen/>
      </w:r>
      <w:r w:rsidR="0014385E">
        <w:rPr>
          <w:rFonts w:asciiTheme="minorHAnsi" w:hAnsiTheme="minorHAnsi" w:cstheme="minorHAnsi"/>
          <w:szCs w:val="21"/>
        </w:rPr>
        <w:t>economic areas</w:t>
      </w:r>
      <w:r w:rsidR="005B4626">
        <w:rPr>
          <w:rFonts w:asciiTheme="minorHAnsi" w:hAnsiTheme="minorHAnsi" w:cstheme="minorHAnsi"/>
          <w:szCs w:val="21"/>
        </w:rPr>
        <w:t>, highlighting another level of disadvantage faced by this group</w:t>
      </w:r>
      <w:r w:rsidR="00EB0901">
        <w:rPr>
          <w:rFonts w:asciiTheme="minorHAnsi" w:hAnsiTheme="minorHAnsi" w:cstheme="minorHAnsi"/>
          <w:szCs w:val="21"/>
        </w:rPr>
        <w:t xml:space="preserve"> (</w:t>
      </w:r>
      <w:r w:rsidR="007F3F34">
        <w:rPr>
          <w:rFonts w:asciiTheme="minorHAnsi" w:hAnsiTheme="minorHAnsi" w:cstheme="minorHAnsi"/>
          <w:szCs w:val="21"/>
        </w:rPr>
        <w:fldChar w:fldCharType="begin"/>
      </w:r>
      <w:r w:rsidR="007F3F34">
        <w:rPr>
          <w:rFonts w:asciiTheme="minorHAnsi" w:hAnsiTheme="minorHAnsi" w:cstheme="minorHAnsi"/>
          <w:szCs w:val="21"/>
        </w:rPr>
        <w:instrText xml:space="preserve"> REF _Ref153310227 \h  \* MERGEFORMAT </w:instrText>
      </w:r>
      <w:r w:rsidR="007F3F34">
        <w:rPr>
          <w:rFonts w:asciiTheme="minorHAnsi" w:hAnsiTheme="minorHAnsi" w:cstheme="minorHAnsi"/>
          <w:szCs w:val="21"/>
        </w:rPr>
      </w:r>
      <w:r w:rsidR="007F3F34">
        <w:rPr>
          <w:rFonts w:asciiTheme="minorHAnsi" w:hAnsiTheme="minorHAnsi" w:cstheme="minorHAnsi"/>
          <w:szCs w:val="21"/>
        </w:rPr>
        <w:fldChar w:fldCharType="separate"/>
      </w:r>
      <w:r w:rsidR="00722C0A" w:rsidRPr="00722C0A">
        <w:rPr>
          <w:rFonts w:asciiTheme="minorHAnsi" w:hAnsiTheme="minorHAnsi" w:cstheme="minorHAnsi"/>
          <w:szCs w:val="21"/>
        </w:rPr>
        <w:t>Figure 7.3</w:t>
      </w:r>
      <w:r w:rsidR="007F3F34">
        <w:rPr>
          <w:rFonts w:asciiTheme="minorHAnsi" w:hAnsiTheme="minorHAnsi" w:cstheme="minorHAnsi"/>
          <w:szCs w:val="21"/>
        </w:rPr>
        <w:fldChar w:fldCharType="end"/>
      </w:r>
      <w:r w:rsidR="007F3F34">
        <w:rPr>
          <w:rFonts w:asciiTheme="minorHAnsi" w:hAnsiTheme="minorHAnsi" w:cstheme="minorHAnsi"/>
          <w:szCs w:val="21"/>
        </w:rPr>
        <w:t>)</w:t>
      </w:r>
      <w:r w:rsidR="005B4626">
        <w:rPr>
          <w:rFonts w:asciiTheme="minorHAnsi" w:hAnsiTheme="minorHAnsi" w:cstheme="minorHAnsi"/>
          <w:szCs w:val="21"/>
        </w:rPr>
        <w:t>. In contrast, th</w:t>
      </w:r>
      <w:r>
        <w:rPr>
          <w:rFonts w:asciiTheme="minorHAnsi" w:hAnsiTheme="minorHAnsi" w:cstheme="minorHAnsi"/>
          <w:szCs w:val="21"/>
        </w:rPr>
        <w:t>ose</w:t>
      </w:r>
      <w:r w:rsidR="0014385E">
        <w:rPr>
          <w:rFonts w:asciiTheme="minorHAnsi" w:hAnsiTheme="minorHAnsi" w:cstheme="minorHAnsi"/>
          <w:szCs w:val="21"/>
        </w:rPr>
        <w:t xml:space="preserve"> not receiving income support </w:t>
      </w:r>
      <w:r>
        <w:rPr>
          <w:rFonts w:asciiTheme="minorHAnsi" w:hAnsiTheme="minorHAnsi" w:cstheme="minorHAnsi"/>
          <w:szCs w:val="21"/>
        </w:rPr>
        <w:t>are</w:t>
      </w:r>
      <w:r w:rsidR="0014385E">
        <w:rPr>
          <w:rFonts w:asciiTheme="minorHAnsi" w:hAnsiTheme="minorHAnsi" w:cstheme="minorHAnsi"/>
          <w:szCs w:val="21"/>
        </w:rPr>
        <w:t xml:space="preserve"> more evenly spread across the various socio</w:t>
      </w:r>
      <w:r w:rsidR="00B04FCE">
        <w:rPr>
          <w:rFonts w:asciiTheme="minorHAnsi" w:hAnsiTheme="minorHAnsi" w:cstheme="minorHAnsi"/>
          <w:szCs w:val="21"/>
        </w:rPr>
        <w:noBreakHyphen/>
      </w:r>
      <w:r w:rsidR="0014385E">
        <w:rPr>
          <w:rFonts w:asciiTheme="minorHAnsi" w:hAnsiTheme="minorHAnsi" w:cstheme="minorHAnsi"/>
          <w:szCs w:val="21"/>
        </w:rPr>
        <w:t>economic area</w:t>
      </w:r>
      <w:r w:rsidR="0097458B">
        <w:rPr>
          <w:rFonts w:asciiTheme="minorHAnsi" w:hAnsiTheme="minorHAnsi" w:cstheme="minorHAnsi"/>
          <w:szCs w:val="21"/>
        </w:rPr>
        <w:t xml:space="preserve"> grouping</w:t>
      </w:r>
      <w:r w:rsidR="0014385E">
        <w:rPr>
          <w:rFonts w:asciiTheme="minorHAnsi" w:hAnsiTheme="minorHAnsi" w:cstheme="minorHAnsi"/>
          <w:szCs w:val="21"/>
        </w:rPr>
        <w:t>s.</w:t>
      </w:r>
    </w:p>
    <w:p w14:paraId="30A59535" w14:textId="6A4662B8" w:rsidR="007F3F34" w:rsidRPr="00A13641" w:rsidRDefault="007855DD" w:rsidP="005E332C">
      <w:pPr>
        <w:pStyle w:val="FigureMainHeading"/>
      </w:pPr>
      <w:bookmarkStart w:id="75" w:name="_Ref153310227"/>
      <w:r>
        <w:t>Figure </w:t>
      </w:r>
      <w:r w:rsidR="00B80D45">
        <w:fldChar w:fldCharType="begin"/>
      </w:r>
      <w:r w:rsidR="00B80D45">
        <w:instrText xml:space="preserve"> STYLEREF 1 \s </w:instrText>
      </w:r>
      <w:r w:rsidR="00B80D45">
        <w:fldChar w:fldCharType="separate"/>
      </w:r>
      <w:r w:rsidR="00722C0A">
        <w:rPr>
          <w:noProof/>
        </w:rPr>
        <w:t>7</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3</w:t>
      </w:r>
      <w:r w:rsidR="00B80D45">
        <w:rPr>
          <w:noProof/>
        </w:rPr>
        <w:fldChar w:fldCharType="end"/>
      </w:r>
      <w:bookmarkEnd w:id="75"/>
      <w:r w:rsidR="005E332C">
        <w:t>:</w:t>
      </w:r>
      <w:r w:rsidR="005E332C">
        <w:tab/>
      </w:r>
      <w:r w:rsidR="00C95BE9">
        <w:t>P</w:t>
      </w:r>
      <w:r w:rsidR="00C95BE9" w:rsidRPr="00A13641">
        <w:t>ercentage of people with children by socio</w:t>
      </w:r>
      <w:r w:rsidR="00C95BE9">
        <w:noBreakHyphen/>
      </w:r>
      <w:r w:rsidR="00C95BE9" w:rsidRPr="00A13641">
        <w:t>economic area</w:t>
      </w:r>
    </w:p>
    <w:p w14:paraId="459EB4F7" w14:textId="121A1D9C" w:rsidR="00B04FCE" w:rsidRDefault="002C1F90" w:rsidP="007855DD">
      <w:pPr>
        <w:pStyle w:val="ChartGraphic"/>
      </w:pPr>
      <w:r>
        <w:rPr>
          <w:noProof/>
        </w:rPr>
        <w:drawing>
          <wp:inline distT="0" distB="0" distL="0" distR="0" wp14:anchorId="0EEEA132" wp14:editId="7A41A5CA">
            <wp:extent cx="4319905" cy="1907540"/>
            <wp:effectExtent l="0" t="0" r="4445" b="0"/>
            <wp:docPr id="247" name="Chart 247" descr="This chart shows the percentage of people with children, split by SEIFA quintile and whether they received income support. A larger percentage of people receiving income support resided in lower socio-economic areas (65% in the bottom two SEIFA quintiles). In comparison, there is a more even spread of people not receiving income support across the SEIFA quinti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CA29BF4" w14:textId="0E891A8A" w:rsidR="007855DD" w:rsidRDefault="007855DD" w:rsidP="007855DD">
      <w:pPr>
        <w:pStyle w:val="Heading2notnumbered"/>
      </w:pPr>
      <w:r w:rsidRPr="00D27014">
        <w:lastRenderedPageBreak/>
        <w:t xml:space="preserve">Parents </w:t>
      </w:r>
      <w:r w:rsidR="00C5263C">
        <w:t xml:space="preserve">or guardians </w:t>
      </w:r>
      <w:r w:rsidRPr="00D27014">
        <w:t xml:space="preserve">receiving </w:t>
      </w:r>
      <w:r>
        <w:t>Parenting Payment on 30 June 2022 had been</w:t>
      </w:r>
      <w:r w:rsidRPr="007855DD">
        <w:t xml:space="preserve"> </w:t>
      </w:r>
      <w:r w:rsidR="00533E47" w:rsidRPr="00D27014">
        <w:t xml:space="preserve">receiving </w:t>
      </w:r>
      <w:r w:rsidR="00533E47">
        <w:t xml:space="preserve">income </w:t>
      </w:r>
      <w:r w:rsidR="00533E47" w:rsidRPr="00D27014">
        <w:t xml:space="preserve">support </w:t>
      </w:r>
      <w:r w:rsidR="00C02A53">
        <w:t xml:space="preserve">on average </w:t>
      </w:r>
      <w:r w:rsidR="00533E47" w:rsidRPr="00D27014">
        <w:t>for</w:t>
      </w:r>
      <w:r w:rsidR="00533E47">
        <w:t xml:space="preserve"> 3.7 </w:t>
      </w:r>
      <w:r w:rsidR="00533E47" w:rsidRPr="00D27014">
        <w:t xml:space="preserve">of the </w:t>
      </w:r>
      <w:r w:rsidR="00533E47">
        <w:t>previous 5 year</w:t>
      </w:r>
      <w:r w:rsidR="00533E47" w:rsidRPr="00D27014">
        <w:t>s</w:t>
      </w:r>
      <w:r w:rsidRPr="00D27014">
        <w:t>.</w:t>
      </w:r>
      <w:r>
        <w:t xml:space="preserve"> </w:t>
      </w:r>
      <w:r w:rsidR="00C5263C">
        <w:t>Those</w:t>
      </w:r>
      <w:r w:rsidRPr="00E853EE">
        <w:t xml:space="preserve"> </w:t>
      </w:r>
      <w:r w:rsidRPr="009C6F04">
        <w:t xml:space="preserve">receiving other income support payments used income support for 3.9 </w:t>
      </w:r>
      <w:r>
        <w:t>of</w:t>
      </w:r>
      <w:r w:rsidRPr="00E853EE">
        <w:t xml:space="preserve"> the previous 5</w:t>
      </w:r>
      <w:r>
        <w:t> year</w:t>
      </w:r>
      <w:r w:rsidRPr="00E853EE">
        <w:t>s on average.</w:t>
      </w:r>
      <w:r>
        <w:t xml:space="preserve"> </w:t>
      </w:r>
    </w:p>
    <w:p w14:paraId="70D70663" w14:textId="0E8FF70D" w:rsidR="00B04FCE" w:rsidRDefault="0097458B">
      <w:pPr>
        <w:spacing w:after="120" w:line="240" w:lineRule="auto"/>
        <w:rPr>
          <w:rFonts w:asciiTheme="minorHAnsi" w:hAnsiTheme="minorHAnsi" w:cstheme="minorHAnsi"/>
          <w:szCs w:val="21"/>
        </w:rPr>
      </w:pPr>
      <w:r>
        <w:rPr>
          <w:rFonts w:asciiTheme="minorHAnsi" w:hAnsiTheme="minorHAnsi" w:cstheme="minorHAnsi"/>
          <w:szCs w:val="21"/>
        </w:rPr>
        <w:t>B</w:t>
      </w:r>
      <w:r w:rsidR="007A186C" w:rsidRPr="0097458B">
        <w:rPr>
          <w:rFonts w:asciiTheme="minorHAnsi" w:hAnsiTheme="minorHAnsi" w:cstheme="minorHAnsi"/>
          <w:szCs w:val="21"/>
        </w:rPr>
        <w:t>y</w:t>
      </w:r>
      <w:r w:rsidR="007A186C" w:rsidRPr="00E853EE">
        <w:rPr>
          <w:rFonts w:asciiTheme="minorHAnsi" w:hAnsiTheme="minorHAnsi" w:cstheme="minorHAnsi"/>
          <w:szCs w:val="21"/>
        </w:rPr>
        <w:t xml:space="preserve"> comparison, parents</w:t>
      </w:r>
      <w:r w:rsidR="007A186C" w:rsidRPr="009C6F04">
        <w:rPr>
          <w:rFonts w:asciiTheme="minorHAnsi" w:hAnsiTheme="minorHAnsi" w:cstheme="minorHAnsi"/>
          <w:szCs w:val="21"/>
        </w:rPr>
        <w:t xml:space="preserve"> </w:t>
      </w:r>
      <w:r w:rsidR="00F67DA3">
        <w:rPr>
          <w:rFonts w:asciiTheme="minorHAnsi" w:hAnsiTheme="minorHAnsi" w:cstheme="minorHAnsi"/>
          <w:szCs w:val="21"/>
        </w:rPr>
        <w:t xml:space="preserve">or guardians </w:t>
      </w:r>
      <w:r w:rsidR="007A186C" w:rsidRPr="009C6F04">
        <w:rPr>
          <w:rFonts w:asciiTheme="minorHAnsi" w:hAnsiTheme="minorHAnsi" w:cstheme="minorHAnsi"/>
          <w:szCs w:val="21"/>
        </w:rPr>
        <w:t xml:space="preserve">who </w:t>
      </w:r>
      <w:r>
        <w:rPr>
          <w:rFonts w:asciiTheme="minorHAnsi" w:hAnsiTheme="minorHAnsi" w:cstheme="minorHAnsi"/>
          <w:szCs w:val="21"/>
        </w:rPr>
        <w:t>did not receive</w:t>
      </w:r>
      <w:r w:rsidR="00BC5828" w:rsidRPr="00E853EE">
        <w:rPr>
          <w:rFonts w:asciiTheme="minorHAnsi" w:hAnsiTheme="minorHAnsi" w:cstheme="minorHAnsi"/>
          <w:szCs w:val="21"/>
        </w:rPr>
        <w:t xml:space="preserve"> income support </w:t>
      </w:r>
      <w:r>
        <w:rPr>
          <w:rFonts w:asciiTheme="minorHAnsi" w:hAnsiTheme="minorHAnsi" w:cstheme="minorHAnsi"/>
          <w:szCs w:val="21"/>
        </w:rPr>
        <w:t xml:space="preserve">had </w:t>
      </w:r>
      <w:r w:rsidR="00BC5828" w:rsidRPr="0097458B">
        <w:rPr>
          <w:rFonts w:asciiTheme="minorHAnsi" w:hAnsiTheme="minorHAnsi" w:cstheme="minorHAnsi"/>
          <w:szCs w:val="21"/>
        </w:rPr>
        <w:t>been</w:t>
      </w:r>
      <w:r w:rsidR="00BC5828" w:rsidRPr="00E853EE">
        <w:rPr>
          <w:rFonts w:asciiTheme="minorHAnsi" w:hAnsiTheme="minorHAnsi" w:cstheme="minorHAnsi"/>
          <w:szCs w:val="21"/>
        </w:rPr>
        <w:t xml:space="preserve"> receiving income support for less </w:t>
      </w:r>
      <w:r w:rsidR="007A186C" w:rsidRPr="009C6F04">
        <w:rPr>
          <w:rFonts w:asciiTheme="minorHAnsi" w:hAnsiTheme="minorHAnsi" w:cstheme="minorHAnsi"/>
          <w:szCs w:val="21"/>
        </w:rPr>
        <w:t xml:space="preserve">than </w:t>
      </w:r>
      <w:r w:rsidR="00285CF2" w:rsidRPr="009C6F04">
        <w:rPr>
          <w:rFonts w:asciiTheme="minorHAnsi" w:hAnsiTheme="minorHAnsi" w:cstheme="minorHAnsi"/>
          <w:szCs w:val="21"/>
        </w:rPr>
        <w:t>1</w:t>
      </w:r>
      <w:r w:rsidR="007855DD">
        <w:rPr>
          <w:rFonts w:asciiTheme="minorHAnsi" w:hAnsiTheme="minorHAnsi" w:cstheme="minorHAnsi"/>
          <w:szCs w:val="21"/>
        </w:rPr>
        <w:t> year</w:t>
      </w:r>
      <w:r w:rsidR="007A186C" w:rsidRPr="009C6F04">
        <w:rPr>
          <w:rFonts w:asciiTheme="minorHAnsi" w:hAnsiTheme="minorHAnsi" w:cstheme="minorHAnsi"/>
          <w:szCs w:val="21"/>
        </w:rPr>
        <w:t xml:space="preserve"> </w:t>
      </w:r>
      <w:r w:rsidR="00BC5828" w:rsidRPr="009C6F04">
        <w:rPr>
          <w:rFonts w:asciiTheme="minorHAnsi" w:hAnsiTheme="minorHAnsi" w:cstheme="minorHAnsi"/>
          <w:szCs w:val="21"/>
        </w:rPr>
        <w:t xml:space="preserve">out of the previous </w:t>
      </w:r>
      <w:r w:rsidR="00285CF2" w:rsidRPr="009C6F04">
        <w:rPr>
          <w:rFonts w:asciiTheme="minorHAnsi" w:hAnsiTheme="minorHAnsi" w:cstheme="minorHAnsi"/>
          <w:szCs w:val="21"/>
        </w:rPr>
        <w:t>5</w:t>
      </w:r>
      <w:r w:rsidR="007855DD">
        <w:rPr>
          <w:rFonts w:asciiTheme="minorHAnsi" w:hAnsiTheme="minorHAnsi" w:cstheme="minorHAnsi"/>
          <w:szCs w:val="21"/>
        </w:rPr>
        <w:t> year</w:t>
      </w:r>
      <w:r w:rsidR="00BC5828" w:rsidRPr="0097458B">
        <w:rPr>
          <w:rFonts w:asciiTheme="minorHAnsi" w:hAnsiTheme="minorHAnsi" w:cstheme="minorHAnsi"/>
          <w:szCs w:val="21"/>
        </w:rPr>
        <w:t>s</w:t>
      </w:r>
      <w:r>
        <w:rPr>
          <w:rFonts w:asciiTheme="minorHAnsi" w:hAnsiTheme="minorHAnsi" w:cstheme="minorHAnsi"/>
          <w:szCs w:val="21"/>
        </w:rPr>
        <w:t xml:space="preserve"> on average (</w:t>
      </w:r>
      <w:r w:rsidR="00584B3A">
        <w:rPr>
          <w:rFonts w:asciiTheme="minorHAnsi" w:hAnsiTheme="minorHAnsi" w:cstheme="minorHAnsi"/>
          <w:szCs w:val="21"/>
        </w:rPr>
        <w:fldChar w:fldCharType="begin"/>
      </w:r>
      <w:r w:rsidR="00584B3A">
        <w:rPr>
          <w:rFonts w:asciiTheme="minorHAnsi" w:hAnsiTheme="minorHAnsi" w:cstheme="minorHAnsi"/>
          <w:szCs w:val="21"/>
        </w:rPr>
        <w:instrText xml:space="preserve"> REF _Ref153310961 \h  \* MERGEFORMAT </w:instrText>
      </w:r>
      <w:r w:rsidR="00584B3A">
        <w:rPr>
          <w:rFonts w:asciiTheme="minorHAnsi" w:hAnsiTheme="minorHAnsi" w:cstheme="minorHAnsi"/>
          <w:szCs w:val="21"/>
        </w:rPr>
      </w:r>
      <w:r w:rsidR="00584B3A">
        <w:rPr>
          <w:rFonts w:asciiTheme="minorHAnsi" w:hAnsiTheme="minorHAnsi" w:cstheme="minorHAnsi"/>
          <w:szCs w:val="21"/>
        </w:rPr>
        <w:fldChar w:fldCharType="separate"/>
      </w:r>
      <w:r w:rsidR="00722C0A" w:rsidRPr="00722C0A">
        <w:rPr>
          <w:rFonts w:asciiTheme="minorHAnsi" w:hAnsiTheme="minorHAnsi" w:cstheme="minorHAnsi"/>
          <w:szCs w:val="21"/>
        </w:rPr>
        <w:t>Figure 7.4</w:t>
      </w:r>
      <w:r w:rsidR="00584B3A">
        <w:rPr>
          <w:rFonts w:asciiTheme="minorHAnsi" w:hAnsiTheme="minorHAnsi" w:cstheme="minorHAnsi"/>
          <w:szCs w:val="21"/>
        </w:rPr>
        <w:fldChar w:fldCharType="end"/>
      </w:r>
      <w:r>
        <w:rPr>
          <w:rFonts w:asciiTheme="minorHAnsi" w:hAnsiTheme="minorHAnsi" w:cstheme="minorHAnsi"/>
          <w:szCs w:val="21"/>
        </w:rPr>
        <w:t>)</w:t>
      </w:r>
      <w:r w:rsidR="007A186C" w:rsidRPr="009C6F04">
        <w:rPr>
          <w:rFonts w:asciiTheme="minorHAnsi" w:hAnsiTheme="minorHAnsi" w:cstheme="minorHAnsi"/>
          <w:szCs w:val="21"/>
        </w:rPr>
        <w:t>.</w:t>
      </w:r>
    </w:p>
    <w:p w14:paraId="5309B26D" w14:textId="65425F83" w:rsidR="00584B3A" w:rsidRPr="00A13641" w:rsidRDefault="007855DD" w:rsidP="005E332C">
      <w:pPr>
        <w:pStyle w:val="FigureMainHeading"/>
      </w:pPr>
      <w:bookmarkStart w:id="76" w:name="_Ref153310961"/>
      <w:r>
        <w:t>Figure </w:t>
      </w:r>
      <w:r w:rsidR="00B80D45">
        <w:fldChar w:fldCharType="begin"/>
      </w:r>
      <w:r w:rsidR="00B80D45">
        <w:instrText xml:space="preserve"> STYLEREF 1 \s </w:instrText>
      </w:r>
      <w:r w:rsidR="00B80D45">
        <w:fldChar w:fldCharType="separate"/>
      </w:r>
      <w:r w:rsidR="00722C0A">
        <w:rPr>
          <w:noProof/>
        </w:rPr>
        <w:t>7</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4</w:t>
      </w:r>
      <w:r w:rsidR="00B80D45">
        <w:rPr>
          <w:noProof/>
        </w:rPr>
        <w:fldChar w:fldCharType="end"/>
      </w:r>
      <w:bookmarkEnd w:id="76"/>
      <w:r w:rsidR="005E332C">
        <w:t>:</w:t>
      </w:r>
      <w:r w:rsidR="005E332C">
        <w:tab/>
      </w:r>
      <w:r w:rsidR="00584B3A" w:rsidRPr="00A13641">
        <w:t xml:space="preserve">Average </w:t>
      </w:r>
      <w:r w:rsidR="00C95BE9" w:rsidRPr="00A13641">
        <w:t>time receiving income support over the previous 5</w:t>
      </w:r>
      <w:r>
        <w:t> year</w:t>
      </w:r>
      <w:r w:rsidR="00C95BE9" w:rsidRPr="00A13641">
        <w:t>s for people with children</w:t>
      </w:r>
    </w:p>
    <w:p w14:paraId="48F14F09" w14:textId="5673BB4A" w:rsidR="00B04FCE" w:rsidRDefault="00EB0901" w:rsidP="00EF5B7F">
      <w:pPr>
        <w:pStyle w:val="ChartGraphic"/>
        <w:rPr>
          <w:rFonts w:asciiTheme="minorHAnsi" w:hAnsiTheme="minorHAnsi" w:cstheme="minorHAnsi"/>
          <w:noProof/>
        </w:rPr>
      </w:pPr>
      <w:r>
        <w:rPr>
          <w:noProof/>
        </w:rPr>
        <w:drawing>
          <wp:inline distT="0" distB="0" distL="0" distR="0" wp14:anchorId="751DE7EC" wp14:editId="54EB278F">
            <wp:extent cx="4319905" cy="2700000"/>
            <wp:effectExtent l="0" t="0" r="4445" b="5715"/>
            <wp:docPr id="65" name="Chart 65" descr="This chart shows the average time receiving income support for people with children, over the previous 5 years, split by those who received:&#10;&#10;- Parenting Payment: 3.7 years&#10;- other income support: 3.9 years&#10;- supplementary family payments only (in FY 2021-22): 0.4 years&#10;- no income support or supplementary family payments: 0.1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A1F6020" w14:textId="43747CC0" w:rsidR="00B04FCE" w:rsidRDefault="00B655A1" w:rsidP="00C53C90">
      <w:pPr>
        <w:pStyle w:val="Heading2notnumbered"/>
      </w:pPr>
      <w:r>
        <w:br w:type="column"/>
      </w:r>
      <w:r w:rsidR="003005FC" w:rsidRPr="007C7110">
        <w:t xml:space="preserve">Parents </w:t>
      </w:r>
      <w:r w:rsidR="00852B8B">
        <w:t>or guardians</w:t>
      </w:r>
      <w:r w:rsidR="003005FC" w:rsidRPr="007C7110">
        <w:t xml:space="preserve"> </w:t>
      </w:r>
      <w:r w:rsidR="00927202">
        <w:t>receiving</w:t>
      </w:r>
      <w:r w:rsidR="003005FC" w:rsidRPr="007C7110">
        <w:t xml:space="preserve"> </w:t>
      </w:r>
      <w:r w:rsidR="00ED47E5">
        <w:t xml:space="preserve">Parenting Payment </w:t>
      </w:r>
      <w:r w:rsidR="00927202">
        <w:t>are projected to</w:t>
      </w:r>
      <w:r w:rsidR="003005FC" w:rsidRPr="007C7110">
        <w:t xml:space="preserve"> spend </w:t>
      </w:r>
      <w:r w:rsidR="005F77CC">
        <w:t>3.</w:t>
      </w:r>
      <w:r w:rsidR="00852B8B">
        <w:t>5</w:t>
      </w:r>
      <w:r w:rsidR="007855DD">
        <w:t> year</w:t>
      </w:r>
      <w:r w:rsidR="003005FC" w:rsidRPr="007C7110">
        <w:t xml:space="preserve">s </w:t>
      </w:r>
      <w:r w:rsidR="005F77CC">
        <w:t>on income support over the next 5</w:t>
      </w:r>
      <w:r w:rsidR="007855DD">
        <w:t> year</w:t>
      </w:r>
      <w:r w:rsidR="005F77CC">
        <w:t>s.</w:t>
      </w:r>
      <w:r w:rsidR="00852B8B">
        <w:t xml:space="preserve"> </w:t>
      </w:r>
      <w:r w:rsidR="00C5263C">
        <w:t>Those</w:t>
      </w:r>
      <w:r w:rsidR="00852B8B">
        <w:t xml:space="preserve"> receiving other income support payments are expected to spend </w:t>
      </w:r>
      <w:r w:rsidR="000F7F2B">
        <w:t>3.9 of the next 5</w:t>
      </w:r>
      <w:r w:rsidR="007855DD">
        <w:t> year</w:t>
      </w:r>
      <w:r w:rsidR="000F7F2B">
        <w:t>s on income support.</w:t>
      </w:r>
    </w:p>
    <w:p w14:paraId="6D6082F1" w14:textId="6D6FA8B3" w:rsidR="00B04FCE" w:rsidRDefault="00CB4AEA" w:rsidP="00EF5B7F">
      <w:r>
        <w:fldChar w:fldCharType="begin"/>
      </w:r>
      <w:r>
        <w:instrText xml:space="preserve"> REF _Ref158295941 \h </w:instrText>
      </w:r>
      <w:r>
        <w:fldChar w:fldCharType="separate"/>
      </w:r>
      <w:r w:rsidR="00722C0A">
        <w:t>Figure </w:t>
      </w:r>
      <w:r w:rsidR="00722C0A">
        <w:rPr>
          <w:noProof/>
        </w:rPr>
        <w:t>7</w:t>
      </w:r>
      <w:r w:rsidR="00722C0A">
        <w:t>.</w:t>
      </w:r>
      <w:r w:rsidR="00722C0A">
        <w:rPr>
          <w:noProof/>
        </w:rPr>
        <w:t>5</w:t>
      </w:r>
      <w:r>
        <w:fldChar w:fldCharType="end"/>
      </w:r>
      <w:r>
        <w:t xml:space="preserve"> </w:t>
      </w:r>
      <w:r w:rsidR="00285CF2" w:rsidRPr="00A13641">
        <w:t xml:space="preserve">shows </w:t>
      </w:r>
      <w:r w:rsidR="000F7F2B">
        <w:t>current use of income support is a strong predictor of future income support use over the next 5</w:t>
      </w:r>
      <w:r w:rsidR="007855DD">
        <w:t> year</w:t>
      </w:r>
      <w:r w:rsidR="000F7F2B">
        <w:t xml:space="preserve">s. </w:t>
      </w:r>
      <w:r w:rsidR="009C6F04">
        <w:t>P</w:t>
      </w:r>
      <w:r w:rsidR="000F7F2B">
        <w:t>eople currently using income support are expected to continue to use it for large portions of the next 5</w:t>
      </w:r>
      <w:r w:rsidR="007855DD">
        <w:t> year</w:t>
      </w:r>
      <w:r w:rsidR="000F7F2B">
        <w:t xml:space="preserve">s. </w:t>
      </w:r>
      <w:r w:rsidR="009C6F04">
        <w:t xml:space="preserve">By contrast, </w:t>
      </w:r>
      <w:r w:rsidR="00905266">
        <w:t>p</w:t>
      </w:r>
      <w:r w:rsidR="000F7F2B">
        <w:t xml:space="preserve">arents or guardians who are not currently receiving income support are expected to use </w:t>
      </w:r>
      <w:r w:rsidR="009C6F04">
        <w:t>only a small proportion of time on</w:t>
      </w:r>
      <w:r w:rsidR="000F7F2B">
        <w:t xml:space="preserve"> income support over the next 5</w:t>
      </w:r>
      <w:r w:rsidR="007855DD">
        <w:t> year</w:t>
      </w:r>
      <w:r w:rsidR="000F7F2B">
        <w:t xml:space="preserve">s. Parents or guardians on supplementary family payments only </w:t>
      </w:r>
      <w:r w:rsidR="00905266">
        <w:t xml:space="preserve">are </w:t>
      </w:r>
      <w:r w:rsidR="000F7F2B">
        <w:t xml:space="preserve">expected to </w:t>
      </w:r>
      <w:r w:rsidR="00905266">
        <w:t>use income support f</w:t>
      </w:r>
      <w:r w:rsidR="000F7F2B">
        <w:t>or 0.2</w:t>
      </w:r>
      <w:r w:rsidR="007855DD">
        <w:t> year</w:t>
      </w:r>
      <w:r w:rsidR="000F7F2B">
        <w:t xml:space="preserve">s on average. Parents or guardians </w:t>
      </w:r>
      <w:r w:rsidR="009C6F04">
        <w:t>not</w:t>
      </w:r>
      <w:r w:rsidR="000F7F2B">
        <w:t xml:space="preserve"> receiving income support or supplementary family payments only are expected to </w:t>
      </w:r>
      <w:r w:rsidR="009C6F04">
        <w:t>use</w:t>
      </w:r>
      <w:r w:rsidR="000F7F2B">
        <w:t xml:space="preserve"> it for </w:t>
      </w:r>
      <w:r w:rsidR="00990EB8">
        <w:t>0.1</w:t>
      </w:r>
      <w:r w:rsidR="007855DD">
        <w:t> year</w:t>
      </w:r>
      <w:r w:rsidR="00990EB8">
        <w:t>s on average.</w:t>
      </w:r>
    </w:p>
    <w:p w14:paraId="33D1BEBA" w14:textId="1133BB5A" w:rsidR="00DB5F82" w:rsidRPr="00A13641" w:rsidRDefault="007855DD" w:rsidP="005E332C">
      <w:pPr>
        <w:pStyle w:val="FigureMainHeading"/>
      </w:pPr>
      <w:bookmarkStart w:id="77" w:name="_Ref158295941"/>
      <w:r>
        <w:t>Figure </w:t>
      </w:r>
      <w:r w:rsidR="00B80D45">
        <w:fldChar w:fldCharType="begin"/>
      </w:r>
      <w:r w:rsidR="00B80D45">
        <w:instrText xml:space="preserve"> STYLEREF 1 \s </w:instrText>
      </w:r>
      <w:r w:rsidR="00B80D45">
        <w:fldChar w:fldCharType="separate"/>
      </w:r>
      <w:r w:rsidR="00722C0A">
        <w:rPr>
          <w:noProof/>
        </w:rPr>
        <w:t>7</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5</w:t>
      </w:r>
      <w:r w:rsidR="00B80D45">
        <w:rPr>
          <w:noProof/>
        </w:rPr>
        <w:fldChar w:fldCharType="end"/>
      </w:r>
      <w:bookmarkEnd w:id="77"/>
      <w:r w:rsidR="005E332C">
        <w:t>:</w:t>
      </w:r>
      <w:r w:rsidR="005E332C">
        <w:tab/>
      </w:r>
      <w:r w:rsidR="00DB5F82" w:rsidRPr="00A13641">
        <w:t xml:space="preserve">Average </w:t>
      </w:r>
      <w:r w:rsidR="00C95BE9" w:rsidRPr="00A13641">
        <w:t>projected time receiving income support over the next 5</w:t>
      </w:r>
      <w:r>
        <w:t> year</w:t>
      </w:r>
      <w:r w:rsidR="00C95BE9" w:rsidRPr="00A13641">
        <w:t>s for people with children</w:t>
      </w:r>
    </w:p>
    <w:p w14:paraId="2CD8AB50" w14:textId="22853AEB" w:rsidR="00B04FCE" w:rsidRDefault="00DB5F82" w:rsidP="00EF5B7F">
      <w:pPr>
        <w:pStyle w:val="ChartGraphic"/>
        <w:rPr>
          <w:rFonts w:asciiTheme="minorHAnsi" w:hAnsiTheme="minorHAnsi" w:cstheme="minorHAnsi"/>
          <w:szCs w:val="21"/>
        </w:rPr>
      </w:pPr>
      <w:r>
        <w:rPr>
          <w:noProof/>
        </w:rPr>
        <w:drawing>
          <wp:inline distT="0" distB="0" distL="0" distR="0" wp14:anchorId="0A288720" wp14:editId="7D463E12">
            <wp:extent cx="4319905" cy="2700000"/>
            <wp:effectExtent l="0" t="0" r="4445" b="5715"/>
            <wp:docPr id="71" name="Chart 71" descr="This chart shows the average projected time receiving income support for people with children, over the next 5 years, split by those who received:&#10;&#10;- Parenting Payment: 3.5 years&#10;- other income support: 3.9 years&#10;- supplementary family payments only (in FY 2021-22): 0.2 years&#10;- no income support or supplementary family payments: 0.1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3147F13" w14:textId="6DA7E586" w:rsidR="00B04FCE" w:rsidRDefault="005E332C" w:rsidP="00EF5B7F">
      <w:pPr>
        <w:pStyle w:val="Heading2notnumbered"/>
      </w:pPr>
      <w:r>
        <w:lastRenderedPageBreak/>
        <w:t>First Nation</w:t>
      </w:r>
      <w:r w:rsidR="009C6F04">
        <w:t xml:space="preserve">s </w:t>
      </w:r>
      <w:r w:rsidR="00D47E5A">
        <w:t>p</w:t>
      </w:r>
      <w:r w:rsidR="00905266" w:rsidRPr="009C6F04">
        <w:t xml:space="preserve">arents </w:t>
      </w:r>
      <w:r w:rsidR="009C6F04">
        <w:t>who</w:t>
      </w:r>
      <w:r w:rsidR="00905266" w:rsidRPr="009C6F04">
        <w:t xml:space="preserve"> had their first child before age</w:t>
      </w:r>
      <w:r w:rsidR="00255A50">
        <w:t> </w:t>
      </w:r>
      <w:r w:rsidR="00905266" w:rsidRPr="009C6F04">
        <w:t>22 are expected to use income support</w:t>
      </w:r>
      <w:r w:rsidR="00905266">
        <w:t xml:space="preserve"> </w:t>
      </w:r>
      <w:r w:rsidR="009C6F04">
        <w:t>for</w:t>
      </w:r>
      <w:r w:rsidR="00905266" w:rsidRPr="009C6F04">
        <w:t xml:space="preserve"> 6.1</w:t>
      </w:r>
      <w:r w:rsidR="00F40387">
        <w:t> times</w:t>
      </w:r>
      <w:r w:rsidR="009F0840">
        <w:t xml:space="preserve"> </w:t>
      </w:r>
      <w:r w:rsidR="00905266" w:rsidRPr="009C6F04">
        <w:t xml:space="preserve">longer </w:t>
      </w:r>
      <w:r w:rsidR="009F0840">
        <w:t>(2.7</w:t>
      </w:r>
      <w:r w:rsidR="00CB4AEA">
        <w:t> more</w:t>
      </w:r>
      <w:r w:rsidR="00DD11DD">
        <w:t xml:space="preserve"> years</w:t>
      </w:r>
      <w:r w:rsidR="009F0840">
        <w:t>)</w:t>
      </w:r>
      <w:r w:rsidR="009F0840" w:rsidRPr="009C6F04">
        <w:t xml:space="preserve"> </w:t>
      </w:r>
      <w:r w:rsidR="00905266" w:rsidRPr="009C6F04">
        <w:t>than non</w:t>
      </w:r>
      <w:r w:rsidR="00B04FCE">
        <w:noBreakHyphen/>
      </w:r>
      <w:r>
        <w:t>First Nation</w:t>
      </w:r>
      <w:r w:rsidR="009C6F04">
        <w:t>s</w:t>
      </w:r>
      <w:r w:rsidR="00905266" w:rsidRPr="009C6F04">
        <w:t xml:space="preserve"> parents who had their first child at an older age.</w:t>
      </w:r>
    </w:p>
    <w:p w14:paraId="1B8322F2" w14:textId="1A7C8375" w:rsidR="00B04FCE" w:rsidRDefault="005E332C" w:rsidP="00EF5B7F">
      <w:r>
        <w:t>First Nation</w:t>
      </w:r>
      <w:r w:rsidR="00D47E5A">
        <w:t>s p</w:t>
      </w:r>
      <w:r w:rsidR="0057502F">
        <w:t>arents who had their first child before age 22 are expected to spend 3.2 of the next 5</w:t>
      </w:r>
      <w:r w:rsidR="007855DD">
        <w:t> year</w:t>
      </w:r>
      <w:r w:rsidR="0057502F">
        <w:t>s receiving income support on average</w:t>
      </w:r>
      <w:r w:rsidR="00D47E5A">
        <w:t xml:space="preserve"> (</w:t>
      </w:r>
      <w:r w:rsidR="00DB5F82">
        <w:fldChar w:fldCharType="begin"/>
      </w:r>
      <w:r w:rsidR="00DB5F82">
        <w:instrText xml:space="preserve"> REF _Ref153311396 \h  \* MERGEFORMAT </w:instrText>
      </w:r>
      <w:r w:rsidR="00DB5F82">
        <w:fldChar w:fldCharType="separate"/>
      </w:r>
      <w:r w:rsidR="00722C0A">
        <w:t>Figure 7.6</w:t>
      </w:r>
      <w:r w:rsidR="00DB5F82">
        <w:fldChar w:fldCharType="end"/>
      </w:r>
      <w:r w:rsidR="00D47E5A">
        <w:t>)</w:t>
      </w:r>
      <w:r w:rsidR="0057502F">
        <w:t xml:space="preserve">. </w:t>
      </w:r>
      <w:r w:rsidR="00D47E5A">
        <w:t>In contrast,</w:t>
      </w:r>
      <w:r w:rsidR="0057502F">
        <w:t xml:space="preserve"> </w:t>
      </w:r>
      <w:r w:rsidR="00D47E5A">
        <w:t>non</w:t>
      </w:r>
      <w:r w:rsidR="00B04FCE">
        <w:noBreakHyphen/>
      </w:r>
      <w:r>
        <w:t>First Nation</w:t>
      </w:r>
      <w:r w:rsidR="00D47E5A">
        <w:t xml:space="preserve">s </w:t>
      </w:r>
      <w:r w:rsidR="0057502F">
        <w:t xml:space="preserve">parents </w:t>
      </w:r>
      <w:r w:rsidR="00D47E5A">
        <w:t xml:space="preserve">who </w:t>
      </w:r>
      <w:r w:rsidR="0057502F">
        <w:t xml:space="preserve">had their first child at an older age are expected to receive income support for 0.5 </w:t>
      </w:r>
      <w:r w:rsidR="00D47E5A">
        <w:t>of the next 5</w:t>
      </w:r>
      <w:r w:rsidR="007855DD">
        <w:t> year</w:t>
      </w:r>
      <w:r w:rsidR="0057502F">
        <w:t>s on average.</w:t>
      </w:r>
    </w:p>
    <w:p w14:paraId="271AD655" w14:textId="54DEFE73" w:rsidR="00C95BE9" w:rsidRDefault="007855DD" w:rsidP="005E332C">
      <w:pPr>
        <w:pStyle w:val="FigureMainHeading"/>
      </w:pPr>
      <w:bookmarkStart w:id="78" w:name="_Ref153311396"/>
      <w:r>
        <w:t>Figure </w:t>
      </w:r>
      <w:r w:rsidR="00B80D45">
        <w:fldChar w:fldCharType="begin"/>
      </w:r>
      <w:r w:rsidR="00B80D45">
        <w:instrText xml:space="preserve"> STYLEREF 1 \s </w:instrText>
      </w:r>
      <w:r w:rsidR="00B80D45">
        <w:fldChar w:fldCharType="separate"/>
      </w:r>
      <w:r w:rsidR="00722C0A">
        <w:rPr>
          <w:noProof/>
        </w:rPr>
        <w:t>7</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6</w:t>
      </w:r>
      <w:r w:rsidR="00B80D45">
        <w:rPr>
          <w:noProof/>
        </w:rPr>
        <w:fldChar w:fldCharType="end"/>
      </w:r>
      <w:bookmarkEnd w:id="78"/>
      <w:r w:rsidR="005E332C">
        <w:t>:</w:t>
      </w:r>
      <w:r w:rsidR="005E332C">
        <w:tab/>
      </w:r>
      <w:r w:rsidR="00C95BE9">
        <w:t>Average projected time on income support over the next 5</w:t>
      </w:r>
      <w:r>
        <w:t> year</w:t>
      </w:r>
      <w:r w:rsidR="00C95BE9">
        <w:t xml:space="preserve">s </w:t>
      </w:r>
      <w:r w:rsidR="00C95BE9" w:rsidRPr="002859C4">
        <w:t xml:space="preserve">based on </w:t>
      </w:r>
      <w:r w:rsidR="005E332C">
        <w:t>First Nation</w:t>
      </w:r>
      <w:r w:rsidR="00C95BE9">
        <w:t>s status</w:t>
      </w:r>
      <w:r w:rsidR="00C95BE9" w:rsidRPr="002859C4">
        <w:t xml:space="preserve"> and age when first child born</w:t>
      </w:r>
      <w:r w:rsidR="00C95BE9">
        <w:t xml:space="preserve"> or </w:t>
      </w:r>
      <w:r w:rsidR="00C95BE9" w:rsidRPr="002859C4">
        <w:t>adopted</w:t>
      </w:r>
    </w:p>
    <w:p w14:paraId="177FD3EF" w14:textId="315F10F8" w:rsidR="00B04FCE" w:rsidRDefault="00B90E27" w:rsidP="00C95BE9">
      <w:pPr>
        <w:pStyle w:val="ChartGraphic"/>
      </w:pPr>
      <w:r>
        <w:rPr>
          <w:noProof/>
        </w:rPr>
        <w:drawing>
          <wp:inline distT="0" distB="0" distL="0" distR="0" wp14:anchorId="3E187744" wp14:editId="6A703445">
            <wp:extent cx="4319905" cy="2052735"/>
            <wp:effectExtent l="0" t="0" r="4445" b="5080"/>
            <wp:docPr id="238" name="Chart 238" descr="This chart shows that the average projected time on income support over the next 5 years for parents/guardians is higher for First Nations people than Non-First Nations people, regardless of whether the parent/guardian had their first child before age 22 or at age 22 or afte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D6A95B6" w14:textId="47085F9E" w:rsidR="0021065A" w:rsidRDefault="00D47E5A" w:rsidP="00EF5B7F">
      <w:pPr>
        <w:pStyle w:val="Heading2notnumbered"/>
      </w:pPr>
      <w:r>
        <w:t>The Lifetime Cost of p</w:t>
      </w:r>
      <w:r w:rsidR="002A7402">
        <w:t xml:space="preserve">arents </w:t>
      </w:r>
      <w:r w:rsidR="001B7963">
        <w:t xml:space="preserve">or guardians </w:t>
      </w:r>
      <w:r w:rsidR="002A7402">
        <w:t xml:space="preserve">receiving </w:t>
      </w:r>
      <w:r w:rsidR="00C47D8D">
        <w:t>Parenting Payment</w:t>
      </w:r>
      <w:r w:rsidR="002A7402" w:rsidRPr="007C7110">
        <w:t xml:space="preserve"> </w:t>
      </w:r>
      <w:r>
        <w:t>is</w:t>
      </w:r>
      <w:r w:rsidR="00C47D8D">
        <w:t xml:space="preserve"> projected to </w:t>
      </w:r>
      <w:r>
        <w:t>be</w:t>
      </w:r>
      <w:r w:rsidR="00C47D8D">
        <w:t xml:space="preserve"> </w:t>
      </w:r>
      <w:r w:rsidR="002859C4">
        <w:t>4</w:t>
      </w:r>
      <w:r w:rsidR="00F40387">
        <w:t> times</w:t>
      </w:r>
      <w:r w:rsidR="001B7963">
        <w:t xml:space="preserve"> </w:t>
      </w:r>
      <w:r>
        <w:t xml:space="preserve">higher </w:t>
      </w:r>
      <w:r w:rsidR="009F0840">
        <w:t>($487,000</w:t>
      </w:r>
      <w:r w:rsidR="00CB4AEA">
        <w:t> more</w:t>
      </w:r>
      <w:r w:rsidR="009F0840">
        <w:t xml:space="preserve">) </w:t>
      </w:r>
      <w:r>
        <w:t>than</w:t>
      </w:r>
      <w:r w:rsidR="001B7963">
        <w:t xml:space="preserve"> those not receiving income support or supplementary family payments.</w:t>
      </w:r>
    </w:p>
    <w:p w14:paraId="77B5B853" w14:textId="24D3003C" w:rsidR="003005FC" w:rsidRPr="00D27014" w:rsidRDefault="0021065A" w:rsidP="00DC199F">
      <w:pPr>
        <w:spacing w:after="0"/>
        <w:rPr>
          <w:rFonts w:asciiTheme="minorHAnsi" w:hAnsiTheme="minorHAnsi" w:cstheme="minorHAnsi"/>
        </w:rPr>
      </w:pPr>
      <w:r>
        <w:rPr>
          <w:rFonts w:asciiTheme="minorHAnsi" w:hAnsiTheme="minorHAnsi" w:cstheme="minorHAnsi"/>
          <w:szCs w:val="21"/>
        </w:rPr>
        <w:t xml:space="preserve">Parents or guardians receiving Parenting Payment have </w:t>
      </w:r>
      <w:r w:rsidR="00AD40A6">
        <w:rPr>
          <w:rFonts w:asciiTheme="minorHAnsi" w:hAnsiTheme="minorHAnsi" w:cstheme="minorHAnsi"/>
          <w:szCs w:val="21"/>
        </w:rPr>
        <w:t xml:space="preserve">an expected Lifetime Cost </w:t>
      </w:r>
      <w:r>
        <w:rPr>
          <w:rFonts w:asciiTheme="minorHAnsi" w:hAnsiTheme="minorHAnsi" w:cstheme="minorHAnsi"/>
          <w:szCs w:val="21"/>
        </w:rPr>
        <w:t>of $652</w:t>
      </w:r>
      <w:r w:rsidR="00AD40A6">
        <w:rPr>
          <w:rFonts w:asciiTheme="minorHAnsi" w:hAnsiTheme="minorHAnsi" w:cstheme="minorHAnsi"/>
          <w:szCs w:val="21"/>
        </w:rPr>
        <w:t>,000</w:t>
      </w:r>
      <w:r w:rsidR="004134EA">
        <w:rPr>
          <w:rFonts w:asciiTheme="minorHAnsi" w:hAnsiTheme="minorHAnsi" w:cstheme="minorHAnsi"/>
          <w:szCs w:val="21"/>
        </w:rPr>
        <w:t xml:space="preserve"> (</w:t>
      </w:r>
      <w:r w:rsidR="004134EA">
        <w:rPr>
          <w:rFonts w:asciiTheme="minorHAnsi" w:hAnsiTheme="minorHAnsi" w:cstheme="minorHAnsi"/>
          <w:szCs w:val="21"/>
        </w:rPr>
        <w:fldChar w:fldCharType="begin"/>
      </w:r>
      <w:r w:rsidR="004134EA">
        <w:rPr>
          <w:rFonts w:asciiTheme="minorHAnsi" w:hAnsiTheme="minorHAnsi" w:cstheme="minorHAnsi"/>
          <w:szCs w:val="21"/>
        </w:rPr>
        <w:instrText xml:space="preserve"> REF _Ref153311564 \h  \* MERGEFORMAT </w:instrText>
      </w:r>
      <w:r w:rsidR="004134EA">
        <w:rPr>
          <w:rFonts w:asciiTheme="minorHAnsi" w:hAnsiTheme="minorHAnsi" w:cstheme="minorHAnsi"/>
          <w:szCs w:val="21"/>
        </w:rPr>
      </w:r>
      <w:r w:rsidR="004134EA">
        <w:rPr>
          <w:rFonts w:asciiTheme="minorHAnsi" w:hAnsiTheme="minorHAnsi" w:cstheme="minorHAnsi"/>
          <w:szCs w:val="21"/>
        </w:rPr>
        <w:fldChar w:fldCharType="separate"/>
      </w:r>
      <w:r w:rsidR="00722C0A" w:rsidRPr="00722C0A">
        <w:rPr>
          <w:rFonts w:asciiTheme="minorHAnsi" w:hAnsiTheme="minorHAnsi" w:cstheme="minorHAnsi"/>
          <w:szCs w:val="21"/>
        </w:rPr>
        <w:t>Figure 7.7</w:t>
      </w:r>
      <w:r w:rsidR="004134EA">
        <w:rPr>
          <w:rFonts w:asciiTheme="minorHAnsi" w:hAnsiTheme="minorHAnsi" w:cstheme="minorHAnsi"/>
          <w:szCs w:val="21"/>
        </w:rPr>
        <w:fldChar w:fldCharType="end"/>
      </w:r>
      <w:r w:rsidR="004134EA">
        <w:rPr>
          <w:rFonts w:asciiTheme="minorHAnsi" w:hAnsiTheme="minorHAnsi" w:cstheme="minorHAnsi"/>
          <w:szCs w:val="21"/>
        </w:rPr>
        <w:t>)</w:t>
      </w:r>
      <w:r w:rsidR="00AD40A6">
        <w:rPr>
          <w:rFonts w:asciiTheme="minorHAnsi" w:hAnsiTheme="minorHAnsi" w:cstheme="minorHAnsi"/>
          <w:szCs w:val="21"/>
        </w:rPr>
        <w:t xml:space="preserve">. </w:t>
      </w:r>
      <w:r w:rsidR="003F55A0" w:rsidRPr="003F55A0">
        <w:rPr>
          <w:rFonts w:asciiTheme="minorHAnsi" w:hAnsiTheme="minorHAnsi" w:cstheme="minorHAnsi"/>
          <w:szCs w:val="21"/>
        </w:rPr>
        <w:t xml:space="preserve">This is </w:t>
      </w:r>
      <w:r w:rsidR="0088465B">
        <w:rPr>
          <w:rFonts w:asciiTheme="minorHAnsi" w:hAnsiTheme="minorHAnsi" w:cstheme="minorHAnsi"/>
          <w:szCs w:val="21"/>
        </w:rPr>
        <w:t>21</w:t>
      </w:r>
      <w:r w:rsidR="003F55A0" w:rsidRPr="003F55A0">
        <w:rPr>
          <w:rFonts w:asciiTheme="minorHAnsi" w:hAnsiTheme="minorHAnsi" w:cstheme="minorHAnsi"/>
          <w:szCs w:val="21"/>
        </w:rPr>
        <w:t>%</w:t>
      </w:r>
      <w:r w:rsidR="002872AA">
        <w:rPr>
          <w:rFonts w:asciiTheme="minorHAnsi" w:hAnsiTheme="minorHAnsi" w:cstheme="minorHAnsi"/>
          <w:szCs w:val="21"/>
        </w:rPr>
        <w:t xml:space="preserve"> </w:t>
      </w:r>
      <w:r>
        <w:rPr>
          <w:rFonts w:asciiTheme="minorHAnsi" w:hAnsiTheme="minorHAnsi" w:cstheme="minorHAnsi"/>
          <w:szCs w:val="21"/>
        </w:rPr>
        <w:t>higher</w:t>
      </w:r>
      <w:r w:rsidR="009F0840">
        <w:rPr>
          <w:rFonts w:asciiTheme="minorHAnsi" w:hAnsiTheme="minorHAnsi" w:cstheme="minorHAnsi"/>
          <w:szCs w:val="21"/>
        </w:rPr>
        <w:t xml:space="preserve"> ($111,000</w:t>
      </w:r>
      <w:r w:rsidR="00CB4AEA">
        <w:rPr>
          <w:rFonts w:asciiTheme="minorHAnsi" w:hAnsiTheme="minorHAnsi" w:cstheme="minorHAnsi"/>
          <w:szCs w:val="21"/>
        </w:rPr>
        <w:t> more</w:t>
      </w:r>
      <w:r w:rsidR="009F0840">
        <w:rPr>
          <w:rFonts w:asciiTheme="minorHAnsi" w:hAnsiTheme="minorHAnsi" w:cstheme="minorHAnsi"/>
          <w:szCs w:val="21"/>
        </w:rPr>
        <w:t>)</w:t>
      </w:r>
      <w:r w:rsidR="00544874">
        <w:rPr>
          <w:rFonts w:asciiTheme="minorHAnsi" w:hAnsiTheme="minorHAnsi" w:cstheme="minorHAnsi"/>
          <w:szCs w:val="21"/>
        </w:rPr>
        <w:t xml:space="preserve"> </w:t>
      </w:r>
      <w:r>
        <w:rPr>
          <w:rFonts w:asciiTheme="minorHAnsi" w:hAnsiTheme="minorHAnsi" w:cstheme="minorHAnsi"/>
          <w:szCs w:val="21"/>
        </w:rPr>
        <w:t>than parents or guardians receiving other income support payments</w:t>
      </w:r>
      <w:r w:rsidR="009D440F">
        <w:rPr>
          <w:rFonts w:asciiTheme="minorHAnsi" w:hAnsiTheme="minorHAnsi" w:cstheme="minorHAnsi"/>
          <w:szCs w:val="21"/>
        </w:rPr>
        <w:t xml:space="preserve"> ($541,000)</w:t>
      </w:r>
      <w:r w:rsidR="003F55A0" w:rsidRPr="003F55A0">
        <w:rPr>
          <w:rFonts w:asciiTheme="minorHAnsi" w:hAnsiTheme="minorHAnsi" w:cstheme="minorHAnsi"/>
          <w:szCs w:val="21"/>
        </w:rPr>
        <w:t>,</w:t>
      </w:r>
      <w:r w:rsidR="00FE4FBD">
        <w:rPr>
          <w:rFonts w:asciiTheme="minorHAnsi" w:hAnsiTheme="minorHAnsi" w:cstheme="minorHAnsi"/>
          <w:szCs w:val="21"/>
        </w:rPr>
        <w:t xml:space="preserve"> </w:t>
      </w:r>
      <w:r w:rsidR="003114A0">
        <w:rPr>
          <w:rFonts w:asciiTheme="minorHAnsi" w:hAnsiTheme="minorHAnsi" w:cstheme="minorHAnsi"/>
          <w:szCs w:val="21"/>
        </w:rPr>
        <w:t>2</w:t>
      </w:r>
      <w:r w:rsidR="009D440F">
        <w:rPr>
          <w:rFonts w:asciiTheme="minorHAnsi" w:hAnsiTheme="minorHAnsi" w:cstheme="minorHAnsi"/>
          <w:szCs w:val="21"/>
        </w:rPr>
        <w:t>.5</w:t>
      </w:r>
      <w:r w:rsidR="00F40387">
        <w:rPr>
          <w:rFonts w:asciiTheme="minorHAnsi" w:hAnsiTheme="minorHAnsi" w:cstheme="minorHAnsi"/>
          <w:szCs w:val="21"/>
        </w:rPr>
        <w:t> times</w:t>
      </w:r>
      <w:r w:rsidR="002872AA">
        <w:rPr>
          <w:rFonts w:asciiTheme="minorHAnsi" w:hAnsiTheme="minorHAnsi" w:cstheme="minorHAnsi"/>
          <w:szCs w:val="21"/>
        </w:rPr>
        <w:t xml:space="preserve"> </w:t>
      </w:r>
      <w:r w:rsidR="003F55A0" w:rsidRPr="003F55A0">
        <w:rPr>
          <w:rFonts w:asciiTheme="minorHAnsi" w:hAnsiTheme="minorHAnsi" w:cstheme="minorHAnsi"/>
          <w:szCs w:val="21"/>
        </w:rPr>
        <w:t>higher</w:t>
      </w:r>
      <w:r w:rsidR="009F0840">
        <w:rPr>
          <w:rFonts w:asciiTheme="minorHAnsi" w:hAnsiTheme="minorHAnsi" w:cstheme="minorHAnsi"/>
          <w:szCs w:val="21"/>
        </w:rPr>
        <w:t xml:space="preserve"> ($391,000</w:t>
      </w:r>
      <w:r w:rsidR="00CB4AEA">
        <w:rPr>
          <w:rFonts w:asciiTheme="minorHAnsi" w:hAnsiTheme="minorHAnsi" w:cstheme="minorHAnsi"/>
          <w:szCs w:val="21"/>
        </w:rPr>
        <w:t> more</w:t>
      </w:r>
      <w:r w:rsidR="009F0840">
        <w:rPr>
          <w:rFonts w:asciiTheme="minorHAnsi" w:hAnsiTheme="minorHAnsi" w:cstheme="minorHAnsi"/>
          <w:szCs w:val="21"/>
        </w:rPr>
        <w:t>)</w:t>
      </w:r>
      <w:r w:rsidR="003F55A0" w:rsidRPr="003F55A0">
        <w:rPr>
          <w:rFonts w:asciiTheme="minorHAnsi" w:hAnsiTheme="minorHAnsi" w:cstheme="minorHAnsi"/>
          <w:szCs w:val="21"/>
        </w:rPr>
        <w:t xml:space="preserve"> than those receiving a supplementary family </w:t>
      </w:r>
      <w:r w:rsidR="003F55A0" w:rsidRPr="003F55A0">
        <w:rPr>
          <w:rFonts w:asciiTheme="minorHAnsi" w:hAnsiTheme="minorHAnsi" w:cstheme="minorHAnsi"/>
          <w:szCs w:val="21"/>
        </w:rPr>
        <w:t>payment only</w:t>
      </w:r>
      <w:r w:rsidR="009D440F">
        <w:rPr>
          <w:rFonts w:asciiTheme="minorHAnsi" w:hAnsiTheme="minorHAnsi" w:cstheme="minorHAnsi"/>
          <w:szCs w:val="21"/>
        </w:rPr>
        <w:t xml:space="preserve"> ($261,000)</w:t>
      </w:r>
      <w:r w:rsidR="003F55A0" w:rsidRPr="003F55A0">
        <w:rPr>
          <w:rFonts w:asciiTheme="minorHAnsi" w:hAnsiTheme="minorHAnsi" w:cstheme="minorHAnsi"/>
          <w:szCs w:val="21"/>
        </w:rPr>
        <w:t xml:space="preserve">, and </w:t>
      </w:r>
      <w:r w:rsidR="003114A0">
        <w:rPr>
          <w:rFonts w:asciiTheme="minorHAnsi" w:hAnsiTheme="minorHAnsi" w:cstheme="minorHAnsi"/>
          <w:szCs w:val="21"/>
        </w:rPr>
        <w:t>3</w:t>
      </w:r>
      <w:r w:rsidR="009D440F">
        <w:rPr>
          <w:rFonts w:asciiTheme="minorHAnsi" w:hAnsiTheme="minorHAnsi" w:cstheme="minorHAnsi"/>
          <w:szCs w:val="21"/>
        </w:rPr>
        <w:t>.9</w:t>
      </w:r>
      <w:r w:rsidR="00F40387">
        <w:rPr>
          <w:rFonts w:asciiTheme="minorHAnsi" w:hAnsiTheme="minorHAnsi" w:cstheme="minorHAnsi"/>
          <w:szCs w:val="21"/>
        </w:rPr>
        <w:t> times</w:t>
      </w:r>
      <w:r w:rsidR="003F55A0" w:rsidRPr="003F55A0">
        <w:rPr>
          <w:rFonts w:asciiTheme="minorHAnsi" w:hAnsiTheme="minorHAnsi" w:cstheme="minorHAnsi"/>
          <w:szCs w:val="21"/>
        </w:rPr>
        <w:t xml:space="preserve"> higher</w:t>
      </w:r>
      <w:r w:rsidR="009F0840">
        <w:rPr>
          <w:rFonts w:asciiTheme="minorHAnsi" w:hAnsiTheme="minorHAnsi" w:cstheme="minorHAnsi"/>
          <w:szCs w:val="21"/>
        </w:rPr>
        <w:t xml:space="preserve"> ($487,000</w:t>
      </w:r>
      <w:r w:rsidR="00CB4AEA">
        <w:rPr>
          <w:rFonts w:asciiTheme="minorHAnsi" w:hAnsiTheme="minorHAnsi" w:cstheme="minorHAnsi"/>
          <w:szCs w:val="21"/>
        </w:rPr>
        <w:t> more</w:t>
      </w:r>
      <w:r w:rsidR="009F0840">
        <w:rPr>
          <w:rFonts w:asciiTheme="minorHAnsi" w:hAnsiTheme="minorHAnsi" w:cstheme="minorHAnsi"/>
          <w:szCs w:val="21"/>
        </w:rPr>
        <w:t xml:space="preserve">) </w:t>
      </w:r>
      <w:r w:rsidR="003F55A0" w:rsidRPr="003F55A0">
        <w:rPr>
          <w:rFonts w:asciiTheme="minorHAnsi" w:hAnsiTheme="minorHAnsi" w:cstheme="minorHAnsi"/>
          <w:szCs w:val="21"/>
        </w:rPr>
        <w:t>than those not receiving income support</w:t>
      </w:r>
      <w:r w:rsidR="009D440F">
        <w:rPr>
          <w:rFonts w:asciiTheme="minorHAnsi" w:hAnsiTheme="minorHAnsi" w:cstheme="minorHAnsi"/>
          <w:szCs w:val="21"/>
        </w:rPr>
        <w:t xml:space="preserve"> ($165,000)</w:t>
      </w:r>
      <w:r w:rsidR="003F55A0" w:rsidRPr="003F55A0">
        <w:rPr>
          <w:rFonts w:asciiTheme="minorHAnsi" w:hAnsiTheme="minorHAnsi" w:cstheme="minorHAnsi"/>
          <w:szCs w:val="21"/>
        </w:rPr>
        <w:t>.</w:t>
      </w:r>
    </w:p>
    <w:p w14:paraId="2839B67D" w14:textId="5E05CFAE" w:rsidR="00B04FCE" w:rsidRDefault="007855DD" w:rsidP="005E332C">
      <w:pPr>
        <w:pStyle w:val="FigureMainHeading"/>
      </w:pPr>
      <w:bookmarkStart w:id="79" w:name="_Ref153311564"/>
      <w:r>
        <w:t>Figure </w:t>
      </w:r>
      <w:r w:rsidR="00B80D45">
        <w:fldChar w:fldCharType="begin"/>
      </w:r>
      <w:r w:rsidR="00B80D45">
        <w:instrText xml:space="preserve"> STYLEREF 1 \s </w:instrText>
      </w:r>
      <w:r w:rsidR="00B80D45">
        <w:fldChar w:fldCharType="separate"/>
      </w:r>
      <w:r w:rsidR="00722C0A">
        <w:rPr>
          <w:noProof/>
        </w:rPr>
        <w:t>7</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7</w:t>
      </w:r>
      <w:r w:rsidR="00B80D45">
        <w:rPr>
          <w:noProof/>
        </w:rPr>
        <w:fldChar w:fldCharType="end"/>
      </w:r>
      <w:bookmarkEnd w:id="79"/>
      <w:r w:rsidR="005E332C">
        <w:t>:</w:t>
      </w:r>
      <w:r w:rsidR="005E332C">
        <w:tab/>
      </w:r>
      <w:r w:rsidR="00887151" w:rsidRPr="00A13641">
        <w:t xml:space="preserve">Average projected lifetime cost </w:t>
      </w:r>
      <w:r w:rsidR="00C95BE9" w:rsidRPr="00A13641">
        <w:t>for parents</w:t>
      </w:r>
      <w:r w:rsidR="00C95BE9">
        <w:t xml:space="preserve"> or </w:t>
      </w:r>
      <w:r w:rsidR="00C95BE9" w:rsidRPr="00A13641">
        <w:t>guardians</w:t>
      </w:r>
    </w:p>
    <w:p w14:paraId="1C0BA196" w14:textId="77777777" w:rsidR="00B04FCE" w:rsidRDefault="002859C4" w:rsidP="00EF5B7F">
      <w:pPr>
        <w:pStyle w:val="ChartGraphic"/>
        <w:rPr>
          <w:rFonts w:asciiTheme="minorHAnsi" w:hAnsiTheme="minorHAnsi" w:cstheme="minorHAnsi"/>
          <w:noProof/>
        </w:rPr>
      </w:pPr>
      <w:r>
        <w:rPr>
          <w:noProof/>
        </w:rPr>
        <w:drawing>
          <wp:inline distT="0" distB="0" distL="0" distR="0" wp14:anchorId="6A4CA50F" wp14:editId="3DD1C496">
            <wp:extent cx="4320000" cy="2190750"/>
            <wp:effectExtent l="0" t="0" r="4445" b="0"/>
            <wp:docPr id="288" name="Chart 288" descr="This chart shows the average projected lifetime cost for people with children, split by those who received:&#10;&#10;- Parenting Payment: $652,000&#10;- other income support: $541,000&#10;- supplementary family payments only (in FY 2021-22): $261,000&#10;- no income support or supplementary family payments: $165,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2C0E91C" w14:textId="77777777" w:rsidR="00B04FCE" w:rsidRDefault="00F45A31" w:rsidP="00C95BE9">
      <w:pPr>
        <w:pStyle w:val="Note"/>
        <w:rPr>
          <w:rFonts w:asciiTheme="minorHAnsi" w:hAnsiTheme="minorHAnsi" w:cstheme="minorHAnsi"/>
          <w:b/>
        </w:rPr>
      </w:pPr>
      <w:r w:rsidRPr="00132E2E">
        <w:t xml:space="preserve">* </w:t>
      </w:r>
      <w:r w:rsidR="00AD40A6" w:rsidRPr="00132E2E">
        <w:t>Lifetime C</w:t>
      </w:r>
      <w:r w:rsidRPr="00132E2E">
        <w:t xml:space="preserve">ost projections include </w:t>
      </w:r>
      <w:r w:rsidR="00AD40A6" w:rsidRPr="00132E2E">
        <w:t>Age P</w:t>
      </w:r>
      <w:r w:rsidRPr="00132E2E">
        <w:t>ension</w:t>
      </w:r>
    </w:p>
    <w:p w14:paraId="595F39C3" w14:textId="25AEA2F1" w:rsidR="00B04FCE" w:rsidRDefault="001C25A6" w:rsidP="00EF5B7F">
      <w:pPr>
        <w:pStyle w:val="Heading2notnumbered"/>
      </w:pPr>
      <w:r>
        <w:t>While</w:t>
      </w:r>
      <w:r w:rsidR="00A815C0">
        <w:t xml:space="preserve"> </w:t>
      </w:r>
      <w:r w:rsidR="00A815C0" w:rsidRPr="007C7110">
        <w:t>projections from 2021 to 2022</w:t>
      </w:r>
      <w:r>
        <w:t xml:space="preserve"> have remained largely the same</w:t>
      </w:r>
      <w:r w:rsidR="00A815C0">
        <w:t xml:space="preserve">, changes to eligibility </w:t>
      </w:r>
      <w:r>
        <w:t>for Parenting Payment</w:t>
      </w:r>
      <w:r w:rsidR="00A815C0">
        <w:t xml:space="preserve"> from 20</w:t>
      </w:r>
      <w:r w:rsidR="00D01768">
        <w:t> September </w:t>
      </w:r>
      <w:r w:rsidR="00A815C0">
        <w:t>2023 will affect future results</w:t>
      </w:r>
      <w:r w:rsidR="00A815C0" w:rsidRPr="007C7110">
        <w:t>.</w:t>
      </w:r>
    </w:p>
    <w:p w14:paraId="7AA6E442" w14:textId="1F080061" w:rsidR="00B04FCE" w:rsidRDefault="00A815C0" w:rsidP="00A13641">
      <w:pPr>
        <w:spacing w:after="0"/>
        <w:rPr>
          <w:rFonts w:asciiTheme="minorHAnsi" w:hAnsiTheme="minorHAnsi" w:cstheme="minorHAnsi"/>
          <w:szCs w:val="21"/>
        </w:rPr>
      </w:pPr>
      <w:r w:rsidRPr="007C7110">
        <w:rPr>
          <w:rFonts w:asciiTheme="minorHAnsi" w:hAnsiTheme="minorHAnsi" w:cstheme="minorHAnsi"/>
          <w:szCs w:val="21"/>
        </w:rPr>
        <w:t xml:space="preserve">In </w:t>
      </w:r>
      <w:r>
        <w:rPr>
          <w:rFonts w:asciiTheme="minorHAnsi" w:hAnsiTheme="minorHAnsi" w:cstheme="minorHAnsi"/>
          <w:szCs w:val="21"/>
        </w:rPr>
        <w:t>2021</w:t>
      </w:r>
      <w:r w:rsidR="009F12CC">
        <w:rPr>
          <w:rFonts w:asciiTheme="minorHAnsi" w:hAnsiTheme="minorHAnsi" w:cstheme="minorHAnsi"/>
          <w:szCs w:val="21"/>
        </w:rPr>
        <w:t>–</w:t>
      </w:r>
      <w:r w:rsidRPr="007C7110">
        <w:rPr>
          <w:rFonts w:asciiTheme="minorHAnsi" w:hAnsiTheme="minorHAnsi" w:cstheme="minorHAnsi"/>
          <w:szCs w:val="21"/>
        </w:rPr>
        <w:t xml:space="preserve">22, </w:t>
      </w:r>
      <w:r>
        <w:rPr>
          <w:rFonts w:asciiTheme="minorHAnsi" w:hAnsiTheme="minorHAnsi" w:cstheme="minorHAnsi"/>
          <w:szCs w:val="21"/>
        </w:rPr>
        <w:t xml:space="preserve">the eligibility requirement for receiving Parenting Payment was having a child </w:t>
      </w:r>
      <w:r w:rsidRPr="007C7110">
        <w:rPr>
          <w:rFonts w:asciiTheme="minorHAnsi" w:hAnsiTheme="minorHAnsi" w:cstheme="minorHAnsi"/>
          <w:szCs w:val="21"/>
        </w:rPr>
        <w:t xml:space="preserve">under </w:t>
      </w:r>
      <w:r w:rsidR="00456BA2">
        <w:rPr>
          <w:rFonts w:asciiTheme="minorHAnsi" w:hAnsiTheme="minorHAnsi" w:cstheme="minorHAnsi"/>
          <w:szCs w:val="21"/>
        </w:rPr>
        <w:t>8</w:t>
      </w:r>
      <w:r w:rsidR="007855DD">
        <w:rPr>
          <w:rFonts w:asciiTheme="minorHAnsi" w:hAnsiTheme="minorHAnsi" w:cstheme="minorHAnsi"/>
          <w:szCs w:val="21"/>
        </w:rPr>
        <w:t> year</w:t>
      </w:r>
      <w:r w:rsidR="00456BA2">
        <w:rPr>
          <w:rFonts w:asciiTheme="minorHAnsi" w:hAnsiTheme="minorHAnsi" w:cstheme="minorHAnsi"/>
          <w:szCs w:val="21"/>
        </w:rPr>
        <w:t>s of age. From 20</w:t>
      </w:r>
      <w:r w:rsidR="00D01768">
        <w:rPr>
          <w:rFonts w:asciiTheme="minorHAnsi" w:hAnsiTheme="minorHAnsi" w:cstheme="minorHAnsi"/>
          <w:szCs w:val="21"/>
        </w:rPr>
        <w:t> September </w:t>
      </w:r>
      <w:r w:rsidR="00456BA2">
        <w:rPr>
          <w:rFonts w:asciiTheme="minorHAnsi" w:hAnsiTheme="minorHAnsi" w:cstheme="minorHAnsi"/>
          <w:szCs w:val="21"/>
        </w:rPr>
        <w:t>2023, eligibility was broadened to include</w:t>
      </w:r>
      <w:r>
        <w:rPr>
          <w:rFonts w:asciiTheme="minorHAnsi" w:hAnsiTheme="minorHAnsi" w:cstheme="minorHAnsi"/>
          <w:szCs w:val="21"/>
        </w:rPr>
        <w:t xml:space="preserve"> child</w:t>
      </w:r>
      <w:r w:rsidR="00456BA2">
        <w:rPr>
          <w:rFonts w:asciiTheme="minorHAnsi" w:hAnsiTheme="minorHAnsi" w:cstheme="minorHAnsi"/>
          <w:szCs w:val="21"/>
        </w:rPr>
        <w:t>ren</w:t>
      </w:r>
      <w:r>
        <w:rPr>
          <w:rFonts w:asciiTheme="minorHAnsi" w:hAnsiTheme="minorHAnsi" w:cstheme="minorHAnsi"/>
          <w:szCs w:val="21"/>
        </w:rPr>
        <w:t xml:space="preserve"> under </w:t>
      </w:r>
      <w:r w:rsidR="00456BA2">
        <w:rPr>
          <w:rFonts w:asciiTheme="minorHAnsi" w:hAnsiTheme="minorHAnsi" w:cstheme="minorHAnsi"/>
          <w:szCs w:val="21"/>
        </w:rPr>
        <w:t>the age of 14</w:t>
      </w:r>
      <w:r w:rsidRPr="007C7110">
        <w:rPr>
          <w:rFonts w:asciiTheme="minorHAnsi" w:hAnsiTheme="minorHAnsi" w:cstheme="minorHAnsi"/>
          <w:szCs w:val="21"/>
        </w:rPr>
        <w:t xml:space="preserve">. </w:t>
      </w:r>
      <w:r>
        <w:rPr>
          <w:rFonts w:asciiTheme="minorHAnsi" w:hAnsiTheme="minorHAnsi" w:cstheme="minorHAnsi"/>
          <w:szCs w:val="21"/>
        </w:rPr>
        <w:t>This change will</w:t>
      </w:r>
      <w:r w:rsidRPr="007C7110">
        <w:rPr>
          <w:rFonts w:asciiTheme="minorHAnsi" w:hAnsiTheme="minorHAnsi" w:cstheme="minorHAnsi"/>
          <w:szCs w:val="21"/>
        </w:rPr>
        <w:t xml:space="preserve"> allow more parents to </w:t>
      </w:r>
      <w:r>
        <w:rPr>
          <w:rFonts w:asciiTheme="minorHAnsi" w:hAnsiTheme="minorHAnsi" w:cstheme="minorHAnsi"/>
          <w:szCs w:val="21"/>
        </w:rPr>
        <w:t>receive</w:t>
      </w:r>
      <w:r w:rsidRPr="007C7110">
        <w:rPr>
          <w:rFonts w:asciiTheme="minorHAnsi" w:hAnsiTheme="minorHAnsi" w:cstheme="minorHAnsi"/>
          <w:szCs w:val="21"/>
        </w:rPr>
        <w:t xml:space="preserve"> Parenting Payment</w:t>
      </w:r>
      <w:r>
        <w:rPr>
          <w:rFonts w:asciiTheme="minorHAnsi" w:hAnsiTheme="minorHAnsi" w:cstheme="minorHAnsi"/>
          <w:szCs w:val="21"/>
        </w:rPr>
        <w:t>,</w:t>
      </w:r>
      <w:r w:rsidRPr="007C7110">
        <w:rPr>
          <w:rFonts w:asciiTheme="minorHAnsi" w:hAnsiTheme="minorHAnsi" w:cstheme="minorHAnsi"/>
          <w:szCs w:val="21"/>
        </w:rPr>
        <w:t xml:space="preserve"> and </w:t>
      </w:r>
      <w:r w:rsidR="007E53FA">
        <w:rPr>
          <w:rFonts w:asciiTheme="minorHAnsi" w:hAnsiTheme="minorHAnsi" w:cstheme="minorHAnsi"/>
          <w:szCs w:val="21"/>
        </w:rPr>
        <w:t>people currently receiving Parenting Payment</w:t>
      </w:r>
      <w:r w:rsidRPr="007C7110">
        <w:rPr>
          <w:rFonts w:asciiTheme="minorHAnsi" w:hAnsiTheme="minorHAnsi" w:cstheme="minorHAnsi"/>
          <w:szCs w:val="21"/>
        </w:rPr>
        <w:t xml:space="preserve"> </w:t>
      </w:r>
      <w:r w:rsidR="00456BA2">
        <w:rPr>
          <w:rFonts w:asciiTheme="minorHAnsi" w:hAnsiTheme="minorHAnsi" w:cstheme="minorHAnsi"/>
          <w:szCs w:val="21"/>
        </w:rPr>
        <w:t>will</w:t>
      </w:r>
      <w:r w:rsidRPr="007C7110">
        <w:rPr>
          <w:rFonts w:asciiTheme="minorHAnsi" w:hAnsiTheme="minorHAnsi" w:cstheme="minorHAnsi"/>
          <w:szCs w:val="21"/>
        </w:rPr>
        <w:t xml:space="preserve"> receive the payment for </w:t>
      </w:r>
      <w:r>
        <w:rPr>
          <w:rFonts w:asciiTheme="minorHAnsi" w:hAnsiTheme="minorHAnsi" w:cstheme="minorHAnsi"/>
          <w:szCs w:val="21"/>
        </w:rPr>
        <w:t>longer</w:t>
      </w:r>
      <w:r w:rsidRPr="007C7110">
        <w:rPr>
          <w:rFonts w:asciiTheme="minorHAnsi" w:hAnsiTheme="minorHAnsi" w:cstheme="minorHAnsi"/>
          <w:szCs w:val="21"/>
        </w:rPr>
        <w:t>.</w:t>
      </w:r>
      <w:bookmarkStart w:id="80" w:name="tempbookmark"/>
      <w:bookmarkEnd w:id="80"/>
    </w:p>
    <w:p w14:paraId="7962D0FC" w14:textId="77777777" w:rsidR="00523C23" w:rsidRPr="00EC4FC8" w:rsidRDefault="00523C23" w:rsidP="00EC4FC8">
      <w:bookmarkStart w:id="81" w:name="_Toc153355912"/>
      <w:bookmarkStart w:id="82" w:name="_Toc153362292"/>
      <w:bookmarkStart w:id="83" w:name="_Toc153355582"/>
      <w:bookmarkStart w:id="84" w:name="_Toc155358648"/>
      <w:bookmarkEnd w:id="81"/>
      <w:bookmarkEnd w:id="82"/>
    </w:p>
    <w:p w14:paraId="5CBD705B" w14:textId="77777777" w:rsidR="00EC4FC8" w:rsidRPr="00EC4FC8" w:rsidRDefault="00EC4FC8" w:rsidP="00EC4FC8">
      <w:pPr>
        <w:sectPr w:rsidR="00EC4FC8" w:rsidRPr="00EC4FC8" w:rsidSect="00B46214">
          <w:footerReference w:type="default" r:id="rId80"/>
          <w:pgSz w:w="16838" w:h="11906" w:orient="landscape" w:code="9"/>
          <w:pgMar w:top="1418" w:right="1134" w:bottom="1418" w:left="1134" w:header="425" w:footer="680" w:gutter="0"/>
          <w:cols w:num="2" w:space="709"/>
          <w:docGrid w:linePitch="360"/>
        </w:sectPr>
      </w:pPr>
    </w:p>
    <w:p w14:paraId="501DD920" w14:textId="1273AC55" w:rsidR="00C92110" w:rsidRPr="00895AD5" w:rsidRDefault="00C92110" w:rsidP="00EF5B7F">
      <w:pPr>
        <w:pStyle w:val="Heading1"/>
      </w:pPr>
      <w:bookmarkStart w:id="85" w:name="_Toc160109478"/>
      <w:r w:rsidRPr="00895AD5">
        <w:lastRenderedPageBreak/>
        <w:t xml:space="preserve">People </w:t>
      </w:r>
      <w:r w:rsidR="0002453A">
        <w:t>r</w:t>
      </w:r>
      <w:r w:rsidR="002F3E1A" w:rsidRPr="00895AD5">
        <w:t xml:space="preserve">eceiving </w:t>
      </w:r>
      <w:r w:rsidR="007F4D5F">
        <w:t>payments to support caring</w:t>
      </w:r>
      <w:bookmarkEnd w:id="83"/>
      <w:bookmarkEnd w:id="84"/>
      <w:bookmarkEnd w:id="85"/>
    </w:p>
    <w:p w14:paraId="6B046DFC" w14:textId="13C53A29" w:rsidR="00B04FCE" w:rsidRDefault="00653721" w:rsidP="00EF5B7F">
      <w:r w:rsidRPr="00AF0804">
        <w:t xml:space="preserve">Many Australians </w:t>
      </w:r>
      <w:r w:rsidR="00C03F78">
        <w:t>receive payments to help support them care for someone with disability, a medical condition, or who is frail due to age</w:t>
      </w:r>
      <w:r w:rsidRPr="00AF0804">
        <w:t xml:space="preserve">. </w:t>
      </w:r>
      <w:r>
        <w:t>O</w:t>
      </w:r>
      <w:r w:rsidRPr="00AF0804">
        <w:t>n 30</w:t>
      </w:r>
      <w:r w:rsidR="00E46C6A">
        <w:t> June </w:t>
      </w:r>
      <w:r w:rsidRPr="00AF0804">
        <w:t>2022</w:t>
      </w:r>
      <w:r>
        <w:t xml:space="preserve"> t</w:t>
      </w:r>
      <w:r w:rsidRPr="00AF0804">
        <w:t xml:space="preserve">here were around </w:t>
      </w:r>
      <w:r w:rsidR="00FE18FD">
        <w:t>648</w:t>
      </w:r>
      <w:r w:rsidRPr="00AF0804">
        <w:t xml:space="preserve">,000 </w:t>
      </w:r>
      <w:r w:rsidR="004D0063">
        <w:t>people</w:t>
      </w:r>
      <w:r w:rsidRPr="00AF0804">
        <w:t xml:space="preserve"> receiving </w:t>
      </w:r>
      <w:r w:rsidR="00C03F78">
        <w:t>a payment to support caring</w:t>
      </w:r>
      <w:r w:rsidRPr="00AF0804">
        <w:t>, making up 3% of the Australian population.</w:t>
      </w:r>
    </w:p>
    <w:p w14:paraId="1F1D5B1E" w14:textId="546C2749" w:rsidR="00EF5B7F" w:rsidRDefault="00EF5B7F" w:rsidP="00501E7A">
      <w:pPr>
        <w:pStyle w:val="FigureMainHeading"/>
        <w:spacing w:after="0"/>
      </w:pPr>
      <w:r w:rsidRPr="00D27014">
        <w:t>Australian population</w:t>
      </w:r>
    </w:p>
    <w:p w14:paraId="5E346EA5" w14:textId="74E79CA7" w:rsidR="00501E7A" w:rsidRPr="00501E7A" w:rsidRDefault="00501E7A" w:rsidP="00501E7A">
      <w:pPr>
        <w:pStyle w:val="ChartGraphic"/>
        <w:rPr>
          <w:rFonts w:eastAsiaTheme="minorEastAsia"/>
        </w:rPr>
      </w:pPr>
      <w:r>
        <w:rPr>
          <w:noProof/>
        </w:rPr>
        <w:drawing>
          <wp:inline distT="0" distB="0" distL="0" distR="0" wp14:anchorId="5D6D4DB1" wp14:editId="420DE2A9">
            <wp:extent cx="4521200" cy="367200"/>
            <wp:effectExtent l="0" t="0" r="0" b="0"/>
            <wp:docPr id="232" name="Chart 232" descr="This picture shows that the people in this subsection, that is, people receiving payments to support caring, make up 3% of the Australian popu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3E99B66" w14:textId="26CC77DF" w:rsidR="004E6CB5" w:rsidRDefault="009A149C" w:rsidP="00EF5B7F">
      <w:pPr>
        <w:pStyle w:val="Heading2notnumbered"/>
        <w:rPr>
          <w:rFonts w:cstheme="minorHAnsi"/>
        </w:rPr>
      </w:pPr>
      <w:r w:rsidRPr="00A43ADC">
        <w:rPr>
          <w:rFonts w:eastAsiaTheme="minorEastAsia"/>
        </w:rPr>
        <w:t xml:space="preserve">There were </w:t>
      </w:r>
      <w:r w:rsidR="00FE18FD" w:rsidRPr="00A43ADC">
        <w:rPr>
          <w:rFonts w:eastAsiaTheme="minorEastAsia"/>
        </w:rPr>
        <w:t>304</w:t>
      </w:r>
      <w:r w:rsidRPr="00B826D8">
        <w:rPr>
          <w:rFonts w:eastAsiaTheme="minorEastAsia"/>
        </w:rPr>
        <w:t xml:space="preserve">,000 </w:t>
      </w:r>
      <w:r w:rsidR="004D0063" w:rsidRPr="007439B2">
        <w:rPr>
          <w:rFonts w:eastAsiaTheme="minorEastAsia"/>
        </w:rPr>
        <w:t>people</w:t>
      </w:r>
      <w:r w:rsidRPr="007D2E8A">
        <w:rPr>
          <w:rFonts w:eastAsiaTheme="minorEastAsia"/>
        </w:rPr>
        <w:t xml:space="preserve"> receiving Ca</w:t>
      </w:r>
      <w:r w:rsidRPr="00CB5EA4">
        <w:rPr>
          <w:rFonts w:eastAsiaTheme="minorEastAsia"/>
        </w:rPr>
        <w:t xml:space="preserve">rer Payment and a further 344,000 </w:t>
      </w:r>
      <w:r w:rsidRPr="005B6EB2">
        <w:rPr>
          <w:rFonts w:eastAsiaTheme="minorEastAsia"/>
        </w:rPr>
        <w:t>receiving a supplementary carer payment at 30</w:t>
      </w:r>
      <w:r w:rsidR="00E46C6A">
        <w:rPr>
          <w:rFonts w:eastAsiaTheme="minorEastAsia"/>
        </w:rPr>
        <w:t> June </w:t>
      </w:r>
      <w:r w:rsidRPr="005B6EB2">
        <w:rPr>
          <w:rFonts w:eastAsiaTheme="minorEastAsia"/>
        </w:rPr>
        <w:t>2022.</w:t>
      </w:r>
      <w:r w:rsidR="005B6EB2" w:rsidRPr="005B6EB2">
        <w:rPr>
          <w:rFonts w:eastAsiaTheme="minorEastAsia"/>
        </w:rPr>
        <w:t xml:space="preserve"> </w:t>
      </w:r>
      <w:r w:rsidR="005B6EB2" w:rsidRPr="00C1426E">
        <w:rPr>
          <w:rFonts w:cstheme="minorHAnsi"/>
        </w:rPr>
        <w:t xml:space="preserve">Overall, 74% of people receiving a payment to support caring </w:t>
      </w:r>
      <w:r w:rsidR="004E6CB5">
        <w:rPr>
          <w:rFonts w:cstheme="minorHAnsi"/>
        </w:rPr>
        <w:t>were</w:t>
      </w:r>
      <w:r w:rsidR="004E6CB5" w:rsidRPr="00C1426E">
        <w:rPr>
          <w:rFonts w:cstheme="minorHAnsi"/>
        </w:rPr>
        <w:t xml:space="preserve"> </w:t>
      </w:r>
      <w:r w:rsidR="005B6EB2" w:rsidRPr="00C1426E">
        <w:rPr>
          <w:rFonts w:cstheme="minorHAnsi"/>
        </w:rPr>
        <w:t>women.</w:t>
      </w:r>
    </w:p>
    <w:p w14:paraId="13FF37E0" w14:textId="6EC1D55D" w:rsidR="00B04FCE" w:rsidRPr="00430894" w:rsidRDefault="00ED702A" w:rsidP="00430894">
      <w:pPr>
        <w:rPr>
          <w:rFonts w:eastAsiaTheme="majorEastAsia"/>
        </w:rPr>
      </w:pPr>
      <w:r w:rsidRPr="00430894">
        <w:t xml:space="preserve">Carer Payment is an income support payment available to people who provide constant care to someone with disability, a medical condition, or who is frail aged. The requirement to be providing constant care, together with assets and income test limits, means not all carers are eligible for this payment. The number </w:t>
      </w:r>
      <w:r w:rsidRPr="00430894">
        <w:rPr>
          <w:rFonts w:eastAsiaTheme="majorEastAsia"/>
        </w:rPr>
        <w:t>of people who received Carer Payment increased by 1.4% between 30</w:t>
      </w:r>
      <w:r w:rsidR="00E46C6A">
        <w:rPr>
          <w:rFonts w:eastAsiaTheme="majorEastAsia"/>
        </w:rPr>
        <w:t> June </w:t>
      </w:r>
      <w:r w:rsidRPr="00430894">
        <w:rPr>
          <w:rFonts w:eastAsiaTheme="majorEastAsia"/>
        </w:rPr>
        <w:t>2021 and 30</w:t>
      </w:r>
      <w:r w:rsidR="00E46C6A">
        <w:rPr>
          <w:rFonts w:eastAsiaTheme="majorEastAsia"/>
        </w:rPr>
        <w:t> June </w:t>
      </w:r>
      <w:r w:rsidRPr="00430894">
        <w:rPr>
          <w:rFonts w:eastAsiaTheme="majorEastAsia"/>
        </w:rPr>
        <w:t>2022.</w:t>
      </w:r>
    </w:p>
    <w:p w14:paraId="4D34A913" w14:textId="45F13191" w:rsidR="00B04FCE" w:rsidRDefault="00B655A1" w:rsidP="00ED702A">
      <w:pPr>
        <w:rPr>
          <w:rFonts w:asciiTheme="minorHAnsi" w:hAnsiTheme="minorHAnsi" w:cstheme="minorHAnsi"/>
        </w:rPr>
      </w:pPr>
      <w:r>
        <w:rPr>
          <w:rFonts w:asciiTheme="minorHAnsi" w:hAnsiTheme="minorHAnsi" w:cstheme="minorHAnsi"/>
        </w:rPr>
        <w:br w:type="column"/>
      </w:r>
      <w:r w:rsidR="00ED702A">
        <w:rPr>
          <w:rFonts w:asciiTheme="minorHAnsi" w:hAnsiTheme="minorHAnsi" w:cstheme="minorHAnsi"/>
        </w:rPr>
        <w:t>Supplementary carer payments, such as</w:t>
      </w:r>
      <w:r w:rsidR="00ED702A" w:rsidRPr="00EC739C">
        <w:rPr>
          <w:rFonts w:asciiTheme="minorHAnsi" w:hAnsiTheme="minorHAnsi" w:cstheme="minorHAnsi"/>
        </w:rPr>
        <w:t xml:space="preserve"> Carer Allowance</w:t>
      </w:r>
      <w:r w:rsidR="00ED702A">
        <w:rPr>
          <w:rFonts w:asciiTheme="minorHAnsi" w:hAnsiTheme="minorHAnsi" w:cstheme="minorHAnsi"/>
        </w:rPr>
        <w:t>,</w:t>
      </w:r>
      <w:r w:rsidR="00ED702A" w:rsidRPr="00EC739C">
        <w:rPr>
          <w:rFonts w:asciiTheme="minorHAnsi" w:hAnsiTheme="minorHAnsi" w:cstheme="minorHAnsi"/>
        </w:rPr>
        <w:t xml:space="preserve"> </w:t>
      </w:r>
      <w:r w:rsidR="00ED702A">
        <w:rPr>
          <w:rFonts w:asciiTheme="minorHAnsi" w:hAnsiTheme="minorHAnsi" w:cstheme="minorHAnsi"/>
        </w:rPr>
        <w:t>are a support available to people who</w:t>
      </w:r>
      <w:r w:rsidR="00ED702A" w:rsidRPr="008805F3">
        <w:rPr>
          <w:rFonts w:asciiTheme="minorHAnsi" w:hAnsiTheme="minorHAnsi" w:cstheme="minorHAnsi"/>
        </w:rPr>
        <w:t xml:space="preserve"> </w:t>
      </w:r>
      <w:r w:rsidR="00ED702A">
        <w:rPr>
          <w:rFonts w:asciiTheme="minorHAnsi" w:hAnsiTheme="minorHAnsi" w:cstheme="minorHAnsi"/>
        </w:rPr>
        <w:t>are not eligible</w:t>
      </w:r>
      <w:r w:rsidR="00ED702A" w:rsidRPr="008805F3">
        <w:rPr>
          <w:rFonts w:asciiTheme="minorHAnsi" w:hAnsiTheme="minorHAnsi" w:cstheme="minorHAnsi"/>
        </w:rPr>
        <w:t xml:space="preserve"> for Carer Payment.</w:t>
      </w:r>
      <w:r w:rsidR="00ED702A">
        <w:rPr>
          <w:rFonts w:asciiTheme="minorHAnsi" w:hAnsiTheme="minorHAnsi" w:cstheme="minorHAnsi"/>
        </w:rPr>
        <w:t xml:space="preserve"> Carer Allowance</w:t>
      </w:r>
      <w:r w:rsidR="00AC5863">
        <w:rPr>
          <w:rFonts w:asciiTheme="minorHAnsi" w:hAnsiTheme="minorHAnsi" w:cstheme="minorHAnsi"/>
        </w:rPr>
        <w:t>,</w:t>
      </w:r>
      <w:r w:rsidR="00ED702A">
        <w:rPr>
          <w:rFonts w:asciiTheme="minorHAnsi" w:hAnsiTheme="minorHAnsi" w:cstheme="minorHAnsi"/>
        </w:rPr>
        <w:t xml:space="preserve"> the main payment in this group, does not have an assets test and has less restrictive income tests and care requirements.</w:t>
      </w:r>
    </w:p>
    <w:p w14:paraId="16933DC4" w14:textId="277E1CEC" w:rsidR="00B04FCE" w:rsidRDefault="0047206E" w:rsidP="00B655A1">
      <w:pPr>
        <w:keepLines/>
        <w:rPr>
          <w:rFonts w:asciiTheme="minorHAnsi" w:hAnsiTheme="minorHAnsi" w:cstheme="minorHAnsi"/>
        </w:rPr>
      </w:pPr>
      <w:r>
        <w:rPr>
          <w:rFonts w:asciiTheme="minorHAnsi" w:hAnsiTheme="minorHAnsi" w:cstheme="minorHAnsi"/>
        </w:rPr>
        <w:t>Among those eligible for payment</w:t>
      </w:r>
      <w:r w:rsidR="00FF094D">
        <w:rPr>
          <w:rFonts w:asciiTheme="minorHAnsi" w:hAnsiTheme="minorHAnsi" w:cstheme="minorHAnsi"/>
        </w:rPr>
        <w:t>s to support caring</w:t>
      </w:r>
      <w:r w:rsidRPr="0047206E">
        <w:rPr>
          <w:rFonts w:asciiTheme="minorHAnsi" w:hAnsiTheme="minorHAnsi" w:cstheme="minorHAnsi"/>
        </w:rPr>
        <w:t xml:space="preserve"> </w:t>
      </w:r>
      <w:r>
        <w:rPr>
          <w:rFonts w:asciiTheme="minorHAnsi" w:hAnsiTheme="minorHAnsi" w:cstheme="minorHAnsi"/>
        </w:rPr>
        <w:t>at 30</w:t>
      </w:r>
      <w:r w:rsidR="00E46C6A">
        <w:rPr>
          <w:rFonts w:asciiTheme="minorHAnsi" w:hAnsiTheme="minorHAnsi" w:cstheme="minorHAnsi"/>
        </w:rPr>
        <w:t> June </w:t>
      </w:r>
      <w:r>
        <w:rPr>
          <w:rFonts w:asciiTheme="minorHAnsi" w:hAnsiTheme="minorHAnsi" w:cstheme="minorHAnsi"/>
        </w:rPr>
        <w:t xml:space="preserve">2022, approximately 47% received Carer Payment </w:t>
      </w:r>
      <w:r w:rsidR="000012B9">
        <w:rPr>
          <w:rFonts w:asciiTheme="minorHAnsi" w:hAnsiTheme="minorHAnsi" w:cstheme="minorHAnsi"/>
        </w:rPr>
        <w:t xml:space="preserve">and </w:t>
      </w:r>
      <w:r>
        <w:rPr>
          <w:rFonts w:asciiTheme="minorHAnsi" w:hAnsiTheme="minorHAnsi" w:cstheme="minorHAnsi"/>
        </w:rPr>
        <w:t xml:space="preserve">approximately 53% received a supplementary carer payment </w:t>
      </w:r>
      <w:r w:rsidR="007840A5" w:rsidRPr="007840A5">
        <w:rPr>
          <w:rFonts w:asciiTheme="minorHAnsi" w:hAnsiTheme="minorHAnsi" w:cstheme="minorHAnsi"/>
        </w:rPr>
        <w:t>only (</w:t>
      </w:r>
      <w:r w:rsidR="00CB4AEA">
        <w:rPr>
          <w:rFonts w:asciiTheme="minorHAnsi" w:hAnsiTheme="minorHAnsi" w:cstheme="minorHAnsi"/>
        </w:rPr>
        <w:fldChar w:fldCharType="begin"/>
      </w:r>
      <w:r w:rsidR="00CB4AEA">
        <w:rPr>
          <w:rFonts w:asciiTheme="minorHAnsi" w:hAnsiTheme="minorHAnsi" w:cstheme="minorHAnsi"/>
        </w:rPr>
        <w:instrText xml:space="preserve"> REF _Ref153312089 \h </w:instrText>
      </w:r>
      <w:r w:rsidR="00CB4AEA">
        <w:rPr>
          <w:rFonts w:asciiTheme="minorHAnsi" w:hAnsiTheme="minorHAnsi" w:cstheme="minorHAnsi"/>
        </w:rPr>
      </w:r>
      <w:r w:rsidR="00CB4AEA">
        <w:rPr>
          <w:rFonts w:asciiTheme="minorHAnsi" w:hAnsiTheme="minorHAnsi" w:cstheme="minorHAnsi"/>
        </w:rPr>
        <w:fldChar w:fldCharType="separate"/>
      </w:r>
      <w:r w:rsidR="00722C0A">
        <w:t>Figure </w:t>
      </w:r>
      <w:r w:rsidR="00722C0A">
        <w:rPr>
          <w:noProof/>
        </w:rPr>
        <w:t>8</w:t>
      </w:r>
      <w:r w:rsidR="00722C0A">
        <w:t>.</w:t>
      </w:r>
      <w:r w:rsidR="00722C0A">
        <w:rPr>
          <w:noProof/>
        </w:rPr>
        <w:t>1</w:t>
      </w:r>
      <w:r w:rsidR="00CB4AEA">
        <w:rPr>
          <w:rFonts w:asciiTheme="minorHAnsi" w:hAnsiTheme="minorHAnsi" w:cstheme="minorHAnsi"/>
        </w:rPr>
        <w:fldChar w:fldCharType="end"/>
      </w:r>
      <w:r w:rsidR="007840A5" w:rsidRPr="007840A5">
        <w:rPr>
          <w:rFonts w:asciiTheme="minorHAnsi" w:hAnsiTheme="minorHAnsi" w:cstheme="minorHAnsi"/>
        </w:rPr>
        <w:t>)</w:t>
      </w:r>
      <w:r w:rsidR="00523C94">
        <w:rPr>
          <w:rFonts w:asciiTheme="minorHAnsi" w:hAnsiTheme="minorHAnsi" w:cstheme="minorHAnsi"/>
        </w:rPr>
        <w:t>.</w:t>
      </w:r>
      <w:r w:rsidR="007840A5" w:rsidRPr="007840A5" w:rsidDel="007840A5">
        <w:rPr>
          <w:rFonts w:asciiTheme="minorHAnsi" w:hAnsiTheme="minorHAnsi" w:cstheme="minorHAnsi"/>
        </w:rPr>
        <w:t xml:space="preserve"> </w:t>
      </w:r>
      <w:r w:rsidR="00ED702A">
        <w:rPr>
          <w:rFonts w:asciiTheme="minorHAnsi" w:hAnsiTheme="minorHAnsi" w:cstheme="minorHAnsi"/>
        </w:rPr>
        <w:t xml:space="preserve">Note </w:t>
      </w:r>
      <w:r w:rsidR="007E53FA">
        <w:rPr>
          <w:rFonts w:asciiTheme="minorHAnsi" w:hAnsiTheme="minorHAnsi" w:cstheme="minorHAnsi"/>
        </w:rPr>
        <w:t xml:space="preserve">people receiving </w:t>
      </w:r>
      <w:r w:rsidR="00ED702A">
        <w:rPr>
          <w:rFonts w:asciiTheme="minorHAnsi" w:hAnsiTheme="minorHAnsi" w:cstheme="minorHAnsi"/>
        </w:rPr>
        <w:t>Carer Payment can also receive supplementary carer payments.</w:t>
      </w:r>
    </w:p>
    <w:p w14:paraId="564EBD79" w14:textId="1B371D67" w:rsidR="00ED702A" w:rsidRPr="00A13641" w:rsidRDefault="007855DD" w:rsidP="005E332C">
      <w:pPr>
        <w:pStyle w:val="FigureMainHeading"/>
      </w:pPr>
      <w:bookmarkStart w:id="86" w:name="_Ref153312089"/>
      <w:r>
        <w:t>Figure </w:t>
      </w:r>
      <w:r w:rsidR="00B80D45">
        <w:fldChar w:fldCharType="begin"/>
      </w:r>
      <w:r w:rsidR="00B80D45">
        <w:instrText xml:space="preserve"> STYLEREF 1 \s </w:instrText>
      </w:r>
      <w:r w:rsidR="00B80D45">
        <w:fldChar w:fldCharType="separate"/>
      </w:r>
      <w:r w:rsidR="00722C0A">
        <w:rPr>
          <w:noProof/>
        </w:rPr>
        <w:t>8</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1</w:t>
      </w:r>
      <w:r w:rsidR="00B80D45">
        <w:rPr>
          <w:noProof/>
        </w:rPr>
        <w:fldChar w:fldCharType="end"/>
      </w:r>
      <w:bookmarkEnd w:id="86"/>
      <w:r w:rsidR="005E332C">
        <w:t>:</w:t>
      </w:r>
      <w:r w:rsidR="005E332C">
        <w:tab/>
      </w:r>
      <w:r w:rsidR="00C95BE9">
        <w:t>C</w:t>
      </w:r>
      <w:r w:rsidR="00C95BE9" w:rsidRPr="00A13641">
        <w:t>omposition of people receiving payments to support caring at 30</w:t>
      </w:r>
      <w:r w:rsidR="00E46C6A">
        <w:t> June </w:t>
      </w:r>
      <w:r w:rsidR="00C95BE9" w:rsidRPr="00A13641">
        <w:t>2022</w:t>
      </w:r>
    </w:p>
    <w:p w14:paraId="00B2C8A9" w14:textId="4016E4E6" w:rsidR="009A149C" w:rsidRDefault="00FE18FD" w:rsidP="00EF5B7F">
      <w:pPr>
        <w:pStyle w:val="ChartGraphic"/>
        <w:rPr>
          <w:rFonts w:asciiTheme="minorHAnsi" w:eastAsiaTheme="minorEastAsia" w:hAnsi="Calibri"/>
          <w:color w:val="000000" w:themeColor="text1"/>
          <w:kern w:val="24"/>
          <w:sz w:val="24"/>
          <w:szCs w:val="24"/>
        </w:rPr>
      </w:pPr>
      <w:r>
        <w:rPr>
          <w:noProof/>
        </w:rPr>
        <w:drawing>
          <wp:inline distT="0" distB="0" distL="0" distR="0" wp14:anchorId="2FFB5B8C" wp14:editId="2E516100">
            <wp:extent cx="4319905" cy="2419350"/>
            <wp:effectExtent l="0" t="0" r="4445" b="0"/>
            <wp:docPr id="348" name="Chart 348" descr="This pie chart shows that 47% of people receiving payments to support caring received Carer Payment at 30 June 2022, and 53% received only supplementary carer pay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8E6B8A0" w14:textId="74E1913D" w:rsidR="00A04DF0" w:rsidRDefault="004D0063" w:rsidP="00EF5B7F">
      <w:pPr>
        <w:pStyle w:val="Heading2notnumbered"/>
      </w:pPr>
      <w:r w:rsidRPr="00C1426E">
        <w:lastRenderedPageBreak/>
        <w:t>People</w:t>
      </w:r>
      <w:r w:rsidR="00B32E71" w:rsidRPr="00C1426E">
        <w:t xml:space="preserve"> receiving payments to support caring tend to </w:t>
      </w:r>
      <w:r w:rsidR="002161A7" w:rsidRPr="00C1426E">
        <w:t>live in</w:t>
      </w:r>
      <w:r w:rsidR="00B32E71" w:rsidRPr="00C1426E">
        <w:t xml:space="preserve"> lower socio</w:t>
      </w:r>
      <w:r w:rsidR="00B04FCE">
        <w:noBreakHyphen/>
      </w:r>
      <w:r w:rsidR="00B32E71" w:rsidRPr="00C1426E">
        <w:t xml:space="preserve">economic </w:t>
      </w:r>
      <w:r w:rsidR="002161A7" w:rsidRPr="00C1426E">
        <w:t>locations.</w:t>
      </w:r>
      <w:r w:rsidRPr="00C1426E">
        <w:t xml:space="preserve"> </w:t>
      </w:r>
      <w:r w:rsidR="002161A7" w:rsidRPr="00C1426E">
        <w:t>Around a third</w:t>
      </w:r>
      <w:r w:rsidR="00B32E71" w:rsidRPr="00C1426E">
        <w:t xml:space="preserve"> of </w:t>
      </w:r>
      <w:r w:rsidRPr="00C1426E">
        <w:t>people receiving this support</w:t>
      </w:r>
      <w:r w:rsidR="00B32E71" w:rsidRPr="00C1426E">
        <w:t xml:space="preserve"> </w:t>
      </w:r>
      <w:r w:rsidR="00D84BA9" w:rsidRPr="00C1426E">
        <w:t>live in</w:t>
      </w:r>
      <w:r w:rsidR="00B32E71" w:rsidRPr="00C1426E">
        <w:t xml:space="preserve"> the lowest 20% of socio</w:t>
      </w:r>
      <w:r w:rsidR="00B04FCE">
        <w:noBreakHyphen/>
      </w:r>
      <w:r w:rsidR="00B32E71" w:rsidRPr="00C1426E">
        <w:t>economic areas.</w:t>
      </w:r>
    </w:p>
    <w:p w14:paraId="5B4412BD" w14:textId="60B13488" w:rsidR="00B04FCE" w:rsidRDefault="00ED702A" w:rsidP="00B655A1">
      <w:pPr>
        <w:keepLines/>
        <w:rPr>
          <w:noProof/>
        </w:rPr>
      </w:pPr>
      <w:r w:rsidRPr="00D52F35">
        <w:rPr>
          <w:rFonts w:asciiTheme="minorHAnsi" w:eastAsiaTheme="majorEastAsia" w:hAnsiTheme="minorHAnsi" w:cstheme="minorHAnsi"/>
          <w:bCs/>
          <w:color w:val="000000" w:themeColor="text1"/>
        </w:rPr>
        <w:fldChar w:fldCharType="begin"/>
      </w:r>
      <w:r w:rsidRPr="00D52F35">
        <w:rPr>
          <w:rFonts w:asciiTheme="minorHAnsi" w:eastAsiaTheme="majorEastAsia" w:hAnsiTheme="minorHAnsi" w:cstheme="minorHAnsi"/>
          <w:bCs/>
          <w:color w:val="000000" w:themeColor="text1"/>
        </w:rPr>
        <w:instrText xml:space="preserve"> REF _Ref153312152 \h </w:instrText>
      </w:r>
      <w:r w:rsidR="00A401CD" w:rsidRPr="00D52F35">
        <w:rPr>
          <w:rFonts w:asciiTheme="minorHAnsi" w:eastAsiaTheme="majorEastAsia" w:hAnsiTheme="minorHAnsi" w:cstheme="minorHAnsi"/>
          <w:bCs/>
          <w:color w:val="000000" w:themeColor="text1"/>
        </w:rPr>
        <w:instrText xml:space="preserve"> \* MERGEFORMAT </w:instrText>
      </w:r>
      <w:r w:rsidRPr="00D52F35">
        <w:rPr>
          <w:rFonts w:asciiTheme="minorHAnsi" w:eastAsiaTheme="majorEastAsia" w:hAnsiTheme="minorHAnsi" w:cstheme="minorHAnsi"/>
          <w:bCs/>
          <w:color w:val="000000" w:themeColor="text1"/>
        </w:rPr>
      </w:r>
      <w:r w:rsidRPr="00D52F35">
        <w:rPr>
          <w:rFonts w:asciiTheme="minorHAnsi" w:eastAsiaTheme="majorEastAsia" w:hAnsiTheme="minorHAnsi" w:cstheme="minorHAnsi"/>
          <w:bCs/>
          <w:color w:val="000000" w:themeColor="text1"/>
        </w:rPr>
        <w:fldChar w:fldCharType="separate"/>
      </w:r>
      <w:r w:rsidR="00722C0A" w:rsidRPr="00722C0A">
        <w:rPr>
          <w:rFonts w:asciiTheme="minorHAnsi" w:hAnsiTheme="minorHAnsi" w:cstheme="minorHAnsi"/>
        </w:rPr>
        <w:t>Figure 8.2</w:t>
      </w:r>
      <w:r w:rsidRPr="00D52F35">
        <w:rPr>
          <w:rFonts w:asciiTheme="minorHAnsi" w:eastAsiaTheme="majorEastAsia" w:hAnsiTheme="minorHAnsi" w:cstheme="minorHAnsi"/>
          <w:bCs/>
          <w:color w:val="000000" w:themeColor="text1"/>
        </w:rPr>
        <w:fldChar w:fldCharType="end"/>
      </w:r>
      <w:r w:rsidRPr="00D52F35">
        <w:rPr>
          <w:rFonts w:asciiTheme="minorHAnsi" w:eastAsiaTheme="majorEastAsia" w:hAnsiTheme="minorHAnsi" w:cstheme="minorHAnsi"/>
          <w:color w:val="000000" w:themeColor="text1"/>
        </w:rPr>
        <w:t xml:space="preserve"> shows the majority of </w:t>
      </w:r>
      <w:r w:rsidR="007E53FA" w:rsidRPr="00D52F35">
        <w:rPr>
          <w:rFonts w:asciiTheme="minorHAnsi" w:eastAsiaTheme="majorEastAsia" w:hAnsiTheme="minorHAnsi" w:cstheme="minorHAnsi"/>
          <w:color w:val="000000" w:themeColor="text1"/>
        </w:rPr>
        <w:t>people receiving Carer Payment</w:t>
      </w:r>
      <w:r w:rsidRPr="00D52F35">
        <w:rPr>
          <w:rFonts w:asciiTheme="minorHAnsi" w:eastAsiaTheme="majorEastAsia" w:hAnsiTheme="minorHAnsi" w:cstheme="minorHAnsi"/>
          <w:color w:val="000000" w:themeColor="text1"/>
        </w:rPr>
        <w:t xml:space="preserve"> live in more disadvantaged socio</w:t>
      </w:r>
      <w:r w:rsidR="00B04FCE">
        <w:rPr>
          <w:rFonts w:asciiTheme="minorHAnsi" w:eastAsiaTheme="majorEastAsia" w:hAnsiTheme="minorHAnsi" w:cstheme="minorHAnsi"/>
          <w:color w:val="000000" w:themeColor="text1"/>
        </w:rPr>
        <w:noBreakHyphen/>
      </w:r>
      <w:r w:rsidRPr="00D52F35">
        <w:rPr>
          <w:rFonts w:asciiTheme="minorHAnsi" w:eastAsiaTheme="majorEastAsia" w:hAnsiTheme="minorHAnsi" w:cstheme="minorHAnsi"/>
          <w:color w:val="000000" w:themeColor="text1"/>
        </w:rPr>
        <w:t>economic locations. Around 40% of people receiving Carer Payment live in the lowest 20% of socio</w:t>
      </w:r>
      <w:r w:rsidR="00B04FCE">
        <w:rPr>
          <w:rFonts w:asciiTheme="minorHAnsi" w:eastAsiaTheme="majorEastAsia" w:hAnsiTheme="minorHAnsi" w:cstheme="minorHAnsi"/>
          <w:color w:val="000000" w:themeColor="text1"/>
        </w:rPr>
        <w:noBreakHyphen/>
      </w:r>
      <w:r w:rsidRPr="00D52F35">
        <w:rPr>
          <w:rFonts w:asciiTheme="minorHAnsi" w:eastAsiaTheme="majorEastAsia" w:hAnsiTheme="minorHAnsi" w:cstheme="minorHAnsi"/>
          <w:color w:val="000000" w:themeColor="text1"/>
        </w:rPr>
        <w:t>economic areas. Due to the less restrictive income test and no assets test on Carer Allowance, people receiving supplementary carer payments only are more evenly spread across socio</w:t>
      </w:r>
      <w:r w:rsidR="00B04FCE">
        <w:rPr>
          <w:rFonts w:asciiTheme="minorHAnsi" w:eastAsiaTheme="majorEastAsia" w:hAnsiTheme="minorHAnsi" w:cstheme="minorHAnsi"/>
          <w:color w:val="000000" w:themeColor="text1"/>
        </w:rPr>
        <w:noBreakHyphen/>
      </w:r>
      <w:r w:rsidRPr="00D52F35">
        <w:rPr>
          <w:rFonts w:asciiTheme="minorHAnsi" w:eastAsiaTheme="majorEastAsia" w:hAnsiTheme="minorHAnsi" w:cstheme="minorHAnsi"/>
          <w:color w:val="000000" w:themeColor="text1"/>
        </w:rPr>
        <w:t>economic areas. A smaller proportion (26%) of people receiving carer supplement only live in the lowest 20% of socio</w:t>
      </w:r>
      <w:r w:rsidR="00B04FCE">
        <w:rPr>
          <w:rFonts w:asciiTheme="minorHAnsi" w:eastAsiaTheme="majorEastAsia" w:hAnsiTheme="minorHAnsi" w:cstheme="minorHAnsi"/>
          <w:color w:val="000000" w:themeColor="text1"/>
        </w:rPr>
        <w:noBreakHyphen/>
      </w:r>
      <w:r w:rsidRPr="00D52F35">
        <w:rPr>
          <w:rFonts w:asciiTheme="minorHAnsi" w:eastAsiaTheme="majorEastAsia" w:hAnsiTheme="minorHAnsi" w:cstheme="minorHAnsi"/>
          <w:color w:val="000000" w:themeColor="text1"/>
        </w:rPr>
        <w:t>economic areas.</w:t>
      </w:r>
    </w:p>
    <w:p w14:paraId="7463B2BD" w14:textId="09AE28CC" w:rsidR="00C95BE9" w:rsidRDefault="007855DD" w:rsidP="005E332C">
      <w:pPr>
        <w:pStyle w:val="FigureMainHeading"/>
      </w:pPr>
      <w:bookmarkStart w:id="87" w:name="_Ref153312152"/>
      <w:bookmarkStart w:id="88" w:name="_Ref151565768"/>
      <w:bookmarkStart w:id="89" w:name="_Ref151732182"/>
      <w:r>
        <w:t>Figure </w:t>
      </w:r>
      <w:r w:rsidR="00B80D45">
        <w:fldChar w:fldCharType="begin"/>
      </w:r>
      <w:r w:rsidR="00B80D45">
        <w:instrText xml:space="preserve"> STYLEREF 1 \s </w:instrText>
      </w:r>
      <w:r w:rsidR="00B80D45">
        <w:fldChar w:fldCharType="separate"/>
      </w:r>
      <w:r w:rsidR="00722C0A">
        <w:rPr>
          <w:noProof/>
        </w:rPr>
        <w:t>8</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2</w:t>
      </w:r>
      <w:r w:rsidR="00B80D45">
        <w:rPr>
          <w:noProof/>
        </w:rPr>
        <w:fldChar w:fldCharType="end"/>
      </w:r>
      <w:bookmarkEnd w:id="87"/>
      <w:bookmarkEnd w:id="88"/>
      <w:r w:rsidR="005E332C">
        <w:t>:</w:t>
      </w:r>
      <w:r w:rsidR="005E332C">
        <w:tab/>
      </w:r>
      <w:r w:rsidR="007E4C2E" w:rsidRPr="00A13641">
        <w:t>Carers</w:t>
      </w:r>
      <w:r w:rsidR="00970598" w:rsidRPr="00A13641">
        <w:t xml:space="preserve"> </w:t>
      </w:r>
      <w:r w:rsidR="00C95BE9" w:rsidRPr="00C95BE9">
        <w:t>receiving payments by socio</w:t>
      </w:r>
      <w:r w:rsidR="00C95BE9" w:rsidRPr="00C95BE9">
        <w:noBreakHyphen/>
        <w:t>economic area grouping</w:t>
      </w:r>
      <w:bookmarkEnd w:id="89"/>
    </w:p>
    <w:p w14:paraId="3FEEE2C8" w14:textId="0BC25F8E" w:rsidR="00DA70A3" w:rsidRPr="00DA70A3" w:rsidRDefault="00DA70A3" w:rsidP="003D1315">
      <w:pPr>
        <w:pStyle w:val="ChartGraphic"/>
      </w:pPr>
      <w:r>
        <w:rPr>
          <w:noProof/>
        </w:rPr>
        <w:drawing>
          <wp:inline distT="0" distB="0" distL="0" distR="0" wp14:anchorId="3AD89058" wp14:editId="5AEC558D">
            <wp:extent cx="4295775" cy="3238500"/>
            <wp:effectExtent l="0" t="0" r="0" b="0"/>
            <wp:docPr id="895436606" name="Chart 1" descr="This chart shows the percentage of carers receiving payments split by SEIFA quintile and carer payment type. Recipients of both Carer Payment and supplementary carer payments only have a larger proportion residing in lower socioeconomic areas, with 65% and 49% in the bottom two SEIFA quintiles respectively.">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1FF83D0" w14:textId="071D829E" w:rsidR="00A04DF0" w:rsidRDefault="00A04DF0" w:rsidP="00C95BE9">
      <w:pPr>
        <w:pStyle w:val="ChartGraphic"/>
        <w:rPr>
          <w:rFonts w:asciiTheme="minorHAnsi" w:hAnsiTheme="minorHAnsi" w:cstheme="minorHAnsi"/>
        </w:rPr>
      </w:pPr>
    </w:p>
    <w:p w14:paraId="047E186D" w14:textId="64266280" w:rsidR="00B04FCE" w:rsidRDefault="00B655A1" w:rsidP="00C53C90">
      <w:pPr>
        <w:pStyle w:val="Heading2notnumbered"/>
        <w:rPr>
          <w:rFonts w:eastAsiaTheme="majorEastAsia"/>
        </w:rPr>
      </w:pPr>
      <w:r>
        <w:rPr>
          <w:rFonts w:eastAsiaTheme="majorEastAsia"/>
        </w:rPr>
        <w:br w:type="column"/>
      </w:r>
      <w:r w:rsidR="00152F7C" w:rsidRPr="00C53C90">
        <w:t>A person</w:t>
      </w:r>
      <w:r w:rsidR="00B04FCE" w:rsidRPr="00C53C90">
        <w:t>’</w:t>
      </w:r>
      <w:r w:rsidR="00152F7C" w:rsidRPr="00C53C90">
        <w:t>s age and</w:t>
      </w:r>
      <w:r w:rsidR="00EE3B5E" w:rsidRPr="00C53C90">
        <w:t xml:space="preserve"> relationship </w:t>
      </w:r>
      <w:r w:rsidR="00152F7C" w:rsidRPr="00C53C90">
        <w:t>to</w:t>
      </w:r>
      <w:r w:rsidR="00EE3B5E" w:rsidRPr="00C53C90">
        <w:t xml:space="preserve"> the person they are caring for </w:t>
      </w:r>
      <w:r w:rsidR="00152F7C" w:rsidRPr="00C53C90">
        <w:t>affects the extent of future income support use</w:t>
      </w:r>
      <w:r w:rsidR="00EE3B5E" w:rsidRPr="00C53C90">
        <w:t>.</w:t>
      </w:r>
    </w:p>
    <w:p w14:paraId="4BF558B4" w14:textId="72A0F0CE" w:rsidR="00B04FCE" w:rsidRDefault="00970598" w:rsidP="00D52F35">
      <w:pPr>
        <w:rPr>
          <w:rFonts w:asciiTheme="minorHAnsi" w:eastAsiaTheme="majorEastAsia" w:hAnsiTheme="minorHAnsi" w:cstheme="minorHAnsi"/>
          <w:color w:val="000000" w:themeColor="text1"/>
        </w:rPr>
      </w:pPr>
      <w:r w:rsidRPr="00D52F35">
        <w:rPr>
          <w:rFonts w:asciiTheme="minorHAnsi" w:eastAsiaTheme="majorEastAsia" w:hAnsiTheme="minorHAnsi" w:cstheme="minorHAnsi"/>
          <w:color w:val="000000" w:themeColor="text1"/>
        </w:rPr>
        <w:fldChar w:fldCharType="begin"/>
      </w:r>
      <w:r w:rsidRPr="00D52F35">
        <w:rPr>
          <w:rFonts w:asciiTheme="minorHAnsi" w:eastAsiaTheme="majorEastAsia" w:hAnsiTheme="minorHAnsi" w:cstheme="minorHAnsi"/>
          <w:color w:val="000000" w:themeColor="text1"/>
        </w:rPr>
        <w:instrText xml:space="preserve"> REF _Ref153312464 \h  \* MERGEFORMAT </w:instrText>
      </w:r>
      <w:r w:rsidRPr="00D52F35">
        <w:rPr>
          <w:rFonts w:asciiTheme="minorHAnsi" w:eastAsiaTheme="majorEastAsia" w:hAnsiTheme="minorHAnsi" w:cstheme="minorHAnsi"/>
          <w:color w:val="000000" w:themeColor="text1"/>
        </w:rPr>
      </w:r>
      <w:r w:rsidRPr="00D52F35">
        <w:rPr>
          <w:rFonts w:asciiTheme="minorHAnsi" w:eastAsiaTheme="majorEastAsia" w:hAnsiTheme="minorHAnsi" w:cstheme="minorHAnsi"/>
          <w:color w:val="000000" w:themeColor="text1"/>
        </w:rPr>
        <w:fldChar w:fldCharType="separate"/>
      </w:r>
      <w:r w:rsidR="00722C0A" w:rsidRPr="00722C0A">
        <w:rPr>
          <w:rFonts w:asciiTheme="minorHAnsi" w:eastAsiaTheme="majorEastAsia" w:hAnsiTheme="minorHAnsi" w:cstheme="minorHAnsi"/>
          <w:color w:val="000000" w:themeColor="text1"/>
        </w:rPr>
        <w:t>Figure 8.3</w:t>
      </w:r>
      <w:r w:rsidRPr="00D52F35">
        <w:rPr>
          <w:rFonts w:asciiTheme="minorHAnsi" w:eastAsiaTheme="majorEastAsia" w:hAnsiTheme="minorHAnsi" w:cstheme="minorHAnsi"/>
          <w:color w:val="000000" w:themeColor="text1"/>
        </w:rPr>
        <w:fldChar w:fldCharType="end"/>
      </w:r>
      <w:r w:rsidRPr="00D52F35">
        <w:rPr>
          <w:rFonts w:asciiTheme="minorHAnsi" w:eastAsiaTheme="majorEastAsia" w:hAnsiTheme="minorHAnsi" w:cstheme="minorHAnsi"/>
          <w:color w:val="000000" w:themeColor="text1"/>
        </w:rPr>
        <w:t xml:space="preserve"> shows the different types of caring relationships for </w:t>
      </w:r>
      <w:r w:rsidR="007E53FA" w:rsidRPr="00D52F35">
        <w:rPr>
          <w:rFonts w:asciiTheme="minorHAnsi" w:eastAsiaTheme="majorEastAsia" w:hAnsiTheme="minorHAnsi" w:cstheme="minorHAnsi"/>
          <w:color w:val="000000" w:themeColor="text1"/>
        </w:rPr>
        <w:t xml:space="preserve">people receiving </w:t>
      </w:r>
      <w:r w:rsidRPr="00D52F35">
        <w:rPr>
          <w:rFonts w:asciiTheme="minorHAnsi" w:eastAsiaTheme="majorEastAsia" w:hAnsiTheme="minorHAnsi" w:cstheme="minorHAnsi"/>
          <w:color w:val="000000" w:themeColor="text1"/>
        </w:rPr>
        <w:t xml:space="preserve">Carer Payment at different ages. Younger carers are often the child of the person they are caring for (48% of </w:t>
      </w:r>
      <w:r w:rsidR="007E53FA" w:rsidRPr="00D52F35">
        <w:rPr>
          <w:rFonts w:asciiTheme="minorHAnsi" w:eastAsiaTheme="majorEastAsia" w:hAnsiTheme="minorHAnsi" w:cstheme="minorHAnsi"/>
          <w:color w:val="000000" w:themeColor="text1"/>
        </w:rPr>
        <w:t>people receiving Carer Payment</w:t>
      </w:r>
      <w:r w:rsidRPr="00D52F35">
        <w:rPr>
          <w:rFonts w:asciiTheme="minorHAnsi" w:eastAsiaTheme="majorEastAsia" w:hAnsiTheme="minorHAnsi" w:cstheme="minorHAnsi"/>
          <w:color w:val="000000" w:themeColor="text1"/>
        </w:rPr>
        <w:t xml:space="preserve"> in their 20s). </w:t>
      </w:r>
      <w:r w:rsidR="007E53FA" w:rsidRPr="00D52F35">
        <w:rPr>
          <w:rFonts w:asciiTheme="minorHAnsi" w:eastAsiaTheme="majorEastAsia" w:hAnsiTheme="minorHAnsi" w:cstheme="minorHAnsi"/>
          <w:color w:val="000000" w:themeColor="text1"/>
        </w:rPr>
        <w:t>People receiving Carer Payment</w:t>
      </w:r>
      <w:r w:rsidRPr="00D52F35">
        <w:rPr>
          <w:rFonts w:asciiTheme="minorHAnsi" w:eastAsiaTheme="majorEastAsia" w:hAnsiTheme="minorHAnsi" w:cstheme="minorHAnsi"/>
          <w:color w:val="000000" w:themeColor="text1"/>
        </w:rPr>
        <w:t xml:space="preserve"> in their 30s and 40s tend to be the parent of the person they are caring for (45% of </w:t>
      </w:r>
      <w:r w:rsidR="007E53FA" w:rsidRPr="00D52F35">
        <w:rPr>
          <w:rFonts w:asciiTheme="minorHAnsi" w:eastAsiaTheme="majorEastAsia" w:hAnsiTheme="minorHAnsi" w:cstheme="minorHAnsi"/>
          <w:color w:val="000000" w:themeColor="text1"/>
        </w:rPr>
        <w:t xml:space="preserve">people receiving </w:t>
      </w:r>
      <w:r w:rsidRPr="00D52F35">
        <w:rPr>
          <w:rFonts w:asciiTheme="minorHAnsi" w:eastAsiaTheme="majorEastAsia" w:hAnsiTheme="minorHAnsi" w:cstheme="minorHAnsi"/>
          <w:color w:val="000000" w:themeColor="text1"/>
        </w:rPr>
        <w:t xml:space="preserve">Carer Payment in their 30s and 42% of people in their 40s). </w:t>
      </w:r>
      <w:r w:rsidR="007E53FA" w:rsidRPr="00D52F35">
        <w:rPr>
          <w:rFonts w:asciiTheme="minorHAnsi" w:eastAsiaTheme="majorEastAsia" w:hAnsiTheme="minorHAnsi" w:cstheme="minorHAnsi"/>
          <w:color w:val="000000" w:themeColor="text1"/>
        </w:rPr>
        <w:t>People receiving Carer Payment</w:t>
      </w:r>
      <w:r w:rsidRPr="00D52F35">
        <w:rPr>
          <w:rFonts w:asciiTheme="minorHAnsi" w:eastAsiaTheme="majorEastAsia" w:hAnsiTheme="minorHAnsi" w:cstheme="minorHAnsi"/>
          <w:color w:val="000000" w:themeColor="text1"/>
        </w:rPr>
        <w:t xml:space="preserve"> aged 50 or older tend to be the partner of the person they are caring for (34% of people in their 50s and 56% of people in their 60s).</w:t>
      </w:r>
    </w:p>
    <w:p w14:paraId="26E894AF" w14:textId="0BB390F9" w:rsidR="00EF5B7F" w:rsidRDefault="007855DD" w:rsidP="005E332C">
      <w:pPr>
        <w:pStyle w:val="FigureMainHeading"/>
      </w:pPr>
      <w:bookmarkStart w:id="90" w:name="_Ref153312464"/>
      <w:bookmarkStart w:id="91" w:name="_Ref150948301"/>
      <w:r>
        <w:t>Figure </w:t>
      </w:r>
      <w:r w:rsidR="00B80D45">
        <w:fldChar w:fldCharType="begin"/>
      </w:r>
      <w:r w:rsidR="00B80D45">
        <w:instrText xml:space="preserve"> STYLEREF 1 \s </w:instrText>
      </w:r>
      <w:r w:rsidR="00B80D45">
        <w:fldChar w:fldCharType="separate"/>
      </w:r>
      <w:r w:rsidR="00722C0A">
        <w:rPr>
          <w:noProof/>
        </w:rPr>
        <w:t>8</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3</w:t>
      </w:r>
      <w:r w:rsidR="00B80D45">
        <w:rPr>
          <w:noProof/>
        </w:rPr>
        <w:fldChar w:fldCharType="end"/>
      </w:r>
      <w:bookmarkEnd w:id="90"/>
      <w:bookmarkEnd w:id="91"/>
      <w:r w:rsidR="005E332C">
        <w:t>:</w:t>
      </w:r>
      <w:r w:rsidR="005E332C">
        <w:tab/>
      </w:r>
      <w:r w:rsidR="00C95BE9">
        <w:t>R</w:t>
      </w:r>
      <w:r w:rsidR="00C95BE9" w:rsidRPr="00A13641">
        <w:t xml:space="preserve">elationship of people receiving </w:t>
      </w:r>
      <w:r w:rsidR="00C40F42">
        <w:t>C</w:t>
      </w:r>
      <w:r w:rsidR="00C95BE9" w:rsidRPr="00A13641">
        <w:t xml:space="preserve">arer </w:t>
      </w:r>
      <w:r w:rsidR="00C40F42">
        <w:t>P</w:t>
      </w:r>
      <w:r w:rsidR="00C95BE9" w:rsidRPr="00A13641">
        <w:t>ayment to the person they are caring for at 30</w:t>
      </w:r>
      <w:r w:rsidR="00E46C6A">
        <w:t> June </w:t>
      </w:r>
      <w:r w:rsidR="00C95BE9" w:rsidRPr="00A13641">
        <w:t>2022</w:t>
      </w:r>
    </w:p>
    <w:p w14:paraId="45B3354B" w14:textId="3BAA97E0" w:rsidR="00F3440F" w:rsidRDefault="00F3440F" w:rsidP="00EF5B7F">
      <w:pPr>
        <w:pStyle w:val="ChartGraphic"/>
        <w:rPr>
          <w:rFonts w:eastAsiaTheme="majorEastAsia"/>
        </w:rPr>
      </w:pPr>
      <w:r>
        <w:rPr>
          <w:noProof/>
        </w:rPr>
        <w:drawing>
          <wp:inline distT="0" distB="0" distL="0" distR="0" wp14:anchorId="359A091B" wp14:editId="5EE3B9B7">
            <wp:extent cx="4319905" cy="3162300"/>
            <wp:effectExtent l="0" t="0" r="4445" b="0"/>
            <wp:docPr id="350" name="Chart 350" descr="This chart shows the relationships between the carer and caree as a proportion of the 20 year age bands.&#10;&#10;Carers below age 20 are mostly the child of the caree, as carers age towards middle age (40 to 49) a larger proportion are a parent of the caree, and as carers age towards elderly ages a larger proportion are the partner of the caree."/>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8656055" w14:textId="594DC4A4" w:rsidR="00B04FCE" w:rsidRDefault="00CE60FF" w:rsidP="00EF5B7F">
      <w:pPr>
        <w:pStyle w:val="Heading2notnumbered"/>
        <w:rPr>
          <w:rFonts w:eastAsiaTheme="majorEastAsia"/>
        </w:rPr>
      </w:pPr>
      <w:r>
        <w:rPr>
          <w:rFonts w:eastAsiaTheme="majorEastAsia"/>
        </w:rPr>
        <w:lastRenderedPageBreak/>
        <w:t xml:space="preserve">People on </w:t>
      </w:r>
      <w:r w:rsidR="00885544">
        <w:rPr>
          <w:rFonts w:eastAsiaTheme="majorEastAsia"/>
        </w:rPr>
        <w:t xml:space="preserve">Carer Payment </w:t>
      </w:r>
      <w:r>
        <w:rPr>
          <w:rFonts w:eastAsiaTheme="majorEastAsia"/>
        </w:rPr>
        <w:t>aged</w:t>
      </w:r>
      <w:r w:rsidR="00885544">
        <w:rPr>
          <w:rFonts w:eastAsiaTheme="majorEastAsia"/>
        </w:rPr>
        <w:t xml:space="preserve"> 20 and above have </w:t>
      </w:r>
      <w:r w:rsidR="009B26D3">
        <w:rPr>
          <w:rFonts w:eastAsiaTheme="majorEastAsia"/>
        </w:rPr>
        <w:t xml:space="preserve">received </w:t>
      </w:r>
      <w:r w:rsidR="00885544">
        <w:rPr>
          <w:rFonts w:eastAsiaTheme="majorEastAsia"/>
        </w:rPr>
        <w:t>income support for more than 4 of the previous 5</w:t>
      </w:r>
      <w:r w:rsidR="007855DD">
        <w:rPr>
          <w:rFonts w:eastAsiaTheme="majorEastAsia"/>
        </w:rPr>
        <w:t> year</w:t>
      </w:r>
      <w:r w:rsidR="00885544">
        <w:rPr>
          <w:rFonts w:eastAsiaTheme="majorEastAsia"/>
        </w:rPr>
        <w:t>s</w:t>
      </w:r>
      <w:r w:rsidR="003D7447">
        <w:rPr>
          <w:rFonts w:eastAsiaTheme="majorEastAsia"/>
        </w:rPr>
        <w:t xml:space="preserve"> </w:t>
      </w:r>
      <w:r w:rsidR="009B26D3">
        <w:rPr>
          <w:rFonts w:eastAsiaTheme="majorEastAsia"/>
        </w:rPr>
        <w:t>on average</w:t>
      </w:r>
      <w:r w:rsidR="00885544">
        <w:rPr>
          <w:rFonts w:eastAsiaTheme="majorEastAsia"/>
        </w:rPr>
        <w:t>.</w:t>
      </w:r>
    </w:p>
    <w:p w14:paraId="5A77F676" w14:textId="6A822920" w:rsidR="00B04FCE" w:rsidRDefault="00885544" w:rsidP="00F04D75">
      <w:pPr>
        <w:rPr>
          <w:rFonts w:asciiTheme="minorHAnsi" w:eastAsiaTheme="majorEastAsia" w:hAnsiTheme="minorHAnsi" w:cstheme="minorHAnsi"/>
          <w:color w:val="000000" w:themeColor="text1"/>
        </w:rPr>
      </w:pPr>
      <w:r w:rsidRPr="00D52F35">
        <w:rPr>
          <w:rFonts w:asciiTheme="minorHAnsi" w:eastAsiaTheme="majorEastAsia" w:hAnsiTheme="minorHAnsi" w:cstheme="minorHAnsi"/>
          <w:color w:val="000000" w:themeColor="text1"/>
        </w:rPr>
        <w:t xml:space="preserve">Past income support usage is a strong predictor </w:t>
      </w:r>
      <w:r w:rsidR="00CE60FF" w:rsidRPr="00D52F35">
        <w:rPr>
          <w:rFonts w:asciiTheme="minorHAnsi" w:eastAsiaTheme="majorEastAsia" w:hAnsiTheme="minorHAnsi" w:cstheme="minorHAnsi"/>
          <w:color w:val="000000" w:themeColor="text1"/>
        </w:rPr>
        <w:t xml:space="preserve">of </w:t>
      </w:r>
      <w:r w:rsidRPr="00D52F35">
        <w:rPr>
          <w:rFonts w:asciiTheme="minorHAnsi" w:eastAsiaTheme="majorEastAsia" w:hAnsiTheme="minorHAnsi" w:cstheme="minorHAnsi"/>
          <w:color w:val="000000" w:themeColor="text1"/>
        </w:rPr>
        <w:t xml:space="preserve">future income support use for </w:t>
      </w:r>
      <w:r w:rsidR="00CE60FF" w:rsidRPr="00D52F35">
        <w:rPr>
          <w:rFonts w:asciiTheme="minorHAnsi" w:eastAsiaTheme="majorEastAsia" w:hAnsiTheme="minorHAnsi" w:cstheme="minorHAnsi"/>
          <w:color w:val="000000" w:themeColor="text1"/>
        </w:rPr>
        <w:t xml:space="preserve">people receiving </w:t>
      </w:r>
      <w:r w:rsidRPr="00D52F35">
        <w:rPr>
          <w:rFonts w:asciiTheme="minorHAnsi" w:eastAsiaTheme="majorEastAsia" w:hAnsiTheme="minorHAnsi" w:cstheme="minorHAnsi"/>
          <w:color w:val="000000" w:themeColor="text1"/>
        </w:rPr>
        <w:t xml:space="preserve">Carer Payment. </w:t>
      </w:r>
      <w:r w:rsidR="00CE60FF" w:rsidRPr="00D52F35">
        <w:rPr>
          <w:rFonts w:asciiTheme="minorHAnsi" w:eastAsiaTheme="majorEastAsia" w:hAnsiTheme="minorHAnsi" w:cstheme="minorHAnsi"/>
          <w:color w:val="000000" w:themeColor="text1"/>
        </w:rPr>
        <w:t>People on Carer Payment in their 20s have received Carer Payment for 2.7</w:t>
      </w:r>
      <w:r w:rsidR="007855DD">
        <w:rPr>
          <w:rFonts w:asciiTheme="minorHAnsi" w:eastAsiaTheme="majorEastAsia" w:hAnsiTheme="minorHAnsi" w:cstheme="minorHAnsi"/>
          <w:color w:val="000000" w:themeColor="text1"/>
        </w:rPr>
        <w:t> year</w:t>
      </w:r>
      <w:r w:rsidR="00CE60FF" w:rsidRPr="00D52F35">
        <w:rPr>
          <w:rFonts w:asciiTheme="minorHAnsi" w:eastAsiaTheme="majorEastAsia" w:hAnsiTheme="minorHAnsi" w:cstheme="minorHAnsi"/>
          <w:color w:val="000000" w:themeColor="text1"/>
        </w:rPr>
        <w:t>s on average compared to 3.9</w:t>
      </w:r>
      <w:r w:rsidR="007855DD">
        <w:rPr>
          <w:rFonts w:asciiTheme="minorHAnsi" w:eastAsiaTheme="majorEastAsia" w:hAnsiTheme="minorHAnsi" w:cstheme="minorHAnsi"/>
          <w:color w:val="000000" w:themeColor="text1"/>
        </w:rPr>
        <w:t> year</w:t>
      </w:r>
      <w:r w:rsidR="00CE60FF" w:rsidRPr="00D52F35">
        <w:rPr>
          <w:rFonts w:asciiTheme="minorHAnsi" w:eastAsiaTheme="majorEastAsia" w:hAnsiTheme="minorHAnsi" w:cstheme="minorHAnsi"/>
          <w:color w:val="000000" w:themeColor="text1"/>
        </w:rPr>
        <w:t>s for those in their 60s. Older groups have potentially been caring for a longer period of time</w:t>
      </w:r>
      <w:r w:rsidR="00E13F18" w:rsidRPr="00D52F35">
        <w:rPr>
          <w:rFonts w:asciiTheme="minorHAnsi" w:eastAsiaTheme="majorEastAsia" w:hAnsiTheme="minorHAnsi" w:cstheme="minorHAnsi"/>
          <w:color w:val="000000" w:themeColor="text1"/>
        </w:rPr>
        <w:t xml:space="preserve"> (</w:t>
      </w:r>
      <w:r w:rsidR="00E13F18" w:rsidRPr="00D52F35">
        <w:rPr>
          <w:rFonts w:asciiTheme="minorHAnsi" w:eastAsiaTheme="majorEastAsia" w:hAnsiTheme="minorHAnsi" w:cstheme="minorHAnsi"/>
          <w:color w:val="000000" w:themeColor="text1"/>
        </w:rPr>
        <w:fldChar w:fldCharType="begin"/>
      </w:r>
      <w:r w:rsidR="00E13F18" w:rsidRPr="00D52F35">
        <w:rPr>
          <w:rFonts w:asciiTheme="minorHAnsi" w:eastAsiaTheme="majorEastAsia" w:hAnsiTheme="minorHAnsi" w:cstheme="minorHAnsi"/>
          <w:color w:val="000000" w:themeColor="text1"/>
        </w:rPr>
        <w:instrText xml:space="preserve"> REF _Ref153316935 \h  \* MERGEFORMAT </w:instrText>
      </w:r>
      <w:r w:rsidR="00E13F18" w:rsidRPr="00D52F35">
        <w:rPr>
          <w:rFonts w:asciiTheme="minorHAnsi" w:eastAsiaTheme="majorEastAsia" w:hAnsiTheme="minorHAnsi" w:cstheme="minorHAnsi"/>
          <w:color w:val="000000" w:themeColor="text1"/>
        </w:rPr>
      </w:r>
      <w:r w:rsidR="00E13F18" w:rsidRPr="00D52F35">
        <w:rPr>
          <w:rFonts w:asciiTheme="minorHAnsi" w:eastAsiaTheme="majorEastAsia" w:hAnsiTheme="minorHAnsi" w:cstheme="minorHAnsi"/>
          <w:color w:val="000000" w:themeColor="text1"/>
        </w:rPr>
        <w:fldChar w:fldCharType="separate"/>
      </w:r>
      <w:r w:rsidR="00722C0A" w:rsidRPr="00722C0A">
        <w:rPr>
          <w:rFonts w:asciiTheme="minorHAnsi" w:eastAsiaTheme="majorEastAsia" w:hAnsiTheme="minorHAnsi" w:cstheme="minorHAnsi"/>
          <w:color w:val="000000" w:themeColor="text1"/>
        </w:rPr>
        <w:t>Figure 8.4</w:t>
      </w:r>
      <w:r w:rsidR="00E13F18" w:rsidRPr="00D52F35">
        <w:rPr>
          <w:rFonts w:asciiTheme="minorHAnsi" w:eastAsiaTheme="majorEastAsia" w:hAnsiTheme="minorHAnsi" w:cstheme="minorHAnsi"/>
          <w:color w:val="000000" w:themeColor="text1"/>
        </w:rPr>
        <w:fldChar w:fldCharType="end"/>
      </w:r>
      <w:r w:rsidR="00E13F18" w:rsidRPr="00D52F35">
        <w:rPr>
          <w:rFonts w:asciiTheme="minorHAnsi" w:eastAsiaTheme="majorEastAsia" w:hAnsiTheme="minorHAnsi" w:cstheme="minorHAnsi"/>
          <w:color w:val="000000" w:themeColor="text1"/>
        </w:rPr>
        <w:t>)</w:t>
      </w:r>
      <w:r w:rsidR="00CE60FF" w:rsidRPr="00D52F35">
        <w:rPr>
          <w:rFonts w:asciiTheme="minorHAnsi" w:eastAsiaTheme="majorEastAsia" w:hAnsiTheme="minorHAnsi" w:cstheme="minorHAnsi"/>
          <w:color w:val="000000" w:themeColor="text1"/>
        </w:rPr>
        <w:t>.</w:t>
      </w:r>
    </w:p>
    <w:p w14:paraId="0FB2B1F3" w14:textId="76ABA7EB" w:rsidR="00EF5B7F" w:rsidRDefault="007855DD" w:rsidP="005E332C">
      <w:pPr>
        <w:pStyle w:val="FigureMainHeading"/>
      </w:pPr>
      <w:bookmarkStart w:id="92" w:name="_Ref153316935"/>
      <w:r>
        <w:t>Figure </w:t>
      </w:r>
      <w:r w:rsidR="00B80D45">
        <w:fldChar w:fldCharType="begin"/>
      </w:r>
      <w:r w:rsidR="00B80D45">
        <w:instrText xml:space="preserve"> STYLEREF 1 \s </w:instrText>
      </w:r>
      <w:r w:rsidR="00B80D45">
        <w:fldChar w:fldCharType="separate"/>
      </w:r>
      <w:r w:rsidR="00722C0A">
        <w:rPr>
          <w:noProof/>
        </w:rPr>
        <w:t>8</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4</w:t>
      </w:r>
      <w:r w:rsidR="00B80D45">
        <w:rPr>
          <w:noProof/>
        </w:rPr>
        <w:fldChar w:fldCharType="end"/>
      </w:r>
      <w:bookmarkEnd w:id="92"/>
      <w:r w:rsidR="005E332C">
        <w:t>:</w:t>
      </w:r>
      <w:r w:rsidR="005E332C">
        <w:tab/>
      </w:r>
      <w:r w:rsidR="00C95BE9">
        <w:t>A</w:t>
      </w:r>
      <w:r w:rsidR="00B02EBF" w:rsidRPr="00A13641">
        <w:t xml:space="preserve">verage </w:t>
      </w:r>
      <w:r w:rsidR="00C95BE9" w:rsidRPr="00A13641">
        <w:t>time on income support over the previous 5</w:t>
      </w:r>
      <w:r>
        <w:t> year</w:t>
      </w:r>
      <w:r w:rsidR="00C95BE9" w:rsidRPr="00A13641">
        <w:t xml:space="preserve">s for people receiving </w:t>
      </w:r>
      <w:r w:rsidR="00B75B27">
        <w:t>C</w:t>
      </w:r>
      <w:r w:rsidR="00C95BE9" w:rsidRPr="00A13641">
        <w:t xml:space="preserve">arer </w:t>
      </w:r>
      <w:r w:rsidR="00B75B27">
        <w:t>P</w:t>
      </w:r>
      <w:r w:rsidR="00C95BE9" w:rsidRPr="00A13641">
        <w:t>ayment at 30</w:t>
      </w:r>
      <w:r w:rsidR="00E46C6A">
        <w:t> June </w:t>
      </w:r>
      <w:r w:rsidR="00C95BE9" w:rsidRPr="00A13641">
        <w:t>2022</w:t>
      </w:r>
    </w:p>
    <w:p w14:paraId="3F12721C" w14:textId="54D64CB3" w:rsidR="005B6EB2" w:rsidRPr="00850BA1" w:rsidRDefault="00423CDB" w:rsidP="00EF5B7F">
      <w:pPr>
        <w:pStyle w:val="ChartGraphic"/>
      </w:pPr>
      <w:r>
        <w:rPr>
          <w:noProof/>
        </w:rPr>
        <w:drawing>
          <wp:inline distT="0" distB="0" distL="0" distR="0" wp14:anchorId="773008D0" wp14:editId="6EFF82CB">
            <wp:extent cx="4400550" cy="2606419"/>
            <wp:effectExtent l="0" t="0" r="0" b="3810"/>
            <wp:docPr id="15" name="Chart 15" descr="This chart shows the average time receiving income support for people receiving Carer Payment, over the previous 5 years, split by those aged:&#10;&#10;- Below 20: 1.3 years&#10;- 20 to 29: 4 years&#10;- 30 to 39: 4.3 years&#10;- 40 to 49: 4.3 years&#10;- 50 to 59: 4.2 years&#10;- 60 to 69: 4.2 years&#10;&#10;People in older age groups have been caring for a longer time on average than younger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DC332F0" w14:textId="7688D6D2" w:rsidR="00B04FCE" w:rsidRDefault="00850BA1" w:rsidP="00C53C90">
      <w:pPr>
        <w:pStyle w:val="Heading2notnumbered"/>
        <w:rPr>
          <w:rFonts w:eastAsiaTheme="majorEastAsia"/>
        </w:rPr>
      </w:pPr>
      <w:r>
        <w:rPr>
          <w:rFonts w:eastAsiaTheme="majorEastAsia"/>
        </w:rPr>
        <w:br w:type="column"/>
      </w:r>
      <w:r w:rsidR="000C4E70">
        <w:rPr>
          <w:rFonts w:eastAsiaTheme="majorEastAsia"/>
        </w:rPr>
        <w:t>Over the next 5</w:t>
      </w:r>
      <w:r w:rsidR="007855DD">
        <w:rPr>
          <w:rFonts w:eastAsiaTheme="majorEastAsia"/>
        </w:rPr>
        <w:t> year</w:t>
      </w:r>
      <w:r w:rsidR="000C4E70">
        <w:rPr>
          <w:rFonts w:eastAsiaTheme="majorEastAsia"/>
        </w:rPr>
        <w:t>s, o</w:t>
      </w:r>
      <w:r w:rsidR="001F0787">
        <w:rPr>
          <w:rFonts w:eastAsiaTheme="majorEastAsia"/>
        </w:rPr>
        <w:t xml:space="preserve">lder carers are projected to </w:t>
      </w:r>
      <w:r w:rsidR="00F92C3A">
        <w:rPr>
          <w:rFonts w:eastAsiaTheme="majorEastAsia"/>
        </w:rPr>
        <w:t>spend</w:t>
      </w:r>
      <w:r w:rsidR="001F0787">
        <w:rPr>
          <w:rFonts w:eastAsiaTheme="majorEastAsia"/>
        </w:rPr>
        <w:t xml:space="preserve"> more time receiving income support than younger carers</w:t>
      </w:r>
      <w:r w:rsidR="00444DA4">
        <w:rPr>
          <w:rFonts w:eastAsiaTheme="majorEastAsia"/>
        </w:rPr>
        <w:t>.</w:t>
      </w:r>
    </w:p>
    <w:p w14:paraId="0619EEE7" w14:textId="7C6F8327" w:rsidR="00D26AC9" w:rsidRPr="007D75BE" w:rsidRDefault="00EC2191" w:rsidP="00D52F35">
      <w:r w:rsidRPr="007D75BE">
        <w:rPr>
          <w:rFonts w:asciiTheme="minorHAnsi" w:eastAsiaTheme="majorEastAsia" w:hAnsiTheme="minorHAnsi" w:cstheme="minorHAnsi"/>
          <w:color w:val="000000" w:themeColor="text1"/>
        </w:rPr>
        <w:t xml:space="preserve">Older people receiving </w:t>
      </w:r>
      <w:r w:rsidRPr="007D75BE">
        <w:rPr>
          <w:rFonts w:asciiTheme="minorHAnsi" w:eastAsiaTheme="majorEastAsia" w:hAnsiTheme="minorHAnsi" w:cstheme="minorHAnsi"/>
          <w:bCs/>
          <w:caps/>
          <w:color w:val="000000" w:themeColor="text1"/>
        </w:rPr>
        <w:t>C</w:t>
      </w:r>
      <w:r w:rsidRPr="007D75BE">
        <w:rPr>
          <w:rFonts w:asciiTheme="minorHAnsi" w:eastAsiaTheme="majorEastAsia" w:hAnsiTheme="minorHAnsi" w:cstheme="minorHAnsi"/>
          <w:color w:val="000000" w:themeColor="text1"/>
        </w:rPr>
        <w:t xml:space="preserve">arer </w:t>
      </w:r>
      <w:r w:rsidRPr="007D75BE">
        <w:rPr>
          <w:rFonts w:asciiTheme="minorHAnsi" w:eastAsiaTheme="majorEastAsia" w:hAnsiTheme="minorHAnsi" w:cstheme="minorHAnsi"/>
          <w:bCs/>
          <w:caps/>
          <w:color w:val="000000" w:themeColor="text1"/>
        </w:rPr>
        <w:t>P</w:t>
      </w:r>
      <w:r w:rsidRPr="007D75BE">
        <w:rPr>
          <w:rFonts w:asciiTheme="minorHAnsi" w:eastAsiaTheme="majorEastAsia" w:hAnsiTheme="minorHAnsi" w:cstheme="minorHAnsi"/>
          <w:color w:val="000000" w:themeColor="text1"/>
        </w:rPr>
        <w:t>ayment generally remain on the payment longer, and are more likely to use other forms of income support in the future. Those aged in their 50s are projected to spend 4.5 of the next 5</w:t>
      </w:r>
      <w:r w:rsidR="007855DD">
        <w:rPr>
          <w:rFonts w:asciiTheme="minorHAnsi" w:eastAsiaTheme="majorEastAsia" w:hAnsiTheme="minorHAnsi" w:cstheme="minorHAnsi"/>
          <w:color w:val="000000" w:themeColor="text1"/>
        </w:rPr>
        <w:t> year</w:t>
      </w:r>
      <w:r w:rsidRPr="007D75BE">
        <w:rPr>
          <w:rFonts w:asciiTheme="minorHAnsi" w:eastAsiaTheme="majorEastAsia" w:hAnsiTheme="minorHAnsi" w:cstheme="minorHAnsi"/>
          <w:color w:val="000000" w:themeColor="text1"/>
        </w:rPr>
        <w:t xml:space="preserve">s receiving income support, </w:t>
      </w:r>
      <w:r w:rsidR="007D75BE" w:rsidRPr="007D75BE">
        <w:rPr>
          <w:rFonts w:asciiTheme="minorHAnsi" w:eastAsiaTheme="majorEastAsia" w:hAnsiTheme="minorHAnsi" w:cstheme="minorHAnsi"/>
          <w:bCs/>
          <w:color w:val="000000" w:themeColor="text1"/>
        </w:rPr>
        <w:t>whereas those aged under 20 are projected to receive income support for 3.6</w:t>
      </w:r>
      <w:r w:rsidR="007855DD">
        <w:rPr>
          <w:rFonts w:asciiTheme="minorHAnsi" w:eastAsiaTheme="majorEastAsia" w:hAnsiTheme="minorHAnsi" w:cstheme="minorHAnsi"/>
          <w:bCs/>
          <w:color w:val="000000" w:themeColor="text1"/>
        </w:rPr>
        <w:t> year</w:t>
      </w:r>
      <w:r w:rsidR="007D75BE" w:rsidRPr="007D75BE">
        <w:rPr>
          <w:rFonts w:asciiTheme="minorHAnsi" w:eastAsiaTheme="majorEastAsia" w:hAnsiTheme="minorHAnsi" w:cstheme="minorHAnsi"/>
          <w:bCs/>
          <w:color w:val="000000" w:themeColor="text1"/>
        </w:rPr>
        <w:t>s (</w:t>
      </w:r>
      <w:r w:rsidR="00E13F18" w:rsidRPr="007D75BE">
        <w:rPr>
          <w:rFonts w:asciiTheme="minorHAnsi" w:eastAsiaTheme="majorEastAsia" w:hAnsiTheme="minorHAnsi" w:cstheme="minorHAnsi"/>
          <w:color w:val="000000" w:themeColor="text1"/>
        </w:rPr>
        <w:fldChar w:fldCharType="begin"/>
      </w:r>
      <w:r w:rsidR="00E13F18" w:rsidRPr="007D75BE">
        <w:rPr>
          <w:rFonts w:asciiTheme="minorHAnsi" w:eastAsiaTheme="majorEastAsia" w:hAnsiTheme="minorHAnsi" w:cstheme="minorHAnsi"/>
          <w:bCs/>
          <w:color w:val="000000" w:themeColor="text1"/>
        </w:rPr>
        <w:instrText xml:space="preserve"> REF _Ref153317033 \h  \* MERGEFORMAT </w:instrText>
      </w:r>
      <w:r w:rsidR="00E13F18" w:rsidRPr="007D75BE">
        <w:rPr>
          <w:rFonts w:asciiTheme="minorHAnsi" w:eastAsiaTheme="majorEastAsia" w:hAnsiTheme="minorHAnsi" w:cstheme="minorHAnsi"/>
          <w:color w:val="000000" w:themeColor="text1"/>
        </w:rPr>
      </w:r>
      <w:r w:rsidR="00E13F18" w:rsidRPr="007D75BE">
        <w:rPr>
          <w:rFonts w:asciiTheme="minorHAnsi" w:eastAsiaTheme="majorEastAsia" w:hAnsiTheme="minorHAnsi" w:cstheme="minorHAnsi"/>
          <w:color w:val="000000" w:themeColor="text1"/>
        </w:rPr>
        <w:fldChar w:fldCharType="separate"/>
      </w:r>
      <w:r w:rsidR="00722C0A" w:rsidRPr="00722C0A">
        <w:rPr>
          <w:rFonts w:asciiTheme="minorHAnsi" w:eastAsiaTheme="majorEastAsia" w:hAnsiTheme="minorHAnsi" w:cstheme="minorHAnsi"/>
          <w:bCs/>
          <w:color w:val="000000" w:themeColor="text1"/>
        </w:rPr>
        <w:t>Figure 8.5</w:t>
      </w:r>
      <w:r w:rsidR="00E13F18" w:rsidRPr="007D75BE">
        <w:rPr>
          <w:rFonts w:asciiTheme="minorHAnsi" w:eastAsiaTheme="majorEastAsia" w:hAnsiTheme="minorHAnsi" w:cstheme="minorHAnsi"/>
          <w:color w:val="000000" w:themeColor="text1"/>
        </w:rPr>
        <w:fldChar w:fldCharType="end"/>
      </w:r>
      <w:r w:rsidR="00ED76A4" w:rsidRPr="007D75BE">
        <w:rPr>
          <w:rFonts w:asciiTheme="minorHAnsi" w:eastAsiaTheme="majorEastAsia" w:hAnsiTheme="minorHAnsi" w:cstheme="minorHAnsi"/>
          <w:caps/>
          <w:color w:val="000000" w:themeColor="text1"/>
        </w:rPr>
        <w:t>).</w:t>
      </w:r>
    </w:p>
    <w:p w14:paraId="20BF9B56" w14:textId="4A4DCBE5" w:rsidR="00EF5B7F" w:rsidRDefault="007855DD" w:rsidP="005E332C">
      <w:pPr>
        <w:pStyle w:val="FigureMainHeading"/>
      </w:pPr>
      <w:bookmarkStart w:id="93" w:name="_Ref153317033"/>
      <w:bookmarkStart w:id="94" w:name="_Ref153313412"/>
      <w:r>
        <w:t>Figure </w:t>
      </w:r>
      <w:r w:rsidR="00B80D45">
        <w:fldChar w:fldCharType="begin"/>
      </w:r>
      <w:r w:rsidR="00B80D45">
        <w:instrText xml:space="preserve"> STYLEREF 1 \s </w:instrText>
      </w:r>
      <w:r w:rsidR="00B80D45">
        <w:fldChar w:fldCharType="separate"/>
      </w:r>
      <w:r w:rsidR="00722C0A">
        <w:rPr>
          <w:noProof/>
        </w:rPr>
        <w:t>8</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5</w:t>
      </w:r>
      <w:r w:rsidR="00B80D45">
        <w:rPr>
          <w:noProof/>
        </w:rPr>
        <w:fldChar w:fldCharType="end"/>
      </w:r>
      <w:bookmarkEnd w:id="93"/>
      <w:r w:rsidR="005E332C">
        <w:t>:</w:t>
      </w:r>
      <w:r w:rsidR="005E332C">
        <w:tab/>
      </w:r>
      <w:r w:rsidR="00C95BE9">
        <w:t>A</w:t>
      </w:r>
      <w:r w:rsidR="00293B09" w:rsidRPr="00A13641">
        <w:t xml:space="preserve">verage </w:t>
      </w:r>
      <w:r w:rsidR="00C95BE9" w:rsidRPr="00A13641">
        <w:t>projected time on income support over the next 5</w:t>
      </w:r>
      <w:r>
        <w:t> year</w:t>
      </w:r>
      <w:r w:rsidR="00C95BE9" w:rsidRPr="00A13641">
        <w:t xml:space="preserve">s for people receiving </w:t>
      </w:r>
      <w:r w:rsidR="00B75B27">
        <w:t>C</w:t>
      </w:r>
      <w:r w:rsidR="00C95BE9" w:rsidRPr="00A13641">
        <w:t xml:space="preserve">arer </w:t>
      </w:r>
      <w:r w:rsidR="00B75B27">
        <w:t>P</w:t>
      </w:r>
      <w:r w:rsidR="00C95BE9" w:rsidRPr="00A13641">
        <w:t>ayment at 30</w:t>
      </w:r>
      <w:r w:rsidR="00E46C6A">
        <w:t> June </w:t>
      </w:r>
      <w:r w:rsidR="00C95BE9" w:rsidRPr="00A13641">
        <w:t>2022</w:t>
      </w:r>
    </w:p>
    <w:p w14:paraId="662C977F" w14:textId="162EFC55" w:rsidR="00293B09" w:rsidRDefault="00DD7E80" w:rsidP="00EF5B7F">
      <w:pPr>
        <w:pStyle w:val="ChartGraphic"/>
      </w:pPr>
      <w:r>
        <w:rPr>
          <w:noProof/>
        </w:rPr>
        <w:drawing>
          <wp:inline distT="0" distB="0" distL="0" distR="0" wp14:anchorId="30C28169" wp14:editId="5D9AA566">
            <wp:extent cx="4418719" cy="2816860"/>
            <wp:effectExtent l="0" t="0" r="1270" b="2540"/>
            <wp:docPr id="298" name="Chart 298" descr="This chart shows the average projected time receiving income support for people receiving Carer Payment, over the next 5 years, split by those aged:&#10;&#10;- Below 20: 3.6 years&#10;- 20 to 29: 3.9 years&#10;- 30 to 39: 4.3 years&#10;- 40 to 49: 4.4 years&#10;- 50 to 59: 4.5 years&#10;- 60 to 69: 4.6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bookmarkEnd w:id="94"/>
    <w:p w14:paraId="5C9A7C3B" w14:textId="77777777" w:rsidR="00B04FCE" w:rsidRDefault="00B02EBF" w:rsidP="00EF5B7F">
      <w:pPr>
        <w:pStyle w:val="Heading2notnumbered"/>
        <w:rPr>
          <w:rFonts w:eastAsiaTheme="majorEastAsia"/>
        </w:rPr>
      </w:pPr>
      <w:r>
        <w:rPr>
          <w:rFonts w:eastAsiaTheme="majorEastAsia"/>
          <w:bCs/>
        </w:rPr>
        <w:lastRenderedPageBreak/>
        <w:t xml:space="preserve">People </w:t>
      </w:r>
      <w:r w:rsidRPr="00A43ADC">
        <w:rPr>
          <w:rFonts w:eastAsiaTheme="majorEastAsia"/>
          <w:bCs/>
        </w:rPr>
        <w:t>receiving Carer Payment</w:t>
      </w:r>
      <w:r>
        <w:rPr>
          <w:rFonts w:eastAsiaTheme="majorEastAsia"/>
          <w:bCs/>
        </w:rPr>
        <w:t xml:space="preserve"> aged</w:t>
      </w:r>
      <w:r w:rsidR="00402C85" w:rsidRPr="00660E0C">
        <w:rPr>
          <w:rFonts w:eastAsiaTheme="majorEastAsia"/>
        </w:rPr>
        <w:t xml:space="preserve"> </w:t>
      </w:r>
      <w:r w:rsidR="00402C85" w:rsidRPr="004C6018">
        <w:rPr>
          <w:rFonts w:eastAsiaTheme="majorEastAsia"/>
        </w:rPr>
        <w:t xml:space="preserve">in their 30s are projected to have the highest lifetime cost. </w:t>
      </w:r>
      <w:r>
        <w:rPr>
          <w:rFonts w:eastAsiaTheme="majorEastAsia"/>
          <w:bCs/>
        </w:rPr>
        <w:t>They</w:t>
      </w:r>
      <w:r w:rsidR="002D2FD9" w:rsidRPr="00660E0C">
        <w:rPr>
          <w:rFonts w:eastAsiaTheme="majorEastAsia"/>
        </w:rPr>
        <w:t xml:space="preserve"> </w:t>
      </w:r>
      <w:r w:rsidR="00CB4A1E" w:rsidRPr="004C6018">
        <w:rPr>
          <w:rFonts w:eastAsiaTheme="majorEastAsia"/>
        </w:rPr>
        <w:t>are</w:t>
      </w:r>
      <w:r>
        <w:rPr>
          <w:rFonts w:eastAsiaTheme="majorEastAsia"/>
          <w:bCs/>
        </w:rPr>
        <w:t xml:space="preserve"> also</w:t>
      </w:r>
      <w:r w:rsidR="00CB4A1E" w:rsidRPr="00660E0C">
        <w:rPr>
          <w:rFonts w:eastAsiaTheme="majorEastAsia"/>
        </w:rPr>
        <w:t xml:space="preserve"> projected to have a higher </w:t>
      </w:r>
      <w:r w:rsidR="0096174A" w:rsidRPr="004C6018">
        <w:rPr>
          <w:rFonts w:eastAsiaTheme="majorEastAsia"/>
        </w:rPr>
        <w:t>l</w:t>
      </w:r>
      <w:r w:rsidR="00CB4A1E" w:rsidRPr="001A289A">
        <w:rPr>
          <w:rFonts w:eastAsiaTheme="majorEastAsia"/>
        </w:rPr>
        <w:t xml:space="preserve">ifetime </w:t>
      </w:r>
      <w:r w:rsidR="0096174A" w:rsidRPr="00F77FF4">
        <w:rPr>
          <w:rFonts w:eastAsiaTheme="majorEastAsia"/>
        </w:rPr>
        <w:t>c</w:t>
      </w:r>
      <w:r w:rsidR="00CB4A1E" w:rsidRPr="00347944">
        <w:rPr>
          <w:rFonts w:eastAsiaTheme="majorEastAsia"/>
        </w:rPr>
        <w:t xml:space="preserve">ost than those who </w:t>
      </w:r>
      <w:r w:rsidR="00CB4A1E" w:rsidRPr="001F30B9">
        <w:rPr>
          <w:rFonts w:eastAsiaTheme="majorEastAsia"/>
        </w:rPr>
        <w:t>received</w:t>
      </w:r>
      <w:r>
        <w:rPr>
          <w:rFonts w:eastAsiaTheme="majorEastAsia"/>
          <w:bCs/>
        </w:rPr>
        <w:t xml:space="preserve"> only</w:t>
      </w:r>
      <w:r w:rsidR="00CB4A1E" w:rsidRPr="00660E0C">
        <w:rPr>
          <w:rFonts w:eastAsiaTheme="majorEastAsia"/>
        </w:rPr>
        <w:t xml:space="preserve"> </w:t>
      </w:r>
      <w:r w:rsidR="002D2FD9" w:rsidRPr="004C6018">
        <w:rPr>
          <w:rFonts w:eastAsiaTheme="majorEastAsia"/>
        </w:rPr>
        <w:t xml:space="preserve">a </w:t>
      </w:r>
      <w:r w:rsidR="00534C95" w:rsidRPr="001A289A">
        <w:rPr>
          <w:rFonts w:eastAsiaTheme="majorEastAsia"/>
        </w:rPr>
        <w:t>supplementary carer payment</w:t>
      </w:r>
      <w:r w:rsidR="00CB4A1E" w:rsidRPr="00743E3C">
        <w:rPr>
          <w:rFonts w:eastAsiaTheme="majorEastAsia"/>
        </w:rPr>
        <w:t>.</w:t>
      </w:r>
    </w:p>
    <w:p w14:paraId="09867FE3" w14:textId="3FAD7C9F" w:rsidR="00B04FCE" w:rsidRDefault="00B02EBF" w:rsidP="007D75BE">
      <w:pPr>
        <w:rPr>
          <w:rFonts w:asciiTheme="minorHAnsi" w:eastAsiaTheme="majorEastAsia" w:hAnsiTheme="minorHAnsi" w:cstheme="minorHAnsi"/>
          <w:bCs/>
          <w:color w:val="000000" w:themeColor="text1"/>
        </w:rPr>
      </w:pPr>
      <w:r>
        <w:rPr>
          <w:rFonts w:asciiTheme="minorHAnsi" w:eastAsiaTheme="majorEastAsia" w:hAnsiTheme="minorHAnsi" w:cstheme="minorHAnsi"/>
          <w:bCs/>
          <w:color w:val="000000" w:themeColor="text1"/>
        </w:rPr>
        <w:t xml:space="preserve">Of all age groups, people in their 30s receiving </w:t>
      </w:r>
      <w:r w:rsidR="00B078C6">
        <w:rPr>
          <w:rFonts w:asciiTheme="minorHAnsi" w:eastAsiaTheme="majorEastAsia" w:hAnsiTheme="minorHAnsi" w:cstheme="minorHAnsi"/>
          <w:bCs/>
          <w:color w:val="000000" w:themeColor="text1"/>
        </w:rPr>
        <w:t xml:space="preserve">Carer Payment </w:t>
      </w:r>
      <w:r>
        <w:rPr>
          <w:rFonts w:asciiTheme="minorHAnsi" w:eastAsiaTheme="majorEastAsia" w:hAnsiTheme="minorHAnsi" w:cstheme="minorHAnsi"/>
          <w:bCs/>
          <w:color w:val="000000" w:themeColor="text1"/>
        </w:rPr>
        <w:t>hav</w:t>
      </w:r>
      <w:r w:rsidR="00B078C6">
        <w:rPr>
          <w:rFonts w:asciiTheme="minorHAnsi" w:eastAsiaTheme="majorEastAsia" w:hAnsiTheme="minorHAnsi" w:cstheme="minorHAnsi"/>
          <w:bCs/>
          <w:color w:val="000000" w:themeColor="text1"/>
        </w:rPr>
        <w:t xml:space="preserve">e </w:t>
      </w:r>
      <w:r>
        <w:rPr>
          <w:rFonts w:asciiTheme="minorHAnsi" w:eastAsiaTheme="majorEastAsia" w:hAnsiTheme="minorHAnsi" w:cstheme="minorHAnsi"/>
          <w:bCs/>
          <w:color w:val="000000" w:themeColor="text1"/>
        </w:rPr>
        <w:t xml:space="preserve">the </w:t>
      </w:r>
      <w:r w:rsidR="00B078C6">
        <w:rPr>
          <w:rFonts w:asciiTheme="minorHAnsi" w:eastAsiaTheme="majorEastAsia" w:hAnsiTheme="minorHAnsi" w:cstheme="minorHAnsi"/>
          <w:bCs/>
          <w:color w:val="000000" w:themeColor="text1"/>
        </w:rPr>
        <w:t>highest lifetime cost at $</w:t>
      </w:r>
      <w:r w:rsidR="00CC682F">
        <w:rPr>
          <w:rFonts w:asciiTheme="minorHAnsi" w:eastAsiaTheme="majorEastAsia" w:hAnsiTheme="minorHAnsi" w:cstheme="minorHAnsi"/>
          <w:bCs/>
          <w:color w:val="000000" w:themeColor="text1"/>
        </w:rPr>
        <w:t>808</w:t>
      </w:r>
      <w:r w:rsidR="00B078C6">
        <w:rPr>
          <w:rFonts w:asciiTheme="minorHAnsi" w:eastAsiaTheme="majorEastAsia" w:hAnsiTheme="minorHAnsi" w:cstheme="minorHAnsi"/>
          <w:bCs/>
          <w:color w:val="000000" w:themeColor="text1"/>
        </w:rPr>
        <w:t>,000</w:t>
      </w:r>
      <w:r w:rsidR="00BD7C65">
        <w:rPr>
          <w:rFonts w:asciiTheme="minorHAnsi" w:eastAsiaTheme="majorEastAsia" w:hAnsiTheme="minorHAnsi" w:cstheme="minorHAnsi"/>
          <w:bCs/>
          <w:color w:val="000000" w:themeColor="text1"/>
        </w:rPr>
        <w:t xml:space="preserve"> (</w:t>
      </w:r>
      <w:r w:rsidR="00BD7C65">
        <w:rPr>
          <w:rFonts w:asciiTheme="minorHAnsi" w:eastAsiaTheme="majorEastAsia" w:hAnsiTheme="minorHAnsi" w:cstheme="minorHAnsi"/>
          <w:bCs/>
          <w:color w:val="000000" w:themeColor="text1"/>
        </w:rPr>
        <w:fldChar w:fldCharType="begin"/>
      </w:r>
      <w:r w:rsidR="00BD7C65">
        <w:rPr>
          <w:rFonts w:asciiTheme="minorHAnsi" w:eastAsiaTheme="majorEastAsia" w:hAnsiTheme="minorHAnsi" w:cstheme="minorHAnsi"/>
          <w:bCs/>
          <w:color w:val="000000" w:themeColor="text1"/>
        </w:rPr>
        <w:instrText xml:space="preserve"> REF _Ref153315358 \h  \* MERGEFORMAT </w:instrText>
      </w:r>
      <w:r w:rsidR="00BD7C65">
        <w:rPr>
          <w:rFonts w:asciiTheme="minorHAnsi" w:eastAsiaTheme="majorEastAsia" w:hAnsiTheme="minorHAnsi" w:cstheme="minorHAnsi"/>
          <w:bCs/>
          <w:color w:val="000000" w:themeColor="text1"/>
        </w:rPr>
      </w:r>
      <w:r w:rsidR="00BD7C65">
        <w:rPr>
          <w:rFonts w:asciiTheme="minorHAnsi" w:eastAsiaTheme="majorEastAsia" w:hAnsiTheme="minorHAnsi" w:cstheme="minorHAnsi"/>
          <w:bCs/>
          <w:color w:val="000000" w:themeColor="text1"/>
        </w:rPr>
        <w:fldChar w:fldCharType="separate"/>
      </w:r>
      <w:r w:rsidR="00722C0A" w:rsidRPr="00722C0A">
        <w:rPr>
          <w:rFonts w:asciiTheme="minorHAnsi" w:eastAsiaTheme="majorEastAsia" w:hAnsiTheme="minorHAnsi" w:cstheme="minorHAnsi"/>
          <w:bCs/>
          <w:color w:val="000000" w:themeColor="text1"/>
        </w:rPr>
        <w:t>Figure 8.6</w:t>
      </w:r>
      <w:r w:rsidR="00BD7C65">
        <w:rPr>
          <w:rFonts w:asciiTheme="minorHAnsi" w:eastAsiaTheme="majorEastAsia" w:hAnsiTheme="minorHAnsi" w:cstheme="minorHAnsi"/>
          <w:bCs/>
          <w:color w:val="000000" w:themeColor="text1"/>
        </w:rPr>
        <w:fldChar w:fldCharType="end"/>
      </w:r>
      <w:r w:rsidR="00BD7C65">
        <w:rPr>
          <w:rFonts w:asciiTheme="minorHAnsi" w:eastAsiaTheme="majorEastAsia" w:hAnsiTheme="minorHAnsi" w:cstheme="minorHAnsi"/>
          <w:bCs/>
          <w:color w:val="000000" w:themeColor="text1"/>
        </w:rPr>
        <w:t>)</w:t>
      </w:r>
      <w:r w:rsidR="00B078C6">
        <w:rPr>
          <w:rFonts w:asciiTheme="minorHAnsi" w:eastAsiaTheme="majorEastAsia" w:hAnsiTheme="minorHAnsi" w:cstheme="minorHAnsi"/>
          <w:bCs/>
          <w:color w:val="000000" w:themeColor="text1"/>
        </w:rPr>
        <w:t>.</w:t>
      </w:r>
    </w:p>
    <w:p w14:paraId="715C1D6C" w14:textId="4D712ADF" w:rsidR="0096174A" w:rsidRDefault="00CD4FC6" w:rsidP="007D75BE">
      <w:pPr>
        <w:rPr>
          <w:rFonts w:asciiTheme="minorHAnsi" w:eastAsiaTheme="majorEastAsia" w:hAnsiTheme="minorHAnsi" w:cstheme="minorHAnsi"/>
          <w:bCs/>
          <w:color w:val="000000" w:themeColor="text1"/>
        </w:rPr>
      </w:pPr>
      <w:r>
        <w:rPr>
          <w:rFonts w:asciiTheme="minorHAnsi" w:eastAsiaTheme="majorEastAsia" w:hAnsiTheme="minorHAnsi" w:cstheme="minorHAnsi"/>
          <w:bCs/>
          <w:color w:val="000000" w:themeColor="text1"/>
        </w:rPr>
        <w:t xml:space="preserve">People on </w:t>
      </w:r>
      <w:r w:rsidR="0096174A">
        <w:rPr>
          <w:rFonts w:asciiTheme="minorHAnsi" w:eastAsiaTheme="majorEastAsia" w:hAnsiTheme="minorHAnsi" w:cstheme="minorHAnsi"/>
          <w:bCs/>
          <w:color w:val="000000" w:themeColor="text1"/>
        </w:rPr>
        <w:t xml:space="preserve">Carer Payment </w:t>
      </w:r>
      <w:r w:rsidR="00B02EBF">
        <w:rPr>
          <w:rFonts w:asciiTheme="minorHAnsi" w:eastAsiaTheme="majorEastAsia" w:hAnsiTheme="minorHAnsi" w:cstheme="minorHAnsi"/>
          <w:bCs/>
          <w:color w:val="000000" w:themeColor="text1"/>
        </w:rPr>
        <w:t xml:space="preserve">also </w:t>
      </w:r>
      <w:r w:rsidR="00667E38">
        <w:rPr>
          <w:rFonts w:asciiTheme="minorHAnsi" w:eastAsiaTheme="majorEastAsia" w:hAnsiTheme="minorHAnsi" w:cstheme="minorHAnsi"/>
          <w:bCs/>
          <w:color w:val="000000" w:themeColor="text1"/>
        </w:rPr>
        <w:t xml:space="preserve">have </w:t>
      </w:r>
      <w:r>
        <w:rPr>
          <w:rFonts w:asciiTheme="minorHAnsi" w:eastAsiaTheme="majorEastAsia" w:hAnsiTheme="minorHAnsi" w:cstheme="minorHAnsi"/>
          <w:bCs/>
          <w:color w:val="000000" w:themeColor="text1"/>
        </w:rPr>
        <w:t xml:space="preserve">a </w:t>
      </w:r>
      <w:r w:rsidR="00CC682F">
        <w:rPr>
          <w:rFonts w:asciiTheme="minorHAnsi" w:eastAsiaTheme="majorEastAsia" w:hAnsiTheme="minorHAnsi" w:cstheme="minorHAnsi"/>
          <w:bCs/>
          <w:color w:val="000000" w:themeColor="text1"/>
        </w:rPr>
        <w:t>higher</w:t>
      </w:r>
      <w:r w:rsidR="00667E38">
        <w:rPr>
          <w:rFonts w:asciiTheme="minorHAnsi" w:eastAsiaTheme="majorEastAsia" w:hAnsiTheme="minorHAnsi" w:cstheme="minorHAnsi"/>
          <w:bCs/>
          <w:color w:val="000000" w:themeColor="text1"/>
        </w:rPr>
        <w:t xml:space="preserve"> lifetime cost </w:t>
      </w:r>
      <w:r>
        <w:rPr>
          <w:rFonts w:asciiTheme="minorHAnsi" w:eastAsiaTheme="majorEastAsia" w:hAnsiTheme="minorHAnsi" w:cstheme="minorHAnsi"/>
          <w:bCs/>
          <w:color w:val="000000" w:themeColor="text1"/>
        </w:rPr>
        <w:t>than those receiving only a supplementary carer payment. T</w:t>
      </w:r>
      <w:r w:rsidR="00750C51">
        <w:rPr>
          <w:rFonts w:asciiTheme="minorHAnsi" w:eastAsiaTheme="majorEastAsia" w:hAnsiTheme="minorHAnsi" w:cstheme="minorHAnsi"/>
          <w:bCs/>
          <w:color w:val="000000" w:themeColor="text1"/>
        </w:rPr>
        <w:t xml:space="preserve">he average lifetime cost for </w:t>
      </w:r>
      <w:r w:rsidR="001C4D1A">
        <w:rPr>
          <w:rFonts w:asciiTheme="minorHAnsi" w:eastAsiaTheme="majorEastAsia" w:hAnsiTheme="minorHAnsi" w:cstheme="minorHAnsi"/>
          <w:bCs/>
          <w:color w:val="000000" w:themeColor="text1"/>
        </w:rPr>
        <w:t xml:space="preserve">people receiving </w:t>
      </w:r>
      <w:r w:rsidR="00750C51">
        <w:rPr>
          <w:rFonts w:asciiTheme="minorHAnsi" w:eastAsiaTheme="majorEastAsia" w:hAnsiTheme="minorHAnsi" w:cstheme="minorHAnsi"/>
          <w:bCs/>
          <w:color w:val="000000" w:themeColor="text1"/>
        </w:rPr>
        <w:t>Carer Payment in their 40s is $</w:t>
      </w:r>
      <w:r w:rsidR="00B37E83">
        <w:rPr>
          <w:rFonts w:asciiTheme="minorHAnsi" w:eastAsiaTheme="majorEastAsia" w:hAnsiTheme="minorHAnsi" w:cstheme="minorHAnsi"/>
          <w:bCs/>
          <w:color w:val="000000" w:themeColor="text1"/>
        </w:rPr>
        <w:t>704</w:t>
      </w:r>
      <w:r w:rsidR="00750C51">
        <w:rPr>
          <w:rFonts w:asciiTheme="minorHAnsi" w:eastAsiaTheme="majorEastAsia" w:hAnsiTheme="minorHAnsi" w:cstheme="minorHAnsi"/>
          <w:bCs/>
          <w:color w:val="000000" w:themeColor="text1"/>
        </w:rPr>
        <w:t xml:space="preserve">,000 </w:t>
      </w:r>
      <w:r w:rsidR="00B37E83">
        <w:rPr>
          <w:rFonts w:asciiTheme="minorHAnsi" w:eastAsiaTheme="majorEastAsia" w:hAnsiTheme="minorHAnsi" w:cstheme="minorHAnsi"/>
          <w:bCs/>
          <w:color w:val="000000" w:themeColor="text1"/>
        </w:rPr>
        <w:t>which is double</w:t>
      </w:r>
      <w:r w:rsidR="00750C51">
        <w:rPr>
          <w:rFonts w:asciiTheme="minorHAnsi" w:eastAsiaTheme="majorEastAsia" w:hAnsiTheme="minorHAnsi" w:cstheme="minorHAnsi"/>
          <w:bCs/>
          <w:color w:val="000000" w:themeColor="text1"/>
        </w:rPr>
        <w:t xml:space="preserve"> that </w:t>
      </w:r>
      <w:r w:rsidR="00B37E83">
        <w:rPr>
          <w:rFonts w:asciiTheme="minorHAnsi" w:eastAsiaTheme="majorEastAsia" w:hAnsiTheme="minorHAnsi" w:cstheme="minorHAnsi"/>
          <w:bCs/>
          <w:color w:val="000000" w:themeColor="text1"/>
        </w:rPr>
        <w:t>of</w:t>
      </w:r>
      <w:r w:rsidR="00750C51">
        <w:rPr>
          <w:rFonts w:asciiTheme="minorHAnsi" w:eastAsiaTheme="majorEastAsia" w:hAnsiTheme="minorHAnsi" w:cstheme="minorHAnsi"/>
          <w:bCs/>
          <w:color w:val="000000" w:themeColor="text1"/>
        </w:rPr>
        <w:t xml:space="preserve"> </w:t>
      </w:r>
      <w:r w:rsidR="00B37E83">
        <w:rPr>
          <w:rFonts w:asciiTheme="minorHAnsi" w:eastAsiaTheme="majorEastAsia" w:hAnsiTheme="minorHAnsi" w:cstheme="minorHAnsi"/>
          <w:bCs/>
          <w:color w:val="000000" w:themeColor="text1"/>
        </w:rPr>
        <w:t xml:space="preserve">carers who </w:t>
      </w:r>
      <w:r w:rsidR="00750C51">
        <w:rPr>
          <w:rFonts w:asciiTheme="minorHAnsi" w:eastAsiaTheme="majorEastAsia" w:hAnsiTheme="minorHAnsi" w:cstheme="minorHAnsi"/>
          <w:bCs/>
          <w:color w:val="000000" w:themeColor="text1"/>
        </w:rPr>
        <w:t>are only receiving supplementary carer payments</w:t>
      </w:r>
      <w:r w:rsidR="00B37E83">
        <w:rPr>
          <w:rFonts w:asciiTheme="minorHAnsi" w:eastAsiaTheme="majorEastAsia" w:hAnsiTheme="minorHAnsi" w:cstheme="minorHAnsi"/>
          <w:bCs/>
          <w:color w:val="000000" w:themeColor="text1"/>
        </w:rPr>
        <w:t xml:space="preserve"> ($349,000)</w:t>
      </w:r>
      <w:r w:rsidR="00750C51">
        <w:rPr>
          <w:rFonts w:asciiTheme="minorHAnsi" w:eastAsiaTheme="majorEastAsia" w:hAnsiTheme="minorHAnsi" w:cstheme="minorHAnsi"/>
          <w:bCs/>
          <w:color w:val="000000" w:themeColor="text1"/>
        </w:rPr>
        <w:t>.</w:t>
      </w:r>
      <w:r w:rsidR="00D13A3A">
        <w:rPr>
          <w:rFonts w:asciiTheme="minorHAnsi" w:eastAsiaTheme="majorEastAsia" w:hAnsiTheme="minorHAnsi" w:cstheme="minorHAnsi"/>
          <w:bCs/>
          <w:color w:val="000000" w:themeColor="text1"/>
        </w:rPr>
        <w:t xml:space="preserve"> </w:t>
      </w:r>
      <w:r w:rsidR="00B74B57">
        <w:rPr>
          <w:rFonts w:asciiTheme="minorHAnsi" w:eastAsiaTheme="majorEastAsia" w:hAnsiTheme="minorHAnsi" w:cstheme="minorHAnsi"/>
          <w:bCs/>
          <w:color w:val="000000" w:themeColor="text1"/>
        </w:rPr>
        <w:t>T</w:t>
      </w:r>
      <w:r w:rsidR="00D13A3A">
        <w:rPr>
          <w:rFonts w:asciiTheme="minorHAnsi" w:eastAsiaTheme="majorEastAsia" w:hAnsiTheme="minorHAnsi" w:cstheme="minorHAnsi"/>
          <w:bCs/>
          <w:color w:val="000000" w:themeColor="text1"/>
        </w:rPr>
        <w:t xml:space="preserve">he average lifetime cost </w:t>
      </w:r>
      <w:r w:rsidR="00B74B57">
        <w:rPr>
          <w:rFonts w:asciiTheme="minorHAnsi" w:eastAsiaTheme="majorEastAsia" w:hAnsiTheme="minorHAnsi" w:cstheme="minorHAnsi"/>
          <w:bCs/>
          <w:color w:val="000000" w:themeColor="text1"/>
        </w:rPr>
        <w:t xml:space="preserve">of social security </w:t>
      </w:r>
      <w:r w:rsidR="00D13A3A">
        <w:rPr>
          <w:rFonts w:asciiTheme="minorHAnsi" w:eastAsiaTheme="majorEastAsia" w:hAnsiTheme="minorHAnsi" w:cstheme="minorHAnsi"/>
          <w:bCs/>
          <w:color w:val="000000" w:themeColor="text1"/>
        </w:rPr>
        <w:t xml:space="preserve">for </w:t>
      </w:r>
      <w:r w:rsidR="00B74B57">
        <w:rPr>
          <w:rFonts w:asciiTheme="minorHAnsi" w:eastAsiaTheme="majorEastAsia" w:hAnsiTheme="minorHAnsi" w:cstheme="minorHAnsi"/>
          <w:bCs/>
          <w:color w:val="000000" w:themeColor="text1"/>
        </w:rPr>
        <w:t>all Australians</w:t>
      </w:r>
      <w:r w:rsidR="00D13A3A">
        <w:rPr>
          <w:rFonts w:asciiTheme="minorHAnsi" w:eastAsiaTheme="majorEastAsia" w:hAnsiTheme="minorHAnsi" w:cstheme="minorHAnsi"/>
          <w:bCs/>
          <w:color w:val="000000" w:themeColor="text1"/>
        </w:rPr>
        <w:t xml:space="preserve"> in their 40s is $225,000</w:t>
      </w:r>
      <w:r w:rsidR="00B74B57">
        <w:rPr>
          <w:rFonts w:asciiTheme="minorHAnsi" w:eastAsiaTheme="majorEastAsia" w:hAnsiTheme="minorHAnsi" w:cstheme="minorHAnsi"/>
          <w:bCs/>
          <w:color w:val="000000" w:themeColor="text1"/>
        </w:rPr>
        <w:t>.</w:t>
      </w:r>
    </w:p>
    <w:p w14:paraId="659B588F" w14:textId="62593684" w:rsidR="00EF5B7F" w:rsidRDefault="007855DD" w:rsidP="005E332C">
      <w:pPr>
        <w:pStyle w:val="FigureMainHeading"/>
      </w:pPr>
      <w:bookmarkStart w:id="95" w:name="_Ref153315358"/>
      <w:r>
        <w:t>Figure </w:t>
      </w:r>
      <w:r w:rsidR="00B80D45">
        <w:fldChar w:fldCharType="begin"/>
      </w:r>
      <w:r w:rsidR="00B80D45">
        <w:instrText xml:space="preserve"> STYLEREF 1 \s </w:instrText>
      </w:r>
      <w:r w:rsidR="00B80D45">
        <w:fldChar w:fldCharType="separate"/>
      </w:r>
      <w:r w:rsidR="00722C0A">
        <w:rPr>
          <w:noProof/>
        </w:rPr>
        <w:t>8</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6</w:t>
      </w:r>
      <w:r w:rsidR="00B80D45">
        <w:rPr>
          <w:noProof/>
        </w:rPr>
        <w:fldChar w:fldCharType="end"/>
      </w:r>
      <w:bookmarkEnd w:id="95"/>
      <w:r w:rsidR="005E332C">
        <w:t>:</w:t>
      </w:r>
      <w:r w:rsidR="005E332C">
        <w:tab/>
      </w:r>
      <w:r w:rsidR="00C95BE9">
        <w:t>A</w:t>
      </w:r>
      <w:r w:rsidR="006A4B1B" w:rsidRPr="00A13641">
        <w:t xml:space="preserve">verage projected lifetime cost </w:t>
      </w:r>
      <w:r w:rsidR="00F67D25">
        <w:t xml:space="preserve">for people receiving payments to support caring </w:t>
      </w:r>
      <w:r w:rsidR="006A4B1B" w:rsidRPr="00A13641">
        <w:t xml:space="preserve">by age </w:t>
      </w:r>
      <w:r w:rsidR="00C95BE9" w:rsidRPr="00A13641">
        <w:t>group and payment received at 30</w:t>
      </w:r>
      <w:r w:rsidR="00E46C6A">
        <w:t> June </w:t>
      </w:r>
      <w:r w:rsidR="00C95BE9" w:rsidRPr="00A13641">
        <w:t>2022</w:t>
      </w:r>
    </w:p>
    <w:p w14:paraId="73E06A51" w14:textId="695E66D1" w:rsidR="00CC682F" w:rsidRDefault="00B37E83" w:rsidP="00EF5B7F">
      <w:pPr>
        <w:pStyle w:val="ChartGraphic"/>
        <w:rPr>
          <w:rFonts w:eastAsiaTheme="majorEastAsia"/>
        </w:rPr>
      </w:pPr>
      <w:r>
        <w:rPr>
          <w:noProof/>
        </w:rPr>
        <w:drawing>
          <wp:inline distT="0" distB="0" distL="0" distR="0" wp14:anchorId="14B49D3F" wp14:editId="38F674EB">
            <wp:extent cx="4319905" cy="4464000"/>
            <wp:effectExtent l="0" t="0" r="0" b="0"/>
            <wp:docPr id="129" name="Chart 129" descr="This chart shows the average projected lifetime cost split by age group and:&#10;&#10;- Those receiving Carer Payment: $571,000 (Below 20), $733,000 (20 to 29), $808,000 (30 to 39), $704,000 (40 to 49), $582,000 (50 to 59), $468,000 (60 to 69)&#10;- Those receiving supplementary carer payments only: N/A (Below 20), $613,000 (20 to 29), $454,000 (30 to 39), $349,000 (40 to 49), $321,000 (50 to 59), $302,000 (60 to 69)&#10;- All Australians: $202,000 (Below 20), $234,000 (20 to 29), $234,000 (30 to 39), $225,000 (40 to 49), $220,000 (50 to 59), $222,000 (60 t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19A4386" w14:textId="644282BD" w:rsidR="00B02EBF" w:rsidRPr="0027537C" w:rsidRDefault="00B02EBF" w:rsidP="0027537C">
      <w:pPr>
        <w:pStyle w:val="Note"/>
        <w:spacing w:after="120"/>
        <w:rPr>
          <w:rFonts w:eastAsiaTheme="majorEastAsia"/>
        </w:rPr>
      </w:pPr>
      <w:r w:rsidRPr="00291DB6">
        <w:t xml:space="preserve">* </w:t>
      </w:r>
      <w:r>
        <w:t>L</w:t>
      </w:r>
      <w:r w:rsidRPr="00B02EBF">
        <w:t xml:space="preserve">ifetime </w:t>
      </w:r>
      <w:r>
        <w:t>C</w:t>
      </w:r>
      <w:r w:rsidRPr="00B02EBF">
        <w:t xml:space="preserve">ost projections include </w:t>
      </w:r>
      <w:r>
        <w:t>A</w:t>
      </w:r>
      <w:r w:rsidRPr="00B02EBF">
        <w:t xml:space="preserve">ge </w:t>
      </w:r>
      <w:r>
        <w:t>P</w:t>
      </w:r>
      <w:r w:rsidRPr="00B02EBF">
        <w:t>ension</w:t>
      </w:r>
    </w:p>
    <w:p w14:paraId="77E85C1D" w14:textId="4254386E" w:rsidR="00523C23" w:rsidRPr="00EC4FC8" w:rsidRDefault="00CB4A1E" w:rsidP="0027537C">
      <w:pPr>
        <w:pStyle w:val="Note"/>
      </w:pPr>
      <w:r>
        <w:rPr>
          <w:rFonts w:eastAsiaTheme="majorEastAsia"/>
        </w:rPr>
        <w:t>Note: F</w:t>
      </w:r>
      <w:r w:rsidRPr="00876E9A">
        <w:rPr>
          <w:rFonts w:eastAsiaTheme="majorEastAsia"/>
        </w:rPr>
        <w:t xml:space="preserve">or those </w:t>
      </w:r>
      <w:r w:rsidR="00B74B57">
        <w:rPr>
          <w:rFonts w:eastAsiaTheme="majorEastAsia"/>
        </w:rPr>
        <w:t xml:space="preserve">aged </w:t>
      </w:r>
      <w:r w:rsidRPr="00876E9A">
        <w:rPr>
          <w:rFonts w:eastAsiaTheme="majorEastAsia"/>
        </w:rPr>
        <w:t xml:space="preserve">below 20, the </w:t>
      </w:r>
      <w:r w:rsidR="0096174A">
        <w:rPr>
          <w:rFonts w:eastAsiaTheme="majorEastAsia"/>
        </w:rPr>
        <w:t>supplementary carer payments</w:t>
      </w:r>
      <w:r w:rsidRPr="00876E9A">
        <w:rPr>
          <w:rFonts w:eastAsiaTheme="majorEastAsia"/>
        </w:rPr>
        <w:t xml:space="preserve"> </w:t>
      </w:r>
      <w:r w:rsidR="00DA70A3">
        <w:rPr>
          <w:rFonts w:eastAsiaTheme="majorEastAsia"/>
        </w:rPr>
        <w:t xml:space="preserve">only </w:t>
      </w:r>
      <w:r w:rsidRPr="00876E9A">
        <w:rPr>
          <w:rFonts w:eastAsiaTheme="majorEastAsia"/>
        </w:rPr>
        <w:t xml:space="preserve">group is less than </w:t>
      </w:r>
      <w:r w:rsidR="00B74B57">
        <w:rPr>
          <w:rFonts w:eastAsiaTheme="majorEastAsia"/>
        </w:rPr>
        <w:t xml:space="preserve">the </w:t>
      </w:r>
      <w:r w:rsidRPr="00876E9A">
        <w:rPr>
          <w:rFonts w:eastAsiaTheme="majorEastAsia"/>
        </w:rPr>
        <w:t>1,000</w:t>
      </w:r>
      <w:r w:rsidR="00B655A1">
        <w:rPr>
          <w:rFonts w:eastAsiaTheme="majorEastAsia"/>
        </w:rPr>
        <w:t> </w:t>
      </w:r>
      <w:r w:rsidRPr="00876E9A">
        <w:rPr>
          <w:rFonts w:eastAsiaTheme="majorEastAsia"/>
        </w:rPr>
        <w:t xml:space="preserve">people </w:t>
      </w:r>
      <w:r w:rsidR="00B74B57">
        <w:rPr>
          <w:rFonts w:eastAsiaTheme="majorEastAsia"/>
        </w:rPr>
        <w:t>required to produce a reliable projection. Therefore,</w:t>
      </w:r>
      <w:r w:rsidRPr="00876E9A">
        <w:rPr>
          <w:rFonts w:eastAsiaTheme="majorEastAsia"/>
        </w:rPr>
        <w:t xml:space="preserve"> results for this cohort are excluded</w:t>
      </w:r>
      <w:r>
        <w:rPr>
          <w:rFonts w:eastAsiaTheme="majorEastAsia"/>
        </w:rPr>
        <w:t>.</w:t>
      </w:r>
      <w:bookmarkStart w:id="96" w:name="_Toc153355914"/>
      <w:bookmarkStart w:id="97" w:name="_Toc153362294"/>
      <w:bookmarkStart w:id="98" w:name="_Toc153355915"/>
      <w:bookmarkStart w:id="99" w:name="_Toc153362295"/>
      <w:bookmarkStart w:id="100" w:name="_Toc153355916"/>
      <w:bookmarkStart w:id="101" w:name="_Toc153362296"/>
      <w:bookmarkStart w:id="102" w:name="_Toc153355917"/>
      <w:bookmarkStart w:id="103" w:name="_Toc153362297"/>
      <w:bookmarkStart w:id="104" w:name="_Toc153355918"/>
      <w:bookmarkStart w:id="105" w:name="_Toc153362298"/>
      <w:bookmarkStart w:id="106" w:name="_Toc153355919"/>
      <w:bookmarkStart w:id="107" w:name="_Toc153362299"/>
      <w:bookmarkStart w:id="108" w:name="_Toc153355920"/>
      <w:bookmarkStart w:id="109" w:name="_Toc153362300"/>
      <w:bookmarkStart w:id="110" w:name="_Toc153355921"/>
      <w:bookmarkStart w:id="111" w:name="_Toc153362301"/>
      <w:bookmarkStart w:id="112" w:name="_Toc153355922"/>
      <w:bookmarkStart w:id="113" w:name="_Toc153362302"/>
      <w:bookmarkStart w:id="114" w:name="_Toc153355923"/>
      <w:bookmarkStart w:id="115" w:name="_Toc153362303"/>
      <w:bookmarkStart w:id="116" w:name="_Toc153355924"/>
      <w:bookmarkStart w:id="117" w:name="_Toc153362304"/>
      <w:bookmarkStart w:id="118" w:name="_Toc153355925"/>
      <w:bookmarkStart w:id="119" w:name="_Toc153362305"/>
      <w:bookmarkStart w:id="120" w:name="_Toc153355926"/>
      <w:bookmarkStart w:id="121" w:name="_Toc153362306"/>
      <w:bookmarkStart w:id="122" w:name="_Toc153355583"/>
      <w:bookmarkStart w:id="123" w:name="_Toc155358649"/>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04B45E8" w14:textId="77777777" w:rsidR="00EC4FC8" w:rsidRPr="00EC4FC8" w:rsidRDefault="00EC4FC8" w:rsidP="00EC4FC8">
      <w:pPr>
        <w:sectPr w:rsidR="00EC4FC8" w:rsidRPr="00EC4FC8" w:rsidSect="00B46214">
          <w:footerReference w:type="default" r:id="rId88"/>
          <w:pgSz w:w="16838" w:h="11906" w:orient="landscape" w:code="9"/>
          <w:pgMar w:top="1418" w:right="1134" w:bottom="1418" w:left="1134" w:header="425" w:footer="680" w:gutter="0"/>
          <w:cols w:num="2" w:space="709"/>
          <w:docGrid w:linePitch="360"/>
        </w:sectPr>
      </w:pPr>
    </w:p>
    <w:p w14:paraId="77DCC81E" w14:textId="6BD35387" w:rsidR="006305CB" w:rsidRPr="0094730A" w:rsidRDefault="006305CB" w:rsidP="00EC4FC8">
      <w:pPr>
        <w:pStyle w:val="Heading1"/>
      </w:pPr>
      <w:bookmarkStart w:id="124" w:name="_Toc160109479"/>
      <w:r w:rsidRPr="0094730A">
        <w:lastRenderedPageBreak/>
        <w:t xml:space="preserve">People </w:t>
      </w:r>
      <w:r w:rsidR="0002453A" w:rsidRPr="00EC4FC8">
        <w:t>r</w:t>
      </w:r>
      <w:r w:rsidR="00761DCC" w:rsidRPr="00EC4FC8">
        <w:t>eceiving</w:t>
      </w:r>
      <w:r w:rsidR="00761DCC" w:rsidRPr="0094730A">
        <w:t xml:space="preserve"> </w:t>
      </w:r>
      <w:r w:rsidR="00A6560F" w:rsidRPr="0094730A">
        <w:t>Disability Support Pension</w:t>
      </w:r>
      <w:bookmarkEnd w:id="122"/>
      <w:bookmarkEnd w:id="123"/>
      <w:bookmarkEnd w:id="124"/>
    </w:p>
    <w:p w14:paraId="6BF61E8E" w14:textId="11472652" w:rsidR="006B4E96" w:rsidRPr="007C7110" w:rsidRDefault="00283C6C" w:rsidP="007C7110">
      <w:pPr>
        <w:rPr>
          <w:rFonts w:asciiTheme="minorHAnsi" w:hAnsiTheme="minorHAnsi" w:cstheme="minorHAnsi"/>
          <w:b/>
        </w:rPr>
      </w:pPr>
      <w:r w:rsidRPr="007C7110">
        <w:rPr>
          <w:rFonts w:asciiTheme="minorHAnsi" w:hAnsiTheme="minorHAnsi" w:cstheme="minorHAnsi"/>
          <w:color w:val="000000" w:themeColor="text1"/>
          <w:kern w:val="24"/>
        </w:rPr>
        <w:t>D</w:t>
      </w:r>
      <w:r>
        <w:rPr>
          <w:rFonts w:asciiTheme="minorHAnsi" w:hAnsiTheme="minorHAnsi" w:cstheme="minorHAnsi"/>
          <w:color w:val="000000" w:themeColor="text1"/>
          <w:kern w:val="24"/>
        </w:rPr>
        <w:t>isability Support Pension (DSP)</w:t>
      </w:r>
      <w:r w:rsidRPr="007C7110">
        <w:rPr>
          <w:rFonts w:asciiTheme="minorHAnsi" w:hAnsiTheme="minorHAnsi" w:cstheme="minorHAnsi"/>
          <w:color w:val="000000" w:themeColor="text1"/>
          <w:kern w:val="24"/>
        </w:rPr>
        <w:t xml:space="preserve"> </w:t>
      </w:r>
      <w:r w:rsidR="00B826D8">
        <w:rPr>
          <w:rFonts w:asciiTheme="minorHAnsi" w:hAnsiTheme="minorHAnsi" w:cstheme="minorHAnsi"/>
          <w:color w:val="000000" w:themeColor="text1"/>
          <w:kern w:val="24"/>
        </w:rPr>
        <w:t>provides financial</w:t>
      </w:r>
      <w:r w:rsidR="006305CB" w:rsidRPr="007C7110">
        <w:rPr>
          <w:rFonts w:asciiTheme="minorHAnsi" w:hAnsiTheme="minorHAnsi" w:cstheme="minorHAnsi"/>
          <w:color w:val="000000" w:themeColor="text1"/>
          <w:kern w:val="24"/>
        </w:rPr>
        <w:t xml:space="preserve"> support to </w:t>
      </w:r>
      <w:r w:rsidR="00B826D8">
        <w:rPr>
          <w:rFonts w:asciiTheme="minorHAnsi" w:hAnsiTheme="minorHAnsi" w:cstheme="minorHAnsi"/>
          <w:color w:val="000000" w:themeColor="text1"/>
          <w:kern w:val="24"/>
        </w:rPr>
        <w:t xml:space="preserve">assist people with a physical, intellectual or psychiatric </w:t>
      </w:r>
      <w:r w:rsidR="00C85A56">
        <w:rPr>
          <w:rFonts w:asciiTheme="minorHAnsi" w:hAnsiTheme="minorHAnsi" w:cstheme="minorHAnsi"/>
          <w:color w:val="000000" w:themeColor="text1"/>
          <w:kern w:val="24"/>
        </w:rPr>
        <w:t>condition that is likely to persist in the long term</w:t>
      </w:r>
      <w:r w:rsidR="006B4E96" w:rsidRPr="007C7110">
        <w:rPr>
          <w:rFonts w:asciiTheme="minorHAnsi" w:hAnsiTheme="minorHAnsi" w:cstheme="minorHAnsi"/>
          <w:color w:val="000000" w:themeColor="text1"/>
          <w:kern w:val="24"/>
        </w:rPr>
        <w:t xml:space="preserve">. </w:t>
      </w:r>
      <w:r w:rsidR="006B4E96" w:rsidRPr="007C7110">
        <w:rPr>
          <w:rFonts w:asciiTheme="minorHAnsi" w:hAnsiTheme="minorHAnsi" w:cstheme="minorHAnsi"/>
        </w:rPr>
        <w:t>There</w:t>
      </w:r>
      <w:r w:rsidR="006B4E96" w:rsidRPr="007C7110" w:rsidDel="009319FD">
        <w:rPr>
          <w:rFonts w:asciiTheme="minorHAnsi" w:hAnsiTheme="minorHAnsi" w:cstheme="minorHAnsi"/>
        </w:rPr>
        <w:t xml:space="preserve"> </w:t>
      </w:r>
      <w:r w:rsidR="009319FD">
        <w:rPr>
          <w:rFonts w:asciiTheme="minorHAnsi" w:hAnsiTheme="minorHAnsi" w:cstheme="minorHAnsi"/>
        </w:rPr>
        <w:t>wer</w:t>
      </w:r>
      <w:r w:rsidR="009319FD" w:rsidRPr="007C7110">
        <w:rPr>
          <w:rFonts w:asciiTheme="minorHAnsi" w:hAnsiTheme="minorHAnsi" w:cstheme="minorHAnsi"/>
        </w:rPr>
        <w:t xml:space="preserve">e </w:t>
      </w:r>
      <w:r w:rsidR="006B4E96" w:rsidRPr="007C7110">
        <w:rPr>
          <w:rFonts w:asciiTheme="minorHAnsi" w:hAnsiTheme="minorHAnsi" w:cstheme="minorHAnsi"/>
        </w:rPr>
        <w:t>7</w:t>
      </w:r>
      <w:r w:rsidR="005730DB">
        <w:rPr>
          <w:rFonts w:asciiTheme="minorHAnsi" w:hAnsiTheme="minorHAnsi" w:cstheme="minorHAnsi"/>
        </w:rPr>
        <w:t>58</w:t>
      </w:r>
      <w:r w:rsidR="009319FD">
        <w:rPr>
          <w:rFonts w:asciiTheme="minorHAnsi" w:hAnsiTheme="minorHAnsi" w:cstheme="minorHAnsi"/>
        </w:rPr>
        <w:t>,000</w:t>
      </w:r>
      <w:r w:rsidR="006B4E96" w:rsidRPr="007C7110" w:rsidDel="009319FD">
        <w:rPr>
          <w:rFonts w:asciiTheme="minorHAnsi" w:hAnsiTheme="minorHAnsi" w:cstheme="minorHAnsi"/>
        </w:rPr>
        <w:t xml:space="preserve"> </w:t>
      </w:r>
      <w:r w:rsidR="006B4E96" w:rsidRPr="007C7110">
        <w:rPr>
          <w:rFonts w:asciiTheme="minorHAnsi" w:hAnsiTheme="minorHAnsi" w:cstheme="minorHAnsi"/>
        </w:rPr>
        <w:t>people with disabilit</w:t>
      </w:r>
      <w:r w:rsidR="00C85A56">
        <w:rPr>
          <w:rFonts w:asciiTheme="minorHAnsi" w:hAnsiTheme="minorHAnsi" w:cstheme="minorHAnsi"/>
        </w:rPr>
        <w:t>y</w:t>
      </w:r>
      <w:r w:rsidR="006B4E96" w:rsidRPr="007C7110">
        <w:rPr>
          <w:rFonts w:asciiTheme="minorHAnsi" w:hAnsiTheme="minorHAnsi" w:cstheme="minorHAnsi"/>
        </w:rPr>
        <w:t xml:space="preserve"> receiving </w:t>
      </w:r>
      <w:r w:rsidR="00C85A56">
        <w:rPr>
          <w:rFonts w:asciiTheme="minorHAnsi" w:hAnsiTheme="minorHAnsi" w:cstheme="minorHAnsi"/>
        </w:rPr>
        <w:t>DSP</w:t>
      </w:r>
      <w:r w:rsidR="009319FD">
        <w:rPr>
          <w:rFonts w:asciiTheme="minorHAnsi" w:hAnsiTheme="minorHAnsi" w:cstheme="minorHAnsi"/>
        </w:rPr>
        <w:t xml:space="preserve"> </w:t>
      </w:r>
      <w:r w:rsidR="00C327B3">
        <w:rPr>
          <w:rFonts w:asciiTheme="minorHAnsi" w:hAnsiTheme="minorHAnsi" w:cstheme="minorHAnsi"/>
        </w:rPr>
        <w:t>on</w:t>
      </w:r>
      <w:r w:rsidR="009319FD">
        <w:rPr>
          <w:rFonts w:asciiTheme="minorHAnsi" w:hAnsiTheme="minorHAnsi" w:cstheme="minorHAnsi"/>
        </w:rPr>
        <w:t xml:space="preserve"> 30</w:t>
      </w:r>
      <w:r w:rsidR="00E46C6A">
        <w:rPr>
          <w:rFonts w:asciiTheme="minorHAnsi" w:hAnsiTheme="minorHAnsi" w:cstheme="minorHAnsi"/>
        </w:rPr>
        <w:t> June </w:t>
      </w:r>
      <w:r w:rsidR="009319FD">
        <w:rPr>
          <w:rFonts w:asciiTheme="minorHAnsi" w:hAnsiTheme="minorHAnsi" w:cstheme="minorHAnsi"/>
        </w:rPr>
        <w:t>2022</w:t>
      </w:r>
      <w:r w:rsidR="006B4E96" w:rsidRPr="007C7110">
        <w:rPr>
          <w:rFonts w:asciiTheme="minorHAnsi" w:hAnsiTheme="minorHAnsi" w:cstheme="minorHAnsi"/>
        </w:rPr>
        <w:t xml:space="preserve">, </w:t>
      </w:r>
      <w:r w:rsidR="009319FD">
        <w:rPr>
          <w:rFonts w:asciiTheme="minorHAnsi" w:hAnsiTheme="minorHAnsi" w:cstheme="minorHAnsi"/>
        </w:rPr>
        <w:t xml:space="preserve">making </w:t>
      </w:r>
      <w:r>
        <w:rPr>
          <w:rFonts w:asciiTheme="minorHAnsi" w:hAnsiTheme="minorHAnsi" w:cstheme="minorHAnsi"/>
        </w:rPr>
        <w:t xml:space="preserve">up </w:t>
      </w:r>
      <w:r w:rsidR="006B4E96" w:rsidRPr="007C7110">
        <w:rPr>
          <w:rFonts w:asciiTheme="minorHAnsi" w:hAnsiTheme="minorHAnsi" w:cstheme="minorHAnsi"/>
        </w:rPr>
        <w:t>3% of the Australian population</w:t>
      </w:r>
      <w:r w:rsidR="0033372E" w:rsidRPr="007C7110">
        <w:rPr>
          <w:rFonts w:asciiTheme="minorHAnsi" w:hAnsiTheme="minorHAnsi" w:cstheme="minorHAnsi"/>
          <w:b/>
        </w:rPr>
        <w:t>.</w:t>
      </w:r>
    </w:p>
    <w:p w14:paraId="732E741A" w14:textId="4404D7AB" w:rsidR="0087661D" w:rsidRDefault="00EF5B7F" w:rsidP="00501E7A">
      <w:pPr>
        <w:pStyle w:val="FigureMainHeading"/>
        <w:spacing w:after="0"/>
      </w:pPr>
      <w:r w:rsidRPr="00D27014">
        <w:t>Australian population</w:t>
      </w:r>
    </w:p>
    <w:p w14:paraId="68052AB2" w14:textId="3CC18814" w:rsidR="006B4E96" w:rsidRPr="007C7110" w:rsidRDefault="00501E7A" w:rsidP="00EF5B7F">
      <w:pPr>
        <w:pStyle w:val="ChartGraphic"/>
      </w:pPr>
      <w:r>
        <w:rPr>
          <w:noProof/>
        </w:rPr>
        <w:drawing>
          <wp:inline distT="0" distB="0" distL="0" distR="0" wp14:anchorId="3DFB1C60" wp14:editId="07C37C86">
            <wp:extent cx="4476750" cy="367030"/>
            <wp:effectExtent l="0" t="0" r="0" b="0"/>
            <wp:docPr id="234" name="Chart 234" descr="This picture shows that the people in this subsection, that is, people receiving DSP, make up 3% of the Australian popu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9D1ADE9" w14:textId="504C3C0C" w:rsidR="00CA6576" w:rsidRDefault="000B3D85" w:rsidP="00EF5B7F">
      <w:pPr>
        <w:pStyle w:val="Heading2notnumbered"/>
      </w:pPr>
      <w:r>
        <w:t xml:space="preserve">There were </w:t>
      </w:r>
      <w:r w:rsidR="00283C6C">
        <w:t>758,</w:t>
      </w:r>
      <w:r w:rsidR="005730DB">
        <w:t>000</w:t>
      </w:r>
      <w:r w:rsidR="006305CB" w:rsidRPr="007C7110">
        <w:t xml:space="preserve"> people receiv</w:t>
      </w:r>
      <w:r>
        <w:t>ing</w:t>
      </w:r>
      <w:r w:rsidR="006305CB" w:rsidRPr="007C7110">
        <w:t xml:space="preserve"> DSP </w:t>
      </w:r>
      <w:r>
        <w:t>at</w:t>
      </w:r>
      <w:r w:rsidR="00CA6576">
        <w:t xml:space="preserve"> 30</w:t>
      </w:r>
      <w:r w:rsidR="00E46C6A">
        <w:t> June </w:t>
      </w:r>
      <w:r w:rsidR="00CA6576">
        <w:t>2022.</w:t>
      </w:r>
    </w:p>
    <w:p w14:paraId="74323447" w14:textId="09D2B7F8" w:rsidR="00B04FCE" w:rsidRDefault="000B3D85" w:rsidP="00CB5EA4">
      <w:pPr>
        <w:spacing w:after="0"/>
        <w:rPr>
          <w:rFonts w:asciiTheme="minorHAnsi" w:hAnsiTheme="minorHAnsi" w:cstheme="minorHAnsi"/>
        </w:rPr>
      </w:pPr>
      <w:r w:rsidRPr="00D52F35">
        <w:rPr>
          <w:rFonts w:asciiTheme="minorHAnsi" w:hAnsiTheme="minorHAnsi" w:cstheme="minorHAnsi"/>
        </w:rPr>
        <w:t>The majority of</w:t>
      </w:r>
      <w:r w:rsidR="00CA6576" w:rsidRPr="00D52F35">
        <w:rPr>
          <w:rFonts w:asciiTheme="minorHAnsi" w:hAnsiTheme="minorHAnsi" w:cstheme="minorHAnsi"/>
        </w:rPr>
        <w:t xml:space="preserve"> </w:t>
      </w:r>
      <w:r w:rsidRPr="00D52F35">
        <w:rPr>
          <w:rFonts w:asciiTheme="minorHAnsi" w:hAnsiTheme="minorHAnsi" w:cstheme="minorHAnsi"/>
        </w:rPr>
        <w:t>people</w:t>
      </w:r>
      <w:r w:rsidR="00CA6576" w:rsidRPr="00D52F35">
        <w:rPr>
          <w:rFonts w:asciiTheme="minorHAnsi" w:hAnsiTheme="minorHAnsi" w:cstheme="minorHAnsi"/>
        </w:rPr>
        <w:t xml:space="preserve"> receiving DSP</w:t>
      </w:r>
      <w:r w:rsidRPr="00D52F35">
        <w:rPr>
          <w:rFonts w:asciiTheme="minorHAnsi" w:hAnsiTheme="minorHAnsi" w:cstheme="minorHAnsi"/>
        </w:rPr>
        <w:t xml:space="preserve"> </w:t>
      </w:r>
      <w:r w:rsidR="00CA6576" w:rsidRPr="00D52F35">
        <w:rPr>
          <w:rFonts w:asciiTheme="minorHAnsi" w:hAnsiTheme="minorHAnsi" w:cstheme="minorHAnsi"/>
        </w:rPr>
        <w:t xml:space="preserve">have been on </w:t>
      </w:r>
      <w:r w:rsidRPr="00D52F35">
        <w:rPr>
          <w:rFonts w:asciiTheme="minorHAnsi" w:hAnsiTheme="minorHAnsi" w:cstheme="minorHAnsi"/>
        </w:rPr>
        <w:t>the payment</w:t>
      </w:r>
      <w:r w:rsidR="00CA6576" w:rsidRPr="00D52F35">
        <w:rPr>
          <w:rFonts w:asciiTheme="minorHAnsi" w:hAnsiTheme="minorHAnsi" w:cstheme="minorHAnsi"/>
        </w:rPr>
        <w:t xml:space="preserve"> for longer than 1</w:t>
      </w:r>
      <w:r w:rsidR="007855DD">
        <w:rPr>
          <w:rFonts w:asciiTheme="minorHAnsi" w:hAnsiTheme="minorHAnsi" w:cstheme="minorHAnsi"/>
        </w:rPr>
        <w:t> year</w:t>
      </w:r>
      <w:r w:rsidR="00CA6576" w:rsidRPr="00D52F35">
        <w:rPr>
          <w:rFonts w:asciiTheme="minorHAnsi" w:hAnsiTheme="minorHAnsi" w:cstheme="minorHAnsi"/>
        </w:rPr>
        <w:t xml:space="preserve">. </w:t>
      </w:r>
      <w:r w:rsidRPr="00D52F35">
        <w:rPr>
          <w:rFonts w:asciiTheme="minorHAnsi" w:hAnsiTheme="minorHAnsi" w:cstheme="minorHAnsi"/>
        </w:rPr>
        <w:t>Only 6%</w:t>
      </w:r>
      <w:r w:rsidR="007439B2" w:rsidRPr="00D52F35">
        <w:rPr>
          <w:rFonts w:asciiTheme="minorHAnsi" w:hAnsiTheme="minorHAnsi" w:cstheme="minorHAnsi"/>
        </w:rPr>
        <w:t xml:space="preserve"> (45,000)</w:t>
      </w:r>
      <w:r w:rsidRPr="00D52F35">
        <w:rPr>
          <w:rFonts w:asciiTheme="minorHAnsi" w:hAnsiTheme="minorHAnsi" w:cstheme="minorHAnsi"/>
        </w:rPr>
        <w:t xml:space="preserve"> of those receiving DSP on 30</w:t>
      </w:r>
      <w:r w:rsidR="00E46C6A">
        <w:rPr>
          <w:rFonts w:asciiTheme="minorHAnsi" w:hAnsiTheme="minorHAnsi" w:cstheme="minorHAnsi"/>
        </w:rPr>
        <w:t> June </w:t>
      </w:r>
      <w:r w:rsidRPr="00D52F35">
        <w:rPr>
          <w:rFonts w:asciiTheme="minorHAnsi" w:hAnsiTheme="minorHAnsi" w:cstheme="minorHAnsi"/>
        </w:rPr>
        <w:t xml:space="preserve">2022 were not </w:t>
      </w:r>
      <w:r w:rsidR="002B4981">
        <w:rPr>
          <w:rFonts w:asciiTheme="minorHAnsi" w:hAnsiTheme="minorHAnsi" w:cstheme="minorHAnsi"/>
        </w:rPr>
        <w:t xml:space="preserve">receiving </w:t>
      </w:r>
      <w:r w:rsidR="00171549" w:rsidRPr="00D52F35">
        <w:rPr>
          <w:rFonts w:asciiTheme="minorHAnsi" w:hAnsiTheme="minorHAnsi" w:cstheme="minorHAnsi"/>
        </w:rPr>
        <w:t>DSP</w:t>
      </w:r>
      <w:r w:rsidR="007439B2" w:rsidRPr="00D52F35">
        <w:rPr>
          <w:rFonts w:asciiTheme="minorHAnsi" w:hAnsiTheme="minorHAnsi" w:cstheme="minorHAnsi"/>
        </w:rPr>
        <w:t xml:space="preserve"> at 30</w:t>
      </w:r>
      <w:r w:rsidR="00E46C6A">
        <w:rPr>
          <w:rFonts w:asciiTheme="minorHAnsi" w:hAnsiTheme="minorHAnsi" w:cstheme="minorHAnsi"/>
        </w:rPr>
        <w:t> June </w:t>
      </w:r>
      <w:r w:rsidR="007439B2" w:rsidRPr="00D52F35">
        <w:rPr>
          <w:rFonts w:asciiTheme="minorHAnsi" w:hAnsiTheme="minorHAnsi" w:cstheme="minorHAnsi"/>
        </w:rPr>
        <w:t>2021</w:t>
      </w:r>
      <w:r w:rsidR="00E13F18" w:rsidRPr="00D52F35">
        <w:rPr>
          <w:rFonts w:asciiTheme="minorHAnsi" w:hAnsiTheme="minorHAnsi" w:cstheme="minorHAnsi"/>
        </w:rPr>
        <w:t xml:space="preserve"> (</w:t>
      </w:r>
      <w:r w:rsidR="00E13F18" w:rsidRPr="00D52F35">
        <w:rPr>
          <w:rFonts w:asciiTheme="minorHAnsi" w:hAnsiTheme="minorHAnsi" w:cstheme="minorHAnsi"/>
        </w:rPr>
        <w:fldChar w:fldCharType="begin"/>
      </w:r>
      <w:r w:rsidR="00E13F18" w:rsidRPr="00D52F35">
        <w:rPr>
          <w:rFonts w:asciiTheme="minorHAnsi" w:hAnsiTheme="minorHAnsi" w:cstheme="minorHAnsi"/>
        </w:rPr>
        <w:instrText xml:space="preserve"> REF _Ref153317081 \h  \* MERGEFORMAT </w:instrText>
      </w:r>
      <w:r w:rsidR="00E13F18" w:rsidRPr="00D52F35">
        <w:rPr>
          <w:rFonts w:asciiTheme="minorHAnsi" w:hAnsiTheme="minorHAnsi" w:cstheme="minorHAnsi"/>
        </w:rPr>
      </w:r>
      <w:r w:rsidR="00E13F18" w:rsidRPr="00D52F35">
        <w:rPr>
          <w:rFonts w:asciiTheme="minorHAnsi" w:hAnsiTheme="minorHAnsi" w:cstheme="minorHAnsi"/>
        </w:rPr>
        <w:fldChar w:fldCharType="separate"/>
      </w:r>
      <w:r w:rsidR="00722C0A" w:rsidRPr="00722C0A">
        <w:rPr>
          <w:rFonts w:asciiTheme="minorHAnsi" w:hAnsiTheme="minorHAnsi" w:cstheme="minorHAnsi"/>
        </w:rPr>
        <w:t>Figure 9.1</w:t>
      </w:r>
      <w:r w:rsidR="00E13F18" w:rsidRPr="00D52F35">
        <w:rPr>
          <w:rFonts w:asciiTheme="minorHAnsi" w:hAnsiTheme="minorHAnsi" w:cstheme="minorHAnsi"/>
        </w:rPr>
        <w:fldChar w:fldCharType="end"/>
      </w:r>
      <w:r w:rsidR="00E13F18" w:rsidRPr="00D52F35">
        <w:rPr>
          <w:rFonts w:asciiTheme="minorHAnsi" w:hAnsiTheme="minorHAnsi" w:cstheme="minorHAnsi"/>
        </w:rPr>
        <w:t>)</w:t>
      </w:r>
      <w:r w:rsidR="00171549" w:rsidRPr="00D52F35">
        <w:rPr>
          <w:rFonts w:asciiTheme="minorHAnsi" w:hAnsiTheme="minorHAnsi" w:cstheme="minorHAnsi"/>
        </w:rPr>
        <w:t>. T</w:t>
      </w:r>
      <w:r w:rsidR="00A511F7" w:rsidRPr="00D52F35">
        <w:rPr>
          <w:rFonts w:asciiTheme="minorHAnsi" w:hAnsiTheme="minorHAnsi" w:cstheme="minorHAnsi"/>
        </w:rPr>
        <w:t xml:space="preserve">he majority of DSP recipients tend to remain on payment </w:t>
      </w:r>
      <w:r w:rsidR="00034DF1">
        <w:rPr>
          <w:rFonts w:asciiTheme="minorHAnsi" w:hAnsiTheme="minorHAnsi" w:cstheme="minorHAnsi"/>
        </w:rPr>
        <w:t xml:space="preserve">for the </w:t>
      </w:r>
      <w:r w:rsidR="00A511F7" w:rsidRPr="00D52F35">
        <w:rPr>
          <w:rFonts w:asciiTheme="minorHAnsi" w:hAnsiTheme="minorHAnsi" w:cstheme="minorHAnsi"/>
        </w:rPr>
        <w:t>long</w:t>
      </w:r>
      <w:r w:rsidR="00B04FCE">
        <w:rPr>
          <w:rFonts w:asciiTheme="minorHAnsi" w:hAnsiTheme="minorHAnsi" w:cstheme="minorHAnsi"/>
        </w:rPr>
        <w:noBreakHyphen/>
      </w:r>
      <w:r w:rsidR="00A511F7" w:rsidRPr="00D52F35">
        <w:rPr>
          <w:rFonts w:asciiTheme="minorHAnsi" w:hAnsiTheme="minorHAnsi" w:cstheme="minorHAnsi"/>
        </w:rPr>
        <w:t>term</w:t>
      </w:r>
      <w:r w:rsidR="000C1AEB" w:rsidRPr="00D52F35">
        <w:rPr>
          <w:rFonts w:asciiTheme="minorHAnsi" w:hAnsiTheme="minorHAnsi" w:cstheme="minorHAnsi"/>
        </w:rPr>
        <w:t>,</w:t>
      </w:r>
      <w:r w:rsidR="00171549" w:rsidRPr="00D52F35">
        <w:rPr>
          <w:rFonts w:asciiTheme="minorHAnsi" w:hAnsiTheme="minorHAnsi" w:cstheme="minorHAnsi"/>
        </w:rPr>
        <w:t xml:space="preserve"> which </w:t>
      </w:r>
      <w:r w:rsidR="00256F6D">
        <w:rPr>
          <w:rFonts w:asciiTheme="minorHAnsi" w:hAnsiTheme="minorHAnsi" w:cstheme="minorHAnsi"/>
        </w:rPr>
        <w:t>con</w:t>
      </w:r>
      <w:r w:rsidR="00810E4C">
        <w:rPr>
          <w:rFonts w:asciiTheme="minorHAnsi" w:hAnsiTheme="minorHAnsi" w:cstheme="minorHAnsi"/>
        </w:rPr>
        <w:t>tributes to</w:t>
      </w:r>
      <w:r w:rsidR="00171549" w:rsidRPr="00D52F35">
        <w:rPr>
          <w:rFonts w:asciiTheme="minorHAnsi" w:hAnsiTheme="minorHAnsi" w:cstheme="minorHAnsi"/>
        </w:rPr>
        <w:t xml:space="preserve"> </w:t>
      </w:r>
      <w:r w:rsidR="000C1AEB" w:rsidRPr="00D52F35">
        <w:rPr>
          <w:rFonts w:asciiTheme="minorHAnsi" w:hAnsiTheme="minorHAnsi" w:cstheme="minorHAnsi"/>
        </w:rPr>
        <w:t xml:space="preserve">the </w:t>
      </w:r>
      <w:r w:rsidR="00171549" w:rsidRPr="00D52F35">
        <w:rPr>
          <w:rFonts w:asciiTheme="minorHAnsi" w:hAnsiTheme="minorHAnsi" w:cstheme="minorHAnsi"/>
        </w:rPr>
        <w:t>small percentage of new DSP recipients</w:t>
      </w:r>
      <w:r w:rsidR="00F2600B" w:rsidRPr="00D52F35">
        <w:rPr>
          <w:rFonts w:asciiTheme="minorHAnsi" w:hAnsiTheme="minorHAnsi" w:cstheme="minorHAnsi"/>
        </w:rPr>
        <w:t xml:space="preserve"> </w:t>
      </w:r>
      <w:r w:rsidR="000C1AEB" w:rsidRPr="00D52F35">
        <w:rPr>
          <w:rFonts w:asciiTheme="minorHAnsi" w:hAnsiTheme="minorHAnsi" w:cstheme="minorHAnsi"/>
        </w:rPr>
        <w:t>beginning payment</w:t>
      </w:r>
      <w:r w:rsidR="00F2600B" w:rsidRPr="00D52F35">
        <w:rPr>
          <w:rFonts w:asciiTheme="minorHAnsi" w:hAnsiTheme="minorHAnsi" w:cstheme="minorHAnsi"/>
        </w:rPr>
        <w:t xml:space="preserve"> at 30</w:t>
      </w:r>
      <w:r w:rsidR="00E46C6A">
        <w:rPr>
          <w:rFonts w:asciiTheme="minorHAnsi" w:hAnsiTheme="minorHAnsi" w:cstheme="minorHAnsi"/>
        </w:rPr>
        <w:t> June </w:t>
      </w:r>
      <w:r w:rsidR="00F2600B" w:rsidRPr="00D52F35">
        <w:rPr>
          <w:rFonts w:asciiTheme="minorHAnsi" w:hAnsiTheme="minorHAnsi" w:cstheme="minorHAnsi"/>
        </w:rPr>
        <w:t>202</w:t>
      </w:r>
      <w:r w:rsidR="000C1AEB" w:rsidRPr="00D52F35">
        <w:rPr>
          <w:rFonts w:asciiTheme="minorHAnsi" w:hAnsiTheme="minorHAnsi" w:cstheme="minorHAnsi"/>
        </w:rPr>
        <w:t>2</w:t>
      </w:r>
      <w:r w:rsidR="00A511F7" w:rsidRPr="00D52F35">
        <w:rPr>
          <w:rFonts w:asciiTheme="minorHAnsi" w:hAnsiTheme="minorHAnsi" w:cstheme="minorHAnsi"/>
        </w:rPr>
        <w:t>. T</w:t>
      </w:r>
      <w:r w:rsidR="00CB5EA4" w:rsidRPr="00D52F35">
        <w:rPr>
          <w:rFonts w:asciiTheme="minorHAnsi" w:hAnsiTheme="minorHAnsi" w:cstheme="minorHAnsi"/>
        </w:rPr>
        <w:t>he number of people receiving DSP increased by 1.6% between 30</w:t>
      </w:r>
      <w:r w:rsidR="00E46C6A">
        <w:rPr>
          <w:rFonts w:asciiTheme="minorHAnsi" w:hAnsiTheme="minorHAnsi" w:cstheme="minorHAnsi"/>
        </w:rPr>
        <w:t> June </w:t>
      </w:r>
      <w:r w:rsidR="00CB5EA4" w:rsidRPr="00D52F35">
        <w:rPr>
          <w:rFonts w:asciiTheme="minorHAnsi" w:hAnsiTheme="minorHAnsi" w:cstheme="minorHAnsi"/>
        </w:rPr>
        <w:t>2021 and 30</w:t>
      </w:r>
      <w:r w:rsidR="00E46C6A">
        <w:rPr>
          <w:rFonts w:asciiTheme="minorHAnsi" w:hAnsiTheme="minorHAnsi" w:cstheme="minorHAnsi"/>
        </w:rPr>
        <w:t> June </w:t>
      </w:r>
      <w:r w:rsidR="00CB5EA4" w:rsidRPr="00D52F35">
        <w:rPr>
          <w:rFonts w:asciiTheme="minorHAnsi" w:hAnsiTheme="minorHAnsi" w:cstheme="minorHAnsi"/>
        </w:rPr>
        <w:t>2022.</w:t>
      </w:r>
    </w:p>
    <w:p w14:paraId="0B609EE7" w14:textId="4FD9A20C" w:rsidR="007069EA" w:rsidRPr="00A13641" w:rsidRDefault="007855DD" w:rsidP="005E332C">
      <w:pPr>
        <w:pStyle w:val="FigureMainHeading"/>
      </w:pPr>
      <w:bookmarkStart w:id="125" w:name="_Ref153317081"/>
      <w:r>
        <w:t>Figure </w:t>
      </w:r>
      <w:r w:rsidR="00B80D45">
        <w:fldChar w:fldCharType="begin"/>
      </w:r>
      <w:r w:rsidR="00B80D45">
        <w:instrText xml:space="preserve"> STYLEREF 1 \s </w:instrText>
      </w:r>
      <w:r w:rsidR="00B80D45">
        <w:fldChar w:fldCharType="separate"/>
      </w:r>
      <w:r w:rsidR="00722C0A">
        <w:rPr>
          <w:noProof/>
        </w:rPr>
        <w:t>9</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1</w:t>
      </w:r>
      <w:r w:rsidR="00B80D45">
        <w:rPr>
          <w:noProof/>
        </w:rPr>
        <w:fldChar w:fldCharType="end"/>
      </w:r>
      <w:bookmarkEnd w:id="125"/>
      <w:r w:rsidR="005E332C">
        <w:t>:</w:t>
      </w:r>
      <w:r w:rsidR="005E332C">
        <w:tab/>
      </w:r>
      <w:r w:rsidR="007069EA" w:rsidRPr="00A13641">
        <w:t xml:space="preserve">People receiving DSP </w:t>
      </w:r>
      <w:r w:rsidR="00C95BE9" w:rsidRPr="00A13641">
        <w:t>at 30</w:t>
      </w:r>
      <w:r w:rsidR="00E46C6A">
        <w:t> June </w:t>
      </w:r>
      <w:r w:rsidR="00C95BE9" w:rsidRPr="00A13641">
        <w:t>2022</w:t>
      </w:r>
    </w:p>
    <w:p w14:paraId="211467FC" w14:textId="4536E26E" w:rsidR="009E568F" w:rsidRDefault="007A560F" w:rsidP="00EF5B7F">
      <w:pPr>
        <w:pStyle w:val="ChartGraphic"/>
        <w:rPr>
          <w:rFonts w:asciiTheme="minorHAnsi" w:hAnsiTheme="minorHAnsi" w:cstheme="minorHAnsi"/>
          <w:szCs w:val="21"/>
        </w:rPr>
      </w:pPr>
      <w:r>
        <w:rPr>
          <w:noProof/>
        </w:rPr>
        <w:drawing>
          <wp:inline distT="0" distB="0" distL="0" distR="0" wp14:anchorId="1671F0AB" wp14:editId="7C5202FA">
            <wp:extent cx="4319905" cy="1323975"/>
            <wp:effectExtent l="0" t="0" r="4445" b="0"/>
            <wp:docPr id="8" name="Chart 8" descr="This chart shows that 94% of people receiving DSP at 30 June 2022 also received DSP at 30 June 2021. This highlights that majority of DSP recipients tend to receive payment over a long term."/>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860664A" w14:textId="067589DC" w:rsidR="00B04FCE" w:rsidRDefault="00A511F7" w:rsidP="00EF5B7F">
      <w:pPr>
        <w:pStyle w:val="Heading2notnumbered"/>
      </w:pPr>
      <w:r>
        <w:t>44</w:t>
      </w:r>
      <w:r w:rsidR="00CA6576" w:rsidRPr="00791CA6">
        <w:t xml:space="preserve">% </w:t>
      </w:r>
      <w:r>
        <w:t xml:space="preserve">of </w:t>
      </w:r>
      <w:r w:rsidR="00EB40BE">
        <w:t>the 45,000</w:t>
      </w:r>
      <w:r>
        <w:t xml:space="preserve"> new DSP recipients at 30</w:t>
      </w:r>
      <w:r w:rsidR="00E46C6A">
        <w:t> June </w:t>
      </w:r>
      <w:r>
        <w:t xml:space="preserve">2022 were receiving </w:t>
      </w:r>
      <w:r w:rsidR="005E332C">
        <w:t>JobSeeker Payment</w:t>
      </w:r>
      <w:r>
        <w:t xml:space="preserve"> a year earlier</w:t>
      </w:r>
      <w:r w:rsidR="00CA6576" w:rsidRPr="00791CA6">
        <w:t xml:space="preserve">. </w:t>
      </w:r>
      <w:r>
        <w:t xml:space="preserve">35% of </w:t>
      </w:r>
      <w:r w:rsidR="009975D8">
        <w:t>new DSP recipients</w:t>
      </w:r>
      <w:r>
        <w:t xml:space="preserve"> </w:t>
      </w:r>
      <w:r w:rsidR="00CA6576" w:rsidRPr="00791CA6">
        <w:t xml:space="preserve">had a </w:t>
      </w:r>
      <w:r w:rsidR="00CA6576">
        <w:t>p</w:t>
      </w:r>
      <w:r w:rsidR="00CA6576" w:rsidRPr="00791CA6">
        <w:t xml:space="preserve">artial </w:t>
      </w:r>
      <w:r w:rsidR="00CA6576">
        <w:t>c</w:t>
      </w:r>
      <w:r w:rsidR="00CA6576" w:rsidRPr="00791CA6">
        <w:t xml:space="preserve">apacity to </w:t>
      </w:r>
      <w:r w:rsidR="00CA6576">
        <w:t>w</w:t>
      </w:r>
      <w:r w:rsidR="00CA6576" w:rsidRPr="00791CA6">
        <w:t>ork</w:t>
      </w:r>
      <w:r w:rsidR="007439B2">
        <w:t>.</w:t>
      </w:r>
    </w:p>
    <w:p w14:paraId="3FFFD718" w14:textId="46EC19C7" w:rsidR="00B04FCE" w:rsidRDefault="00F2600B" w:rsidP="00D52F35">
      <w:pPr>
        <w:spacing w:after="0"/>
        <w:rPr>
          <w:rFonts w:asciiTheme="minorHAnsi" w:hAnsiTheme="minorHAnsi" w:cstheme="minorHAnsi"/>
        </w:rPr>
      </w:pPr>
      <w:r w:rsidRPr="00D52F35">
        <w:rPr>
          <w:rFonts w:asciiTheme="minorHAnsi" w:hAnsiTheme="minorHAnsi" w:cstheme="minorHAnsi"/>
        </w:rPr>
        <w:t xml:space="preserve">The large proportion of new DSP recipients </w:t>
      </w:r>
      <w:r w:rsidR="000C1AEB" w:rsidRPr="00D52F35">
        <w:rPr>
          <w:rFonts w:asciiTheme="minorHAnsi" w:hAnsiTheme="minorHAnsi" w:cstheme="minorHAnsi"/>
        </w:rPr>
        <w:t>with a</w:t>
      </w:r>
      <w:r w:rsidRPr="00D52F35">
        <w:rPr>
          <w:rFonts w:asciiTheme="minorHAnsi" w:hAnsiTheme="minorHAnsi" w:cstheme="minorHAnsi"/>
        </w:rPr>
        <w:t xml:space="preserve"> partial capacity to work indicates many </w:t>
      </w:r>
      <w:r w:rsidR="00696575" w:rsidRPr="00D52F35">
        <w:rPr>
          <w:rFonts w:asciiTheme="minorHAnsi" w:hAnsiTheme="minorHAnsi" w:cstheme="minorHAnsi"/>
        </w:rPr>
        <w:t xml:space="preserve">people receiving </w:t>
      </w:r>
      <w:r w:rsidRPr="00D52F35">
        <w:rPr>
          <w:rFonts w:asciiTheme="minorHAnsi" w:hAnsiTheme="minorHAnsi" w:cstheme="minorHAnsi"/>
        </w:rPr>
        <w:t xml:space="preserve">DSP had limitations to their work capacity prior to commencing DSP. </w:t>
      </w:r>
      <w:r w:rsidR="007069EA" w:rsidRPr="00D52F35">
        <w:rPr>
          <w:rFonts w:asciiTheme="minorHAnsi" w:hAnsiTheme="minorHAnsi" w:cstheme="minorHAnsi"/>
        </w:rPr>
        <w:fldChar w:fldCharType="begin"/>
      </w:r>
      <w:r w:rsidR="007069EA" w:rsidRPr="00D52F35">
        <w:rPr>
          <w:rFonts w:asciiTheme="minorHAnsi" w:hAnsiTheme="minorHAnsi" w:cstheme="minorHAnsi"/>
        </w:rPr>
        <w:instrText xml:space="preserve"> REF _Ref153315562 \h  \* MERGEFORMAT </w:instrText>
      </w:r>
      <w:r w:rsidR="007069EA" w:rsidRPr="00D52F35">
        <w:rPr>
          <w:rFonts w:asciiTheme="minorHAnsi" w:hAnsiTheme="minorHAnsi" w:cstheme="minorHAnsi"/>
        </w:rPr>
      </w:r>
      <w:r w:rsidR="007069EA" w:rsidRPr="00D52F35">
        <w:rPr>
          <w:rFonts w:asciiTheme="minorHAnsi" w:hAnsiTheme="minorHAnsi" w:cstheme="minorHAnsi"/>
        </w:rPr>
        <w:fldChar w:fldCharType="separate"/>
      </w:r>
      <w:r w:rsidR="00722C0A" w:rsidRPr="00722C0A">
        <w:rPr>
          <w:rFonts w:asciiTheme="minorHAnsi" w:hAnsiTheme="minorHAnsi" w:cstheme="minorHAnsi"/>
        </w:rPr>
        <w:t>Figure 9.2</w:t>
      </w:r>
      <w:r w:rsidR="007069EA" w:rsidRPr="00D52F35">
        <w:rPr>
          <w:rFonts w:asciiTheme="minorHAnsi" w:hAnsiTheme="minorHAnsi" w:cstheme="minorHAnsi"/>
        </w:rPr>
        <w:fldChar w:fldCharType="end"/>
      </w:r>
      <w:r w:rsidR="007069EA" w:rsidRPr="00D52F35">
        <w:rPr>
          <w:rFonts w:asciiTheme="minorHAnsi" w:hAnsiTheme="minorHAnsi" w:cstheme="minorHAnsi"/>
        </w:rPr>
        <w:t xml:space="preserve"> </w:t>
      </w:r>
      <w:r w:rsidRPr="00D52F35">
        <w:rPr>
          <w:rFonts w:asciiTheme="minorHAnsi" w:hAnsiTheme="minorHAnsi" w:cstheme="minorHAnsi"/>
        </w:rPr>
        <w:t>also shows almost half (48%) of new DSP recipients were not receiving income support a year earlier.</w:t>
      </w:r>
    </w:p>
    <w:p w14:paraId="58E6A4CE" w14:textId="3E92038D" w:rsidR="00C32F9C" w:rsidRPr="00A13641" w:rsidRDefault="007855DD" w:rsidP="005E332C">
      <w:pPr>
        <w:pStyle w:val="FigureMainHeading"/>
      </w:pPr>
      <w:bookmarkStart w:id="126" w:name="_Ref153315562"/>
      <w:r>
        <w:t>Figure </w:t>
      </w:r>
      <w:r w:rsidR="00B80D45">
        <w:fldChar w:fldCharType="begin"/>
      </w:r>
      <w:r w:rsidR="00B80D45">
        <w:instrText xml:space="preserve"> STYLEREF 1 \s </w:instrText>
      </w:r>
      <w:r w:rsidR="00B80D45">
        <w:fldChar w:fldCharType="separate"/>
      </w:r>
      <w:r w:rsidR="00722C0A">
        <w:rPr>
          <w:noProof/>
        </w:rPr>
        <w:t>9</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2</w:t>
      </w:r>
      <w:r w:rsidR="00B80D45">
        <w:rPr>
          <w:noProof/>
        </w:rPr>
        <w:fldChar w:fldCharType="end"/>
      </w:r>
      <w:bookmarkEnd w:id="126"/>
      <w:r w:rsidR="005E332C">
        <w:t>:</w:t>
      </w:r>
      <w:r w:rsidR="005E332C">
        <w:tab/>
      </w:r>
      <w:r w:rsidR="00C95BE9">
        <w:t>I</w:t>
      </w:r>
      <w:r w:rsidR="00C95BE9" w:rsidRPr="00A13641">
        <w:t xml:space="preserve">ncome support payments received by new </w:t>
      </w:r>
      <w:r w:rsidR="00054710">
        <w:t>DSP</w:t>
      </w:r>
      <w:r w:rsidR="00C95BE9" w:rsidRPr="00A13641">
        <w:t xml:space="preserve"> recipients a year earlier, at 30</w:t>
      </w:r>
      <w:r w:rsidR="00E46C6A">
        <w:t> June </w:t>
      </w:r>
      <w:r w:rsidR="00C95BE9" w:rsidRPr="00A13641">
        <w:t>2021</w:t>
      </w:r>
    </w:p>
    <w:p w14:paraId="24A5303A" w14:textId="77777777" w:rsidR="00B04FCE" w:rsidRPr="00054710" w:rsidRDefault="007A560F" w:rsidP="00054710">
      <w:pPr>
        <w:pStyle w:val="ChartGraphic"/>
      </w:pPr>
      <w:r>
        <w:rPr>
          <w:noProof/>
        </w:rPr>
        <w:drawing>
          <wp:inline distT="0" distB="0" distL="0" distR="0" wp14:anchorId="172FCD18" wp14:editId="2D3BF795">
            <wp:extent cx="4319905" cy="2724150"/>
            <wp:effectExtent l="0" t="0" r="4445" b="0"/>
            <wp:docPr id="10" name="Chart 10" descr="This chart shows the income support payments that new DSP recipients received one year earlier at 30 June 2021. 52% of new DSP recipients received income support one year earlier, majority of which were JobSeeker Payment (44%). of the 44% JobSeeker payment recipients, 35% had a partial capacity to work, whereas 9% had a full capacity to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8FC376B" w14:textId="4A75A054" w:rsidR="006305CB" w:rsidRDefault="00F81D29" w:rsidP="00EF5B7F">
      <w:pPr>
        <w:pStyle w:val="Heading2notnumbered"/>
      </w:pPr>
      <w:r>
        <w:t>New</w:t>
      </w:r>
      <w:r w:rsidR="00AC7BA7">
        <w:t xml:space="preserve"> </w:t>
      </w:r>
      <w:r w:rsidR="009319FD">
        <w:t xml:space="preserve">DSP </w:t>
      </w:r>
      <w:r>
        <w:t xml:space="preserve">recipients </w:t>
      </w:r>
      <w:r w:rsidR="00D042E1">
        <w:t xml:space="preserve">who were previously on </w:t>
      </w:r>
      <w:r w:rsidR="005E332C">
        <w:t>JobSeeker Payment</w:t>
      </w:r>
      <w:r w:rsidR="0021724B">
        <w:t xml:space="preserve"> </w:t>
      </w:r>
      <w:r w:rsidR="00D042E1">
        <w:t xml:space="preserve">with a </w:t>
      </w:r>
      <w:r w:rsidR="00694F03">
        <w:t xml:space="preserve">partial capacity to work received income support for </w:t>
      </w:r>
      <w:r w:rsidR="00D042E1">
        <w:t>a</w:t>
      </w:r>
      <w:r w:rsidR="00694F03">
        <w:t xml:space="preserve"> year longer than </w:t>
      </w:r>
      <w:r w:rsidR="00382EFA">
        <w:t>new DSP recipients</w:t>
      </w:r>
      <w:r w:rsidR="00694F03">
        <w:t xml:space="preserve"> </w:t>
      </w:r>
      <w:r w:rsidR="00D042E1">
        <w:t>who had been on</w:t>
      </w:r>
      <w:r w:rsidR="00382EFA">
        <w:t xml:space="preserve"> </w:t>
      </w:r>
      <w:r w:rsidR="005E332C">
        <w:t>JobSeeker Payment</w:t>
      </w:r>
      <w:r w:rsidR="00382EFA">
        <w:t xml:space="preserve"> with </w:t>
      </w:r>
      <w:r w:rsidR="00694F03">
        <w:t>full capacity</w:t>
      </w:r>
      <w:r w:rsidR="00D042E1">
        <w:t xml:space="preserve"> to work</w:t>
      </w:r>
      <w:r w:rsidR="00694F03">
        <w:t>.</w:t>
      </w:r>
    </w:p>
    <w:p w14:paraId="2A6B9ED1" w14:textId="6FC029E2" w:rsidR="00B04FCE" w:rsidRDefault="006543E6">
      <w:pPr>
        <w:spacing w:after="0"/>
        <w:rPr>
          <w:rFonts w:asciiTheme="minorHAnsi" w:hAnsiTheme="minorHAnsi" w:cstheme="minorHAnsi"/>
        </w:rPr>
      </w:pPr>
      <w:r w:rsidRPr="00D52F35">
        <w:rPr>
          <w:rFonts w:asciiTheme="minorHAnsi" w:hAnsiTheme="minorHAnsi" w:cstheme="minorHAnsi"/>
        </w:rPr>
        <w:t>People re</w:t>
      </w:r>
      <w:r w:rsidR="00382EFA" w:rsidRPr="00D52F35">
        <w:rPr>
          <w:rFonts w:asciiTheme="minorHAnsi" w:hAnsiTheme="minorHAnsi" w:cstheme="minorHAnsi"/>
        </w:rPr>
        <w:t xml:space="preserve">ceiving </w:t>
      </w:r>
      <w:r w:rsidR="005E332C">
        <w:rPr>
          <w:rFonts w:asciiTheme="minorHAnsi" w:hAnsiTheme="minorHAnsi" w:cstheme="minorHAnsi"/>
        </w:rPr>
        <w:t>JobSeeker Payment</w:t>
      </w:r>
      <w:r w:rsidR="00382EFA" w:rsidRPr="00D52F35">
        <w:rPr>
          <w:rFonts w:asciiTheme="minorHAnsi" w:hAnsiTheme="minorHAnsi" w:cstheme="minorHAnsi"/>
        </w:rPr>
        <w:t xml:space="preserve"> with</w:t>
      </w:r>
      <w:r w:rsidRPr="00D52F35">
        <w:rPr>
          <w:rFonts w:asciiTheme="minorHAnsi" w:hAnsiTheme="minorHAnsi" w:cstheme="minorHAnsi"/>
        </w:rPr>
        <w:t xml:space="preserve"> partial capacity to work prior to commencing DSP received income support for </w:t>
      </w:r>
      <w:r w:rsidR="00694F03" w:rsidRPr="00D52F35">
        <w:rPr>
          <w:rFonts w:asciiTheme="minorHAnsi" w:hAnsiTheme="minorHAnsi" w:cstheme="minorHAnsi"/>
        </w:rPr>
        <w:t>4</w:t>
      </w:r>
      <w:r w:rsidRPr="00D52F35">
        <w:rPr>
          <w:rFonts w:asciiTheme="minorHAnsi" w:hAnsiTheme="minorHAnsi" w:cstheme="minorHAnsi"/>
        </w:rPr>
        <w:t xml:space="preserve"> of the 5</w:t>
      </w:r>
      <w:r w:rsidR="007855DD">
        <w:rPr>
          <w:rFonts w:asciiTheme="minorHAnsi" w:hAnsiTheme="minorHAnsi" w:cstheme="minorHAnsi"/>
        </w:rPr>
        <w:t> year</w:t>
      </w:r>
      <w:r w:rsidRPr="00D52F35">
        <w:rPr>
          <w:rFonts w:asciiTheme="minorHAnsi" w:hAnsiTheme="minorHAnsi" w:cstheme="minorHAnsi"/>
        </w:rPr>
        <w:t xml:space="preserve">s to </w:t>
      </w:r>
      <w:r w:rsidRPr="00D52F35">
        <w:rPr>
          <w:rFonts w:asciiTheme="minorHAnsi" w:hAnsiTheme="minorHAnsi" w:cstheme="minorHAnsi"/>
        </w:rPr>
        <w:lastRenderedPageBreak/>
        <w:t>30</w:t>
      </w:r>
      <w:r w:rsidR="00E46C6A">
        <w:rPr>
          <w:rFonts w:asciiTheme="minorHAnsi" w:hAnsiTheme="minorHAnsi" w:cstheme="minorHAnsi"/>
        </w:rPr>
        <w:t> June </w:t>
      </w:r>
      <w:r w:rsidRPr="00D52F35">
        <w:rPr>
          <w:rFonts w:asciiTheme="minorHAnsi" w:hAnsiTheme="minorHAnsi" w:cstheme="minorHAnsi"/>
        </w:rPr>
        <w:t>2022</w:t>
      </w:r>
      <w:r w:rsidR="00AC7BA7" w:rsidRPr="00D52F35">
        <w:rPr>
          <w:rFonts w:asciiTheme="minorHAnsi" w:hAnsiTheme="minorHAnsi" w:cstheme="minorHAnsi"/>
        </w:rPr>
        <w:t xml:space="preserve"> (</w:t>
      </w:r>
      <w:r w:rsidR="00123BB0" w:rsidRPr="00D52F35">
        <w:rPr>
          <w:rFonts w:asciiTheme="minorHAnsi" w:hAnsiTheme="minorHAnsi" w:cstheme="minorHAnsi"/>
        </w:rPr>
        <w:fldChar w:fldCharType="begin"/>
      </w:r>
      <w:r w:rsidR="00123BB0" w:rsidRPr="00D52F35">
        <w:rPr>
          <w:rFonts w:asciiTheme="minorHAnsi" w:hAnsiTheme="minorHAnsi" w:cstheme="minorHAnsi"/>
        </w:rPr>
        <w:instrText xml:space="preserve"> REF _Ref153315607 \h  \* MERGEFORMAT </w:instrText>
      </w:r>
      <w:r w:rsidR="00123BB0" w:rsidRPr="00D52F35">
        <w:rPr>
          <w:rFonts w:asciiTheme="minorHAnsi" w:hAnsiTheme="minorHAnsi" w:cstheme="minorHAnsi"/>
        </w:rPr>
      </w:r>
      <w:r w:rsidR="00123BB0" w:rsidRPr="00D52F35">
        <w:rPr>
          <w:rFonts w:asciiTheme="minorHAnsi" w:hAnsiTheme="minorHAnsi" w:cstheme="minorHAnsi"/>
        </w:rPr>
        <w:fldChar w:fldCharType="separate"/>
      </w:r>
      <w:r w:rsidR="00722C0A" w:rsidRPr="00722C0A">
        <w:rPr>
          <w:rFonts w:asciiTheme="minorHAnsi" w:hAnsiTheme="minorHAnsi" w:cstheme="minorHAnsi"/>
        </w:rPr>
        <w:t>Figure 9.3</w:t>
      </w:r>
      <w:r w:rsidR="00123BB0" w:rsidRPr="00D52F35">
        <w:rPr>
          <w:rFonts w:asciiTheme="minorHAnsi" w:hAnsiTheme="minorHAnsi" w:cstheme="minorHAnsi"/>
        </w:rPr>
        <w:fldChar w:fldCharType="end"/>
      </w:r>
      <w:r w:rsidR="00AC7BA7" w:rsidRPr="00D52F35">
        <w:rPr>
          <w:rFonts w:asciiTheme="minorHAnsi" w:hAnsiTheme="minorHAnsi" w:cstheme="minorHAnsi"/>
        </w:rPr>
        <w:t>)</w:t>
      </w:r>
      <w:r w:rsidR="00382EFA" w:rsidRPr="00D52F35">
        <w:rPr>
          <w:rFonts w:asciiTheme="minorHAnsi" w:hAnsiTheme="minorHAnsi" w:cstheme="minorHAnsi"/>
        </w:rPr>
        <w:t xml:space="preserve"> on average. </w:t>
      </w:r>
      <w:r w:rsidRPr="00D52F35">
        <w:rPr>
          <w:rFonts w:asciiTheme="minorHAnsi" w:hAnsiTheme="minorHAnsi" w:cstheme="minorHAnsi"/>
        </w:rPr>
        <w:t xml:space="preserve">By </w:t>
      </w:r>
      <w:r w:rsidR="00694F03" w:rsidRPr="00D52F35">
        <w:rPr>
          <w:rFonts w:asciiTheme="minorHAnsi" w:hAnsiTheme="minorHAnsi" w:cstheme="minorHAnsi"/>
        </w:rPr>
        <w:t xml:space="preserve">comparison, new DSP recipients who were previously receiving </w:t>
      </w:r>
      <w:r w:rsidR="005E332C">
        <w:rPr>
          <w:rFonts w:asciiTheme="minorHAnsi" w:hAnsiTheme="minorHAnsi" w:cstheme="minorHAnsi"/>
        </w:rPr>
        <w:t>JobSeeker Payment</w:t>
      </w:r>
      <w:r w:rsidR="00694F03" w:rsidRPr="00D52F35">
        <w:rPr>
          <w:rFonts w:asciiTheme="minorHAnsi" w:hAnsiTheme="minorHAnsi" w:cstheme="minorHAnsi"/>
        </w:rPr>
        <w:t xml:space="preserve"> and had</w:t>
      </w:r>
      <w:r w:rsidRPr="00D52F35">
        <w:rPr>
          <w:rFonts w:asciiTheme="minorHAnsi" w:hAnsiTheme="minorHAnsi" w:cstheme="minorHAnsi"/>
        </w:rPr>
        <w:t xml:space="preserve"> full work capacity prior to beginning D</w:t>
      </w:r>
      <w:r w:rsidR="006E7CDB" w:rsidRPr="00D52F35">
        <w:rPr>
          <w:rFonts w:asciiTheme="minorHAnsi" w:hAnsiTheme="minorHAnsi" w:cstheme="minorHAnsi"/>
        </w:rPr>
        <w:t xml:space="preserve">SP received income support for </w:t>
      </w:r>
      <w:r w:rsidR="00382EFA" w:rsidRPr="00D52F35">
        <w:rPr>
          <w:rFonts w:asciiTheme="minorHAnsi" w:hAnsiTheme="minorHAnsi" w:cstheme="minorHAnsi"/>
        </w:rPr>
        <w:t>3</w:t>
      </w:r>
      <w:r w:rsidR="007855DD">
        <w:rPr>
          <w:rFonts w:asciiTheme="minorHAnsi" w:hAnsiTheme="minorHAnsi" w:cstheme="minorHAnsi"/>
        </w:rPr>
        <w:t> year</w:t>
      </w:r>
      <w:r w:rsidR="00382EFA" w:rsidRPr="00D52F35">
        <w:rPr>
          <w:rFonts w:asciiTheme="minorHAnsi" w:hAnsiTheme="minorHAnsi" w:cstheme="minorHAnsi"/>
        </w:rPr>
        <w:t>s</w:t>
      </w:r>
      <w:r w:rsidRPr="00D52F35">
        <w:rPr>
          <w:rFonts w:asciiTheme="minorHAnsi" w:hAnsiTheme="minorHAnsi" w:cstheme="minorHAnsi"/>
        </w:rPr>
        <w:t xml:space="preserve"> </w:t>
      </w:r>
      <w:r w:rsidR="00382EFA" w:rsidRPr="00D52F35">
        <w:rPr>
          <w:rFonts w:asciiTheme="minorHAnsi" w:hAnsiTheme="minorHAnsi" w:cstheme="minorHAnsi"/>
        </w:rPr>
        <w:t>over</w:t>
      </w:r>
      <w:r w:rsidRPr="00D52F35">
        <w:rPr>
          <w:rFonts w:asciiTheme="minorHAnsi" w:hAnsiTheme="minorHAnsi" w:cstheme="minorHAnsi"/>
        </w:rPr>
        <w:t xml:space="preserve"> the</w:t>
      </w:r>
      <w:r w:rsidR="00382EFA" w:rsidRPr="00D52F35">
        <w:rPr>
          <w:rFonts w:asciiTheme="minorHAnsi" w:hAnsiTheme="minorHAnsi" w:cstheme="minorHAnsi"/>
        </w:rPr>
        <w:t xml:space="preserve"> </w:t>
      </w:r>
      <w:r w:rsidRPr="00D52F35">
        <w:rPr>
          <w:rFonts w:asciiTheme="minorHAnsi" w:hAnsiTheme="minorHAnsi" w:cstheme="minorHAnsi"/>
        </w:rPr>
        <w:t>5</w:t>
      </w:r>
      <w:r w:rsidR="007855DD">
        <w:rPr>
          <w:rFonts w:asciiTheme="minorHAnsi" w:hAnsiTheme="minorHAnsi" w:cstheme="minorHAnsi"/>
        </w:rPr>
        <w:t> year</w:t>
      </w:r>
      <w:r w:rsidRPr="00D52F35">
        <w:rPr>
          <w:rFonts w:asciiTheme="minorHAnsi" w:hAnsiTheme="minorHAnsi" w:cstheme="minorHAnsi"/>
        </w:rPr>
        <w:t>s to 30</w:t>
      </w:r>
      <w:r w:rsidR="00E46C6A">
        <w:rPr>
          <w:rFonts w:asciiTheme="minorHAnsi" w:hAnsiTheme="minorHAnsi" w:cstheme="minorHAnsi"/>
        </w:rPr>
        <w:t> June </w:t>
      </w:r>
      <w:r w:rsidRPr="00D52F35">
        <w:rPr>
          <w:rFonts w:asciiTheme="minorHAnsi" w:hAnsiTheme="minorHAnsi" w:cstheme="minorHAnsi"/>
        </w:rPr>
        <w:t xml:space="preserve">2022. </w:t>
      </w:r>
      <w:r w:rsidR="00AC7BA7" w:rsidRPr="00D52F35">
        <w:rPr>
          <w:rFonts w:asciiTheme="minorHAnsi" w:hAnsiTheme="minorHAnsi" w:cstheme="minorHAnsi"/>
        </w:rPr>
        <w:t>E</w:t>
      </w:r>
      <w:r w:rsidRPr="00D52F35">
        <w:rPr>
          <w:rFonts w:asciiTheme="minorHAnsi" w:hAnsiTheme="minorHAnsi" w:cstheme="minorHAnsi"/>
        </w:rPr>
        <w:t xml:space="preserve">xisting DSP recipients </w:t>
      </w:r>
      <w:r w:rsidR="00AC7BA7" w:rsidRPr="00D52F35">
        <w:rPr>
          <w:rFonts w:asciiTheme="minorHAnsi" w:hAnsiTheme="minorHAnsi" w:cstheme="minorHAnsi"/>
        </w:rPr>
        <w:t>received</w:t>
      </w:r>
      <w:r w:rsidR="004C06EF" w:rsidRPr="00D52F35">
        <w:rPr>
          <w:rFonts w:asciiTheme="minorHAnsi" w:hAnsiTheme="minorHAnsi" w:cstheme="minorHAnsi"/>
        </w:rPr>
        <w:t xml:space="preserve"> income support for </w:t>
      </w:r>
      <w:r w:rsidRPr="00D52F35">
        <w:rPr>
          <w:rFonts w:asciiTheme="minorHAnsi" w:hAnsiTheme="minorHAnsi" w:cstheme="minorHAnsi"/>
        </w:rPr>
        <w:t xml:space="preserve">4.8 </w:t>
      </w:r>
      <w:r w:rsidR="004C06EF" w:rsidRPr="00D52F35">
        <w:rPr>
          <w:rFonts w:asciiTheme="minorHAnsi" w:hAnsiTheme="minorHAnsi" w:cstheme="minorHAnsi"/>
        </w:rPr>
        <w:t>of the previous 5</w:t>
      </w:r>
      <w:r w:rsidR="007855DD">
        <w:rPr>
          <w:rFonts w:asciiTheme="minorHAnsi" w:hAnsiTheme="minorHAnsi" w:cstheme="minorHAnsi"/>
        </w:rPr>
        <w:t> year</w:t>
      </w:r>
      <w:r w:rsidRPr="00D52F35">
        <w:rPr>
          <w:rFonts w:asciiTheme="minorHAnsi" w:hAnsiTheme="minorHAnsi" w:cstheme="minorHAnsi"/>
        </w:rPr>
        <w:t>s</w:t>
      </w:r>
      <w:r w:rsidR="004C06EF" w:rsidRPr="00D52F35">
        <w:rPr>
          <w:rFonts w:asciiTheme="minorHAnsi" w:hAnsiTheme="minorHAnsi" w:cstheme="minorHAnsi"/>
        </w:rPr>
        <w:t>.</w:t>
      </w:r>
    </w:p>
    <w:p w14:paraId="6218DFB2" w14:textId="3C1C46B8" w:rsidR="00B04FCE" w:rsidRDefault="007855DD" w:rsidP="005E332C">
      <w:pPr>
        <w:pStyle w:val="FigureMainHeading"/>
      </w:pPr>
      <w:bookmarkStart w:id="127" w:name="_Ref153315607"/>
      <w:bookmarkStart w:id="128" w:name="_Ref150954609"/>
      <w:r>
        <w:t>Figure </w:t>
      </w:r>
      <w:r w:rsidR="00B80D45">
        <w:fldChar w:fldCharType="begin"/>
      </w:r>
      <w:r w:rsidR="00B80D45">
        <w:instrText xml:space="preserve"> STYLEREF 1 \s </w:instrText>
      </w:r>
      <w:r w:rsidR="00B80D45">
        <w:fldChar w:fldCharType="separate"/>
      </w:r>
      <w:r w:rsidR="00722C0A">
        <w:rPr>
          <w:noProof/>
        </w:rPr>
        <w:t>9</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3</w:t>
      </w:r>
      <w:r w:rsidR="00B80D45">
        <w:rPr>
          <w:noProof/>
        </w:rPr>
        <w:fldChar w:fldCharType="end"/>
      </w:r>
      <w:bookmarkEnd w:id="127"/>
      <w:bookmarkEnd w:id="128"/>
      <w:r w:rsidR="005E332C">
        <w:t>:</w:t>
      </w:r>
      <w:r w:rsidR="005E332C">
        <w:tab/>
      </w:r>
      <w:r w:rsidR="00716364" w:rsidRPr="00A13641">
        <w:t xml:space="preserve">Average </w:t>
      </w:r>
      <w:r w:rsidR="00C95BE9" w:rsidRPr="00A13641">
        <w:t>time on income support over the previous 5</w:t>
      </w:r>
      <w:r>
        <w:t> year</w:t>
      </w:r>
      <w:r w:rsidR="00C95BE9" w:rsidRPr="00A13641">
        <w:t xml:space="preserve">s </w:t>
      </w:r>
      <w:r w:rsidR="00716364" w:rsidRPr="00A13641">
        <w:t xml:space="preserve">for people on </w:t>
      </w:r>
      <w:r w:rsidR="006502DA" w:rsidRPr="00A13641">
        <w:t>DSP</w:t>
      </w:r>
    </w:p>
    <w:p w14:paraId="757E3EAA" w14:textId="76C7C99B" w:rsidR="00B04FCE" w:rsidRDefault="00F81D29" w:rsidP="00EF5B7F">
      <w:pPr>
        <w:pStyle w:val="ChartGraphic"/>
      </w:pPr>
      <w:r>
        <w:rPr>
          <w:noProof/>
        </w:rPr>
        <w:drawing>
          <wp:inline distT="0" distB="0" distL="0" distR="0" wp14:anchorId="4ABEC22F" wp14:editId="786C7638">
            <wp:extent cx="4320000" cy="2599267"/>
            <wp:effectExtent l="0" t="0" r="4445" b="0"/>
            <wp:docPr id="294" name="Chart 294" descr="This chart shows the average time receiving income support for people receiving DSP, over the previous 5 years, split by those who one year earlier at 30 June 2021 received:&#10;&#10;- DSP (existing recipients): 4.8 years&#10;- JobSeeker Payment (with partial capacity to work): 4 years&#10;- JobSeeker Payment (with full capacity to work): 3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BAEF2D6" w14:textId="02720F69" w:rsidR="00B04FCE" w:rsidRDefault="009319FD" w:rsidP="00EF5B7F">
      <w:pPr>
        <w:pStyle w:val="Heading2notnumbered"/>
        <w:rPr>
          <w:noProof/>
        </w:rPr>
      </w:pPr>
      <w:r>
        <w:t xml:space="preserve">People receiving DSP </w:t>
      </w:r>
      <w:r w:rsidR="00F45A31">
        <w:t>on</w:t>
      </w:r>
      <w:r>
        <w:t xml:space="preserve"> 30</w:t>
      </w:r>
      <w:r w:rsidR="00E46C6A">
        <w:t> June </w:t>
      </w:r>
      <w:r>
        <w:t xml:space="preserve">2022 </w:t>
      </w:r>
      <w:r w:rsidR="006305CB" w:rsidRPr="00791CA6">
        <w:t xml:space="preserve">are projected to </w:t>
      </w:r>
      <w:r w:rsidR="004C06EF">
        <w:t>continue receiving the payment for</w:t>
      </w:r>
      <w:r w:rsidR="006305CB" w:rsidRPr="00791CA6">
        <w:t xml:space="preserve"> </w:t>
      </w:r>
      <w:r w:rsidR="00FA41AA">
        <w:t xml:space="preserve">more than </w:t>
      </w:r>
      <w:r w:rsidR="004C06EF">
        <w:t>4</w:t>
      </w:r>
      <w:r w:rsidR="004C06EF" w:rsidRPr="00791CA6">
        <w:t xml:space="preserve"> </w:t>
      </w:r>
      <w:r w:rsidR="006305CB" w:rsidRPr="00791CA6">
        <w:t xml:space="preserve">of the next </w:t>
      </w:r>
      <w:r w:rsidR="004C06EF">
        <w:t>5</w:t>
      </w:r>
      <w:r w:rsidR="007855DD">
        <w:t> year</w:t>
      </w:r>
      <w:r w:rsidR="006305CB" w:rsidRPr="00791CA6">
        <w:t>s</w:t>
      </w:r>
      <w:r w:rsidR="004C06EF">
        <w:t>.</w:t>
      </w:r>
      <w:r w:rsidR="006305CB" w:rsidRPr="00791CA6">
        <w:t xml:space="preserve"> </w:t>
      </w:r>
      <w:r w:rsidR="004C06EF">
        <w:t xml:space="preserve">This is </w:t>
      </w:r>
      <w:r w:rsidR="006305CB" w:rsidRPr="00791CA6">
        <w:t>a</w:t>
      </w:r>
      <w:r w:rsidR="008750E7">
        <w:t>lmost</w:t>
      </w:r>
      <w:r w:rsidR="006305CB" w:rsidRPr="00791CA6">
        <w:t xml:space="preserve"> </w:t>
      </w:r>
      <w:r w:rsidR="008750E7">
        <w:t xml:space="preserve">a </w:t>
      </w:r>
      <w:r w:rsidR="006305CB" w:rsidRPr="00791CA6">
        <w:t xml:space="preserve">year </w:t>
      </w:r>
      <w:r w:rsidR="008750E7">
        <w:t>more</w:t>
      </w:r>
      <w:r w:rsidR="008750E7" w:rsidRPr="00791CA6">
        <w:t xml:space="preserve"> </w:t>
      </w:r>
      <w:r w:rsidR="006305CB" w:rsidRPr="00791CA6">
        <w:t xml:space="preserve">than </w:t>
      </w:r>
      <w:r>
        <w:t xml:space="preserve">people receiving </w:t>
      </w:r>
      <w:r w:rsidR="005E332C">
        <w:t>JobSeeker Payment</w:t>
      </w:r>
      <w:r w:rsidRPr="00791CA6">
        <w:t xml:space="preserve"> </w:t>
      </w:r>
      <w:r w:rsidR="006305CB" w:rsidRPr="00791CA6" w:rsidDel="009319FD">
        <w:t xml:space="preserve">with </w:t>
      </w:r>
      <w:r w:rsidR="006305CB" w:rsidRPr="00791CA6">
        <w:t xml:space="preserve">a </w:t>
      </w:r>
      <w:r w:rsidR="007D3640">
        <w:t>p</w:t>
      </w:r>
      <w:r>
        <w:t xml:space="preserve">artial </w:t>
      </w:r>
      <w:r w:rsidR="007D3640">
        <w:t>c</w:t>
      </w:r>
      <w:r>
        <w:t xml:space="preserve">apacity to </w:t>
      </w:r>
      <w:r w:rsidR="007D3640">
        <w:t>w</w:t>
      </w:r>
      <w:r>
        <w:t>ork.</w:t>
      </w:r>
    </w:p>
    <w:p w14:paraId="6314DCFA" w14:textId="50F4D35B" w:rsidR="00B04FCE" w:rsidRDefault="002624DC" w:rsidP="00791CA6">
      <w:pPr>
        <w:spacing w:after="80"/>
        <w:rPr>
          <w:rFonts w:asciiTheme="minorHAnsi" w:hAnsiTheme="minorHAnsi" w:cstheme="minorHAnsi"/>
          <w:szCs w:val="21"/>
        </w:rPr>
      </w:pPr>
      <w:r>
        <w:rPr>
          <w:rFonts w:asciiTheme="minorHAnsi" w:hAnsiTheme="minorHAnsi" w:cstheme="minorHAnsi"/>
          <w:szCs w:val="21"/>
        </w:rPr>
        <w:t>While m</w:t>
      </w:r>
      <w:r w:rsidR="00FA41AA" w:rsidRPr="00FA41AA">
        <w:rPr>
          <w:rFonts w:asciiTheme="minorHAnsi" w:hAnsiTheme="minorHAnsi" w:cstheme="minorHAnsi"/>
          <w:szCs w:val="21"/>
        </w:rPr>
        <w:t xml:space="preserve">ost </w:t>
      </w:r>
      <w:r w:rsidR="004C06EF">
        <w:rPr>
          <w:rFonts w:asciiTheme="minorHAnsi" w:hAnsiTheme="minorHAnsi" w:cstheme="minorHAnsi"/>
          <w:szCs w:val="21"/>
        </w:rPr>
        <w:t xml:space="preserve">people on </w:t>
      </w:r>
      <w:r w:rsidR="00FA41AA" w:rsidRPr="00FA41AA">
        <w:rPr>
          <w:rFonts w:asciiTheme="minorHAnsi" w:hAnsiTheme="minorHAnsi" w:cstheme="minorHAnsi"/>
          <w:szCs w:val="21"/>
        </w:rPr>
        <w:t xml:space="preserve">DSP </w:t>
      </w:r>
      <w:r w:rsidR="004C06EF">
        <w:rPr>
          <w:rFonts w:asciiTheme="minorHAnsi" w:hAnsiTheme="minorHAnsi" w:cstheme="minorHAnsi"/>
          <w:szCs w:val="21"/>
        </w:rPr>
        <w:t>are</w:t>
      </w:r>
      <w:r w:rsidR="00FA41AA" w:rsidRPr="00FA41AA">
        <w:rPr>
          <w:rFonts w:asciiTheme="minorHAnsi" w:hAnsiTheme="minorHAnsi" w:cstheme="minorHAnsi"/>
          <w:szCs w:val="21"/>
        </w:rPr>
        <w:t xml:space="preserve"> not </w:t>
      </w:r>
      <w:r w:rsidR="004C06EF">
        <w:rPr>
          <w:rFonts w:asciiTheme="minorHAnsi" w:hAnsiTheme="minorHAnsi" w:cstheme="minorHAnsi"/>
          <w:szCs w:val="21"/>
        </w:rPr>
        <w:t>predicted to leave the</w:t>
      </w:r>
      <w:r w:rsidR="00FA41AA" w:rsidRPr="00FA41AA">
        <w:rPr>
          <w:rFonts w:asciiTheme="minorHAnsi" w:hAnsiTheme="minorHAnsi" w:cstheme="minorHAnsi"/>
          <w:szCs w:val="21"/>
        </w:rPr>
        <w:t xml:space="preserve"> payment over the next 5</w:t>
      </w:r>
      <w:r w:rsidR="007855DD">
        <w:rPr>
          <w:rFonts w:asciiTheme="minorHAnsi" w:hAnsiTheme="minorHAnsi" w:cstheme="minorHAnsi"/>
          <w:szCs w:val="21"/>
        </w:rPr>
        <w:t> year</w:t>
      </w:r>
      <w:r w:rsidR="00FA41AA" w:rsidRPr="00FA41AA">
        <w:rPr>
          <w:rFonts w:asciiTheme="minorHAnsi" w:hAnsiTheme="minorHAnsi" w:cstheme="minorHAnsi"/>
          <w:szCs w:val="21"/>
        </w:rPr>
        <w:t>s</w:t>
      </w:r>
      <w:r>
        <w:rPr>
          <w:rFonts w:asciiTheme="minorHAnsi" w:hAnsiTheme="minorHAnsi" w:cstheme="minorHAnsi"/>
          <w:szCs w:val="21"/>
        </w:rPr>
        <w:t xml:space="preserve">, </w:t>
      </w:r>
      <w:r w:rsidR="00171549">
        <w:rPr>
          <w:rFonts w:asciiTheme="minorHAnsi" w:hAnsiTheme="minorHAnsi" w:cstheme="minorHAnsi"/>
          <w:szCs w:val="21"/>
        </w:rPr>
        <w:t>t</w:t>
      </w:r>
      <w:r>
        <w:rPr>
          <w:rFonts w:asciiTheme="minorHAnsi" w:hAnsiTheme="minorHAnsi" w:cstheme="minorHAnsi"/>
          <w:szCs w:val="21"/>
        </w:rPr>
        <w:t>here is potential for some people on</w:t>
      </w:r>
      <w:r w:rsidR="00FA41AA" w:rsidRPr="00FA41AA">
        <w:rPr>
          <w:rFonts w:asciiTheme="minorHAnsi" w:hAnsiTheme="minorHAnsi" w:cstheme="minorHAnsi"/>
          <w:szCs w:val="21"/>
        </w:rPr>
        <w:t xml:space="preserve"> </w:t>
      </w:r>
      <w:r w:rsidR="005E332C">
        <w:rPr>
          <w:rFonts w:asciiTheme="minorHAnsi" w:hAnsiTheme="minorHAnsi" w:cstheme="minorHAnsi"/>
          <w:szCs w:val="21"/>
        </w:rPr>
        <w:t>JobSeeker Payment</w:t>
      </w:r>
      <w:r w:rsidR="00FA41AA" w:rsidRPr="00FA41AA">
        <w:rPr>
          <w:rFonts w:asciiTheme="minorHAnsi" w:hAnsiTheme="minorHAnsi" w:cstheme="minorHAnsi"/>
          <w:szCs w:val="21"/>
        </w:rPr>
        <w:t xml:space="preserve"> with a partial capacity to work </w:t>
      </w:r>
      <w:r>
        <w:rPr>
          <w:rFonts w:asciiTheme="minorHAnsi" w:hAnsiTheme="minorHAnsi" w:cstheme="minorHAnsi"/>
          <w:szCs w:val="21"/>
        </w:rPr>
        <w:t xml:space="preserve">to recover and </w:t>
      </w:r>
      <w:r w:rsidR="00171549">
        <w:rPr>
          <w:rFonts w:asciiTheme="minorHAnsi" w:hAnsiTheme="minorHAnsi" w:cstheme="minorHAnsi"/>
          <w:szCs w:val="21"/>
        </w:rPr>
        <w:t>stop receiving income support</w:t>
      </w:r>
      <w:r>
        <w:rPr>
          <w:rFonts w:asciiTheme="minorHAnsi" w:hAnsiTheme="minorHAnsi" w:cstheme="minorHAnsi"/>
          <w:szCs w:val="21"/>
        </w:rPr>
        <w:t>. People</w:t>
      </w:r>
      <w:r w:rsidR="00F81665">
        <w:rPr>
          <w:rFonts w:asciiTheme="minorHAnsi" w:hAnsiTheme="minorHAnsi" w:cstheme="minorHAnsi"/>
          <w:szCs w:val="21"/>
        </w:rPr>
        <w:t xml:space="preserve"> receiving DSP are projected to spend 4.7 of the next 5</w:t>
      </w:r>
      <w:r w:rsidR="007855DD">
        <w:rPr>
          <w:rFonts w:asciiTheme="minorHAnsi" w:hAnsiTheme="minorHAnsi" w:cstheme="minorHAnsi"/>
          <w:szCs w:val="21"/>
        </w:rPr>
        <w:t> year</w:t>
      </w:r>
      <w:r w:rsidR="00F81665">
        <w:rPr>
          <w:rFonts w:asciiTheme="minorHAnsi" w:hAnsiTheme="minorHAnsi" w:cstheme="minorHAnsi"/>
          <w:szCs w:val="21"/>
        </w:rPr>
        <w:t>s on income support</w:t>
      </w:r>
      <w:r w:rsidR="00C60BE2">
        <w:rPr>
          <w:rFonts w:asciiTheme="minorHAnsi" w:hAnsiTheme="minorHAnsi" w:cstheme="minorHAnsi"/>
          <w:szCs w:val="21"/>
        </w:rPr>
        <w:t xml:space="preserve"> (</w:t>
      </w:r>
      <w:r w:rsidR="00C60BE2">
        <w:rPr>
          <w:rFonts w:asciiTheme="minorHAnsi" w:hAnsiTheme="minorHAnsi" w:cstheme="minorHAnsi"/>
          <w:szCs w:val="21"/>
        </w:rPr>
        <w:fldChar w:fldCharType="begin"/>
      </w:r>
      <w:r w:rsidR="00C60BE2">
        <w:rPr>
          <w:rFonts w:asciiTheme="minorHAnsi" w:hAnsiTheme="minorHAnsi" w:cstheme="minorHAnsi"/>
          <w:szCs w:val="21"/>
        </w:rPr>
        <w:instrText xml:space="preserve"> REF _Ref153316439 \h  \* MERGEFORMAT </w:instrText>
      </w:r>
      <w:r w:rsidR="00C60BE2">
        <w:rPr>
          <w:rFonts w:asciiTheme="minorHAnsi" w:hAnsiTheme="minorHAnsi" w:cstheme="minorHAnsi"/>
          <w:szCs w:val="21"/>
        </w:rPr>
      </w:r>
      <w:r w:rsidR="00C60BE2">
        <w:rPr>
          <w:rFonts w:asciiTheme="minorHAnsi" w:hAnsiTheme="minorHAnsi" w:cstheme="minorHAnsi"/>
          <w:szCs w:val="21"/>
        </w:rPr>
        <w:fldChar w:fldCharType="separate"/>
      </w:r>
      <w:r w:rsidR="00722C0A" w:rsidRPr="00722C0A">
        <w:rPr>
          <w:rFonts w:asciiTheme="minorHAnsi" w:hAnsiTheme="minorHAnsi" w:cstheme="minorHAnsi"/>
          <w:szCs w:val="21"/>
        </w:rPr>
        <w:t>Figure 9.4</w:t>
      </w:r>
      <w:r w:rsidR="00C60BE2">
        <w:rPr>
          <w:rFonts w:asciiTheme="minorHAnsi" w:hAnsiTheme="minorHAnsi" w:cstheme="minorHAnsi"/>
          <w:szCs w:val="21"/>
        </w:rPr>
        <w:fldChar w:fldCharType="end"/>
      </w:r>
      <w:r w:rsidR="00C60BE2">
        <w:rPr>
          <w:rFonts w:asciiTheme="minorHAnsi" w:hAnsiTheme="minorHAnsi" w:cstheme="minorHAnsi"/>
          <w:szCs w:val="21"/>
        </w:rPr>
        <w:t>)</w:t>
      </w:r>
      <w:r w:rsidR="00F81665">
        <w:rPr>
          <w:rFonts w:asciiTheme="minorHAnsi" w:hAnsiTheme="minorHAnsi" w:cstheme="minorHAnsi"/>
          <w:szCs w:val="21"/>
        </w:rPr>
        <w:t xml:space="preserve">. </w:t>
      </w:r>
      <w:r w:rsidR="00815702">
        <w:rPr>
          <w:rFonts w:asciiTheme="minorHAnsi" w:hAnsiTheme="minorHAnsi" w:cstheme="minorHAnsi"/>
          <w:szCs w:val="21"/>
        </w:rPr>
        <w:t>By contrast,</w:t>
      </w:r>
      <w:r w:rsidR="00F81665">
        <w:rPr>
          <w:rFonts w:asciiTheme="minorHAnsi" w:hAnsiTheme="minorHAnsi" w:cstheme="minorHAnsi"/>
          <w:szCs w:val="21"/>
        </w:rPr>
        <w:t xml:space="preserve"> people receiving</w:t>
      </w:r>
      <w:r>
        <w:rPr>
          <w:rFonts w:asciiTheme="minorHAnsi" w:hAnsiTheme="minorHAnsi" w:cstheme="minorHAnsi"/>
          <w:szCs w:val="21"/>
        </w:rPr>
        <w:t xml:space="preserve"> </w:t>
      </w:r>
      <w:r w:rsidR="005E332C">
        <w:rPr>
          <w:rFonts w:asciiTheme="minorHAnsi" w:hAnsiTheme="minorHAnsi" w:cstheme="minorHAnsi"/>
          <w:szCs w:val="21"/>
        </w:rPr>
        <w:t>JobSeeker Payment</w:t>
      </w:r>
      <w:r>
        <w:rPr>
          <w:rFonts w:asciiTheme="minorHAnsi" w:hAnsiTheme="minorHAnsi" w:cstheme="minorHAnsi"/>
          <w:szCs w:val="21"/>
        </w:rPr>
        <w:t xml:space="preserve"> with </w:t>
      </w:r>
      <w:r w:rsidR="00815702">
        <w:rPr>
          <w:rFonts w:asciiTheme="minorHAnsi" w:hAnsiTheme="minorHAnsi" w:cstheme="minorHAnsi"/>
          <w:szCs w:val="21"/>
        </w:rPr>
        <w:t xml:space="preserve">a </w:t>
      </w:r>
      <w:r>
        <w:rPr>
          <w:rFonts w:asciiTheme="minorHAnsi" w:hAnsiTheme="minorHAnsi" w:cstheme="minorHAnsi"/>
          <w:szCs w:val="21"/>
        </w:rPr>
        <w:t xml:space="preserve">partial capacity to work are predicted to spend </w:t>
      </w:r>
      <w:r w:rsidR="005F7F10">
        <w:rPr>
          <w:rFonts w:asciiTheme="minorHAnsi" w:hAnsiTheme="minorHAnsi" w:cstheme="minorHAnsi"/>
          <w:szCs w:val="21"/>
        </w:rPr>
        <w:t xml:space="preserve">3.8 </w:t>
      </w:r>
      <w:r>
        <w:rPr>
          <w:rFonts w:asciiTheme="minorHAnsi" w:hAnsiTheme="minorHAnsi" w:cstheme="minorHAnsi"/>
          <w:szCs w:val="21"/>
        </w:rPr>
        <w:t xml:space="preserve">of </w:t>
      </w:r>
      <w:r w:rsidR="00FA41AA" w:rsidRPr="00FA41AA">
        <w:rPr>
          <w:rFonts w:asciiTheme="minorHAnsi" w:hAnsiTheme="minorHAnsi" w:cstheme="minorHAnsi"/>
          <w:szCs w:val="21"/>
        </w:rPr>
        <w:t>the next 5</w:t>
      </w:r>
      <w:r w:rsidR="007855DD">
        <w:rPr>
          <w:rFonts w:asciiTheme="minorHAnsi" w:hAnsiTheme="minorHAnsi" w:cstheme="minorHAnsi"/>
          <w:szCs w:val="21"/>
        </w:rPr>
        <w:t> year</w:t>
      </w:r>
      <w:r w:rsidR="00FA41AA" w:rsidRPr="00FA41AA">
        <w:rPr>
          <w:rFonts w:asciiTheme="minorHAnsi" w:hAnsiTheme="minorHAnsi" w:cstheme="minorHAnsi"/>
          <w:szCs w:val="21"/>
        </w:rPr>
        <w:t xml:space="preserve">s </w:t>
      </w:r>
      <w:r>
        <w:rPr>
          <w:rFonts w:asciiTheme="minorHAnsi" w:hAnsiTheme="minorHAnsi" w:cstheme="minorHAnsi"/>
          <w:szCs w:val="21"/>
        </w:rPr>
        <w:t>on income support</w:t>
      </w:r>
      <w:r w:rsidR="00F81665">
        <w:rPr>
          <w:rFonts w:asciiTheme="minorHAnsi" w:hAnsiTheme="minorHAnsi" w:cstheme="minorHAnsi"/>
          <w:szCs w:val="21"/>
        </w:rPr>
        <w:t>.</w:t>
      </w:r>
    </w:p>
    <w:p w14:paraId="25601934" w14:textId="75B1336D" w:rsidR="00B04FCE" w:rsidRDefault="007855DD" w:rsidP="005E332C">
      <w:pPr>
        <w:pStyle w:val="FigureMainHeading"/>
      </w:pPr>
      <w:bookmarkStart w:id="129" w:name="_Ref153316439"/>
      <w:r>
        <w:t>Figure </w:t>
      </w:r>
      <w:r w:rsidR="00B80D45">
        <w:fldChar w:fldCharType="begin"/>
      </w:r>
      <w:r w:rsidR="00B80D45">
        <w:instrText xml:space="preserve"> STYLEREF 1 \s </w:instrText>
      </w:r>
      <w:r w:rsidR="00B80D45">
        <w:fldChar w:fldCharType="separate"/>
      </w:r>
      <w:r w:rsidR="00722C0A">
        <w:rPr>
          <w:noProof/>
        </w:rPr>
        <w:t>9</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4</w:t>
      </w:r>
      <w:r w:rsidR="00B80D45">
        <w:rPr>
          <w:noProof/>
        </w:rPr>
        <w:fldChar w:fldCharType="end"/>
      </w:r>
      <w:bookmarkEnd w:id="129"/>
      <w:r w:rsidR="005E332C">
        <w:t>:</w:t>
      </w:r>
      <w:r w:rsidR="005E332C">
        <w:tab/>
      </w:r>
      <w:r w:rsidR="00716364" w:rsidRPr="00A13641">
        <w:t xml:space="preserve">Average </w:t>
      </w:r>
      <w:r w:rsidR="00C95BE9" w:rsidRPr="00A13641">
        <w:t xml:space="preserve">projected time on income support </w:t>
      </w:r>
      <w:r w:rsidR="00716364" w:rsidRPr="00A13641">
        <w:t>over the next 5</w:t>
      </w:r>
      <w:r>
        <w:t> year</w:t>
      </w:r>
      <w:r w:rsidR="00716364" w:rsidRPr="00A13641">
        <w:t>s</w:t>
      </w:r>
    </w:p>
    <w:p w14:paraId="0A62B0B3" w14:textId="74102981" w:rsidR="00717712" w:rsidRDefault="00AD1B25" w:rsidP="00EF5B7F">
      <w:pPr>
        <w:pStyle w:val="ChartGraphic"/>
      </w:pPr>
      <w:r>
        <w:rPr>
          <w:noProof/>
        </w:rPr>
        <w:drawing>
          <wp:inline distT="0" distB="0" distL="0" distR="0" wp14:anchorId="69A7F63A" wp14:editId="02055055">
            <wp:extent cx="4400550" cy="2138680"/>
            <wp:effectExtent l="0" t="0" r="0" b="0"/>
            <wp:docPr id="1010040626" name="Chart 1" descr="This chart shows the average time receiving income support, over the next 5 years, split by those who at 30 June 2022 received:&#10;&#10;- DSP: 4.7 years&#10;- JobSeeker Payment (with partial capacity to work): 3.8 years">
              <a:extLst xmlns:a="http://schemas.openxmlformats.org/drawingml/2006/main">
                <a:ext uri="{FF2B5EF4-FFF2-40B4-BE49-F238E27FC236}">
                  <a16:creationId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A359E2A" w14:textId="14570834" w:rsidR="00846810" w:rsidRDefault="00717712" w:rsidP="00EF5B7F">
      <w:pPr>
        <w:pStyle w:val="Heading2notnumbered"/>
      </w:pPr>
      <w:r w:rsidRPr="00A13641">
        <w:t xml:space="preserve">People </w:t>
      </w:r>
      <w:r>
        <w:t>receiving DSP on 30</w:t>
      </w:r>
      <w:r w:rsidR="00E46C6A">
        <w:t> June </w:t>
      </w:r>
      <w:r>
        <w:t xml:space="preserve">2022 have </w:t>
      </w:r>
      <w:r w:rsidR="00815702">
        <w:t xml:space="preserve">a </w:t>
      </w:r>
      <w:r w:rsidR="009219AD">
        <w:t xml:space="preserve">20% higher </w:t>
      </w:r>
      <w:r w:rsidR="002872AA">
        <w:t xml:space="preserve">($90,000) </w:t>
      </w:r>
      <w:r>
        <w:t xml:space="preserve">Lifetime Cost than current </w:t>
      </w:r>
      <w:r w:rsidR="005E332C">
        <w:t>JobSeeker Payment</w:t>
      </w:r>
      <w:r>
        <w:t xml:space="preserve"> recipients with a partial capacity to work.</w:t>
      </w:r>
    </w:p>
    <w:p w14:paraId="6E460D86" w14:textId="08866C8D" w:rsidR="00B04FCE" w:rsidRDefault="00846810" w:rsidP="005B6044">
      <w:pPr>
        <w:rPr>
          <w:rFonts w:asciiTheme="minorHAnsi" w:hAnsiTheme="minorHAnsi" w:cstheme="minorHAnsi"/>
        </w:rPr>
      </w:pPr>
      <w:r w:rsidRPr="00D52F35">
        <w:rPr>
          <w:rFonts w:asciiTheme="minorHAnsi" w:hAnsiTheme="minorHAnsi" w:cstheme="minorHAnsi"/>
        </w:rPr>
        <w:t>DSP recipients at 30</w:t>
      </w:r>
      <w:r w:rsidR="00E46C6A">
        <w:rPr>
          <w:rFonts w:asciiTheme="minorHAnsi" w:hAnsiTheme="minorHAnsi" w:cstheme="minorHAnsi"/>
        </w:rPr>
        <w:t> June </w:t>
      </w:r>
      <w:r w:rsidRPr="00D52F35">
        <w:rPr>
          <w:rFonts w:asciiTheme="minorHAnsi" w:hAnsiTheme="minorHAnsi" w:cstheme="minorHAnsi"/>
        </w:rPr>
        <w:t xml:space="preserve">2022 have </w:t>
      </w:r>
      <w:r w:rsidR="00815702">
        <w:rPr>
          <w:rFonts w:asciiTheme="minorHAnsi" w:hAnsiTheme="minorHAnsi" w:cstheme="minorHAnsi"/>
        </w:rPr>
        <w:t xml:space="preserve">a </w:t>
      </w:r>
      <w:r w:rsidRPr="00D52F35">
        <w:rPr>
          <w:rFonts w:asciiTheme="minorHAnsi" w:hAnsiTheme="minorHAnsi" w:cstheme="minorHAnsi"/>
        </w:rPr>
        <w:t xml:space="preserve">projected Lifetime Cost of $529,000 on average compared to $439,000 for current </w:t>
      </w:r>
      <w:r w:rsidR="005E332C">
        <w:rPr>
          <w:rFonts w:asciiTheme="minorHAnsi" w:hAnsiTheme="minorHAnsi" w:cstheme="minorHAnsi"/>
        </w:rPr>
        <w:t>JobSeeker Payment</w:t>
      </w:r>
      <w:r w:rsidRPr="00D52F35">
        <w:rPr>
          <w:rFonts w:asciiTheme="minorHAnsi" w:hAnsiTheme="minorHAnsi" w:cstheme="minorHAnsi"/>
        </w:rPr>
        <w:t xml:space="preserve"> recipients with a partial capacity to work</w:t>
      </w:r>
      <w:r w:rsidR="001373E6" w:rsidRPr="00D52F35">
        <w:rPr>
          <w:rFonts w:asciiTheme="minorHAnsi" w:hAnsiTheme="minorHAnsi" w:cstheme="minorHAnsi"/>
        </w:rPr>
        <w:t xml:space="preserve"> (</w:t>
      </w:r>
      <w:r w:rsidR="00C60BE2" w:rsidRPr="00D52F35">
        <w:rPr>
          <w:rFonts w:asciiTheme="minorHAnsi" w:hAnsiTheme="minorHAnsi" w:cstheme="minorHAnsi"/>
        </w:rPr>
        <w:fldChar w:fldCharType="begin"/>
      </w:r>
      <w:r w:rsidR="00C60BE2" w:rsidRPr="00D52F35">
        <w:rPr>
          <w:rFonts w:asciiTheme="minorHAnsi" w:hAnsiTheme="minorHAnsi" w:cstheme="minorHAnsi"/>
        </w:rPr>
        <w:instrText xml:space="preserve"> REF _Ref153316618 \h  \* MERGEFORMAT </w:instrText>
      </w:r>
      <w:r w:rsidR="00C60BE2" w:rsidRPr="00D52F35">
        <w:rPr>
          <w:rFonts w:asciiTheme="minorHAnsi" w:hAnsiTheme="minorHAnsi" w:cstheme="minorHAnsi"/>
        </w:rPr>
      </w:r>
      <w:r w:rsidR="00C60BE2" w:rsidRPr="00D52F35">
        <w:rPr>
          <w:rFonts w:asciiTheme="minorHAnsi" w:hAnsiTheme="minorHAnsi" w:cstheme="minorHAnsi"/>
        </w:rPr>
        <w:fldChar w:fldCharType="separate"/>
      </w:r>
      <w:r w:rsidR="00722C0A" w:rsidRPr="00722C0A">
        <w:rPr>
          <w:rFonts w:asciiTheme="minorHAnsi" w:hAnsiTheme="minorHAnsi" w:cstheme="minorHAnsi"/>
        </w:rPr>
        <w:t>Figure 9.5</w:t>
      </w:r>
      <w:r w:rsidR="00C60BE2" w:rsidRPr="00D52F35">
        <w:rPr>
          <w:rFonts w:asciiTheme="minorHAnsi" w:hAnsiTheme="minorHAnsi" w:cstheme="minorHAnsi"/>
        </w:rPr>
        <w:fldChar w:fldCharType="end"/>
      </w:r>
      <w:r w:rsidR="001373E6" w:rsidRPr="00D52F35">
        <w:rPr>
          <w:rFonts w:asciiTheme="minorHAnsi" w:hAnsiTheme="minorHAnsi" w:cstheme="minorHAnsi"/>
        </w:rPr>
        <w:t>)</w:t>
      </w:r>
      <w:r w:rsidRPr="00D52F35">
        <w:rPr>
          <w:rFonts w:asciiTheme="minorHAnsi" w:hAnsiTheme="minorHAnsi" w:cstheme="minorHAnsi"/>
        </w:rPr>
        <w:t>.</w:t>
      </w:r>
      <w:r w:rsidR="00B04FCE">
        <w:rPr>
          <w:rFonts w:asciiTheme="minorHAnsi" w:hAnsiTheme="minorHAnsi" w:cstheme="minorHAnsi"/>
        </w:rPr>
        <w:t xml:space="preserve"> </w:t>
      </w:r>
      <w:r w:rsidRPr="00D52F35">
        <w:rPr>
          <w:rFonts w:asciiTheme="minorHAnsi" w:hAnsiTheme="minorHAnsi" w:cstheme="minorHAnsi"/>
        </w:rPr>
        <w:t>Much of this can be explained by the slightly higher income support use projected for DSP recipients in the near future.</w:t>
      </w:r>
    </w:p>
    <w:p w14:paraId="2D90FE5E" w14:textId="1AB5956F" w:rsidR="001373E6" w:rsidRPr="00A13641" w:rsidRDefault="007855DD" w:rsidP="005E332C">
      <w:pPr>
        <w:pStyle w:val="FigureMainHeading"/>
      </w:pPr>
      <w:bookmarkStart w:id="130" w:name="_Ref153316618"/>
      <w:r>
        <w:lastRenderedPageBreak/>
        <w:t>Figure </w:t>
      </w:r>
      <w:r w:rsidR="00B80D45">
        <w:fldChar w:fldCharType="begin"/>
      </w:r>
      <w:r w:rsidR="00B80D45">
        <w:instrText xml:space="preserve"> STYLEREF 1 \s </w:instrText>
      </w:r>
      <w:r w:rsidR="00B80D45">
        <w:fldChar w:fldCharType="separate"/>
      </w:r>
      <w:r w:rsidR="00722C0A">
        <w:rPr>
          <w:noProof/>
        </w:rPr>
        <w:t>9</w:t>
      </w:r>
      <w:r w:rsidR="00B80D45">
        <w:rPr>
          <w:noProof/>
        </w:rPr>
        <w:fldChar w:fldCharType="end"/>
      </w:r>
      <w:r w:rsidR="005E332C">
        <w:t>.</w:t>
      </w:r>
      <w:r w:rsidR="00B80D45">
        <w:fldChar w:fldCharType="begin"/>
      </w:r>
      <w:r w:rsidR="00B80D45">
        <w:instrText xml:space="preserve"> SEQ Figure \* ARABIC \s 1 </w:instrText>
      </w:r>
      <w:r w:rsidR="00B80D45">
        <w:fldChar w:fldCharType="separate"/>
      </w:r>
      <w:r w:rsidR="00722C0A">
        <w:rPr>
          <w:noProof/>
        </w:rPr>
        <w:t>5</w:t>
      </w:r>
      <w:r w:rsidR="00B80D45">
        <w:rPr>
          <w:noProof/>
        </w:rPr>
        <w:fldChar w:fldCharType="end"/>
      </w:r>
      <w:bookmarkEnd w:id="130"/>
      <w:r w:rsidR="005E332C">
        <w:t>:</w:t>
      </w:r>
      <w:r w:rsidR="005E332C">
        <w:tab/>
      </w:r>
      <w:r w:rsidR="001373E6" w:rsidRPr="00A13641">
        <w:t xml:space="preserve">Average </w:t>
      </w:r>
      <w:r w:rsidR="00C95BE9" w:rsidRPr="00A13641">
        <w:t xml:space="preserve">projected lifetime cost </w:t>
      </w:r>
      <w:r w:rsidR="00C95BE9">
        <w:t xml:space="preserve">for people </w:t>
      </w:r>
      <w:r w:rsidR="00F67D25">
        <w:t xml:space="preserve">receiving </w:t>
      </w:r>
      <w:r w:rsidR="003F5C27">
        <w:t>DSP</w:t>
      </w:r>
    </w:p>
    <w:p w14:paraId="389D3D65" w14:textId="77777777" w:rsidR="00A21DF3" w:rsidRPr="00523C23" w:rsidRDefault="00846810" w:rsidP="00523C23">
      <w:pPr>
        <w:pStyle w:val="ChartGraphic"/>
      </w:pPr>
      <w:r>
        <w:rPr>
          <w:noProof/>
        </w:rPr>
        <w:drawing>
          <wp:inline distT="0" distB="0" distL="0" distR="0" wp14:anchorId="4F80835B" wp14:editId="3EE1E904">
            <wp:extent cx="4319905" cy="1581150"/>
            <wp:effectExtent l="0" t="0" r="4445" b="0"/>
            <wp:docPr id="259" name="Chart 259" descr="This chart shows the average projected lifetime cost for people who at 30 June 2022 received:&#10;&#10;- DSP: $529,000&#10;- JobSeeker Payment (with partial capacity to work): $439,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F62DEB7" w14:textId="77777777" w:rsidR="00B04FCE" w:rsidRDefault="00A21DF3" w:rsidP="00C95BE9">
      <w:pPr>
        <w:pStyle w:val="Note"/>
        <w:rPr>
          <w:rFonts w:asciiTheme="minorHAnsi" w:hAnsiTheme="minorHAnsi" w:cstheme="minorHAnsi"/>
          <w:b/>
        </w:rPr>
      </w:pPr>
      <w:r w:rsidRPr="0007198D">
        <w:t>* Lifetime Cost projections include Age Pension</w:t>
      </w:r>
    </w:p>
    <w:p w14:paraId="7A81D67B" w14:textId="563EBFEA" w:rsidR="00B04FCE" w:rsidRPr="00C53C90" w:rsidRDefault="006305CB" w:rsidP="00B85EBF">
      <w:pPr>
        <w:rPr>
          <w:rFonts w:asciiTheme="minorHAnsi" w:hAnsiTheme="minorHAnsi"/>
          <w:b/>
          <w:color w:val="74000E" w:themeColor="accent1"/>
          <w:kern w:val="20"/>
          <w:szCs w:val="28"/>
        </w:rPr>
      </w:pPr>
      <w:r w:rsidRPr="00C53C90">
        <w:rPr>
          <w:rFonts w:asciiTheme="minorHAnsi" w:hAnsiTheme="minorHAnsi"/>
          <w:b/>
          <w:color w:val="74000E" w:themeColor="accent1"/>
          <w:kern w:val="20"/>
          <w:szCs w:val="28"/>
        </w:rPr>
        <w:t xml:space="preserve">The majority of people </w:t>
      </w:r>
      <w:r w:rsidR="009319FD" w:rsidRPr="00C53C90">
        <w:rPr>
          <w:rFonts w:asciiTheme="minorHAnsi" w:hAnsiTheme="minorHAnsi"/>
          <w:b/>
          <w:color w:val="74000E" w:themeColor="accent1"/>
          <w:kern w:val="20"/>
          <w:szCs w:val="28"/>
        </w:rPr>
        <w:t xml:space="preserve">receiving </w:t>
      </w:r>
      <w:r w:rsidRPr="00C53C90">
        <w:rPr>
          <w:rFonts w:asciiTheme="minorHAnsi" w:hAnsiTheme="minorHAnsi"/>
          <w:b/>
          <w:color w:val="74000E" w:themeColor="accent1"/>
          <w:kern w:val="20"/>
          <w:szCs w:val="28"/>
        </w:rPr>
        <w:t xml:space="preserve">DSP </w:t>
      </w:r>
      <w:r w:rsidR="009319FD" w:rsidRPr="00C53C90">
        <w:rPr>
          <w:rFonts w:asciiTheme="minorHAnsi" w:hAnsiTheme="minorHAnsi"/>
          <w:b/>
          <w:color w:val="74000E" w:themeColor="accent1"/>
          <w:kern w:val="20"/>
          <w:szCs w:val="28"/>
        </w:rPr>
        <w:t xml:space="preserve">are projected to receive </w:t>
      </w:r>
      <w:r w:rsidRPr="00C53C90">
        <w:rPr>
          <w:rFonts w:asciiTheme="minorHAnsi" w:hAnsiTheme="minorHAnsi"/>
          <w:b/>
          <w:color w:val="74000E" w:themeColor="accent1"/>
          <w:kern w:val="20"/>
          <w:szCs w:val="28"/>
        </w:rPr>
        <w:t xml:space="preserve">DSP until they reach </w:t>
      </w:r>
      <w:r w:rsidR="005B6044" w:rsidRPr="00C53C90">
        <w:rPr>
          <w:rFonts w:asciiTheme="minorHAnsi" w:hAnsiTheme="minorHAnsi"/>
          <w:b/>
          <w:color w:val="74000E" w:themeColor="accent1"/>
          <w:kern w:val="20"/>
          <w:szCs w:val="28"/>
        </w:rPr>
        <w:t>retirement</w:t>
      </w:r>
      <w:r w:rsidRPr="00C53C90">
        <w:rPr>
          <w:rFonts w:asciiTheme="minorHAnsi" w:hAnsiTheme="minorHAnsi"/>
          <w:b/>
          <w:color w:val="74000E" w:themeColor="accent1"/>
          <w:kern w:val="20"/>
          <w:szCs w:val="28"/>
        </w:rPr>
        <w:t xml:space="preserve"> age</w:t>
      </w:r>
      <w:r w:rsidR="005B6044" w:rsidRPr="00C53C90">
        <w:rPr>
          <w:rFonts w:asciiTheme="minorHAnsi" w:hAnsiTheme="minorHAnsi"/>
          <w:b/>
          <w:color w:val="74000E" w:themeColor="accent1"/>
          <w:kern w:val="20"/>
          <w:szCs w:val="28"/>
        </w:rPr>
        <w:t xml:space="preserve"> or for the remainder of their life</w:t>
      </w:r>
      <w:r w:rsidRPr="00C53C90">
        <w:rPr>
          <w:rFonts w:asciiTheme="minorHAnsi" w:hAnsiTheme="minorHAnsi"/>
          <w:b/>
          <w:color w:val="74000E" w:themeColor="accent1"/>
          <w:kern w:val="20"/>
          <w:szCs w:val="28"/>
        </w:rPr>
        <w:t>.</w:t>
      </w:r>
    </w:p>
    <w:p w14:paraId="2E148B35" w14:textId="4EBF5ACA" w:rsidR="00B04FCE" w:rsidRDefault="00CB5EA4" w:rsidP="00917BB8">
      <w:pPr>
        <w:spacing w:after="80"/>
        <w:rPr>
          <w:rFonts w:asciiTheme="minorHAnsi" w:hAnsiTheme="minorHAnsi" w:cstheme="minorHAnsi"/>
          <w:noProof/>
          <w:szCs w:val="21"/>
        </w:rPr>
      </w:pPr>
      <w:r>
        <w:rPr>
          <w:rFonts w:asciiTheme="minorHAnsi" w:hAnsiTheme="minorHAnsi" w:cstheme="minorHAnsi"/>
          <w:noProof/>
          <w:szCs w:val="21"/>
        </w:rPr>
        <w:t>Many</w:t>
      </w:r>
      <w:r w:rsidR="00B04FCE">
        <w:rPr>
          <w:rFonts w:asciiTheme="minorHAnsi" w:hAnsiTheme="minorHAnsi" w:cstheme="minorHAnsi"/>
          <w:noProof/>
          <w:szCs w:val="21"/>
        </w:rPr>
        <w:t xml:space="preserve"> </w:t>
      </w:r>
      <w:r w:rsidR="000C3A24" w:rsidRPr="000C3A24">
        <w:rPr>
          <w:rFonts w:asciiTheme="minorHAnsi" w:hAnsiTheme="minorHAnsi" w:cstheme="minorHAnsi"/>
          <w:noProof/>
          <w:szCs w:val="21"/>
        </w:rPr>
        <w:t xml:space="preserve">people receiving DSP continue </w:t>
      </w:r>
      <w:r>
        <w:rPr>
          <w:rFonts w:asciiTheme="minorHAnsi" w:hAnsiTheme="minorHAnsi" w:cstheme="minorHAnsi"/>
          <w:noProof/>
          <w:szCs w:val="21"/>
        </w:rPr>
        <w:t>to do so</w:t>
      </w:r>
      <w:r w:rsidR="000C3A24" w:rsidRPr="000C3A24">
        <w:rPr>
          <w:rFonts w:asciiTheme="minorHAnsi" w:hAnsiTheme="minorHAnsi" w:cstheme="minorHAnsi"/>
          <w:noProof/>
          <w:szCs w:val="21"/>
        </w:rPr>
        <w:t xml:space="preserve"> even after </w:t>
      </w:r>
      <w:r>
        <w:rPr>
          <w:rFonts w:asciiTheme="minorHAnsi" w:hAnsiTheme="minorHAnsi" w:cstheme="minorHAnsi"/>
          <w:noProof/>
          <w:szCs w:val="21"/>
        </w:rPr>
        <w:t>retirement</w:t>
      </w:r>
      <w:r w:rsidR="000C3A24" w:rsidRPr="000C3A24">
        <w:rPr>
          <w:rFonts w:asciiTheme="minorHAnsi" w:hAnsiTheme="minorHAnsi" w:cstheme="minorHAnsi"/>
          <w:noProof/>
          <w:szCs w:val="21"/>
        </w:rPr>
        <w:t xml:space="preserve"> age as the payment amount is the same</w:t>
      </w:r>
      <w:r>
        <w:rPr>
          <w:rFonts w:asciiTheme="minorHAnsi" w:hAnsiTheme="minorHAnsi" w:cstheme="minorHAnsi"/>
          <w:noProof/>
          <w:szCs w:val="21"/>
        </w:rPr>
        <w:t xml:space="preserve"> as Age Pension</w:t>
      </w:r>
      <w:r w:rsidR="000C3A24" w:rsidRPr="000C3A24">
        <w:rPr>
          <w:rFonts w:asciiTheme="minorHAnsi" w:hAnsiTheme="minorHAnsi" w:cstheme="minorHAnsi"/>
          <w:noProof/>
          <w:szCs w:val="21"/>
        </w:rPr>
        <w:t xml:space="preserve">. </w:t>
      </w:r>
      <w:r w:rsidR="00917BB8" w:rsidRPr="00791CA6">
        <w:rPr>
          <w:rFonts w:asciiTheme="minorHAnsi" w:hAnsiTheme="minorHAnsi" w:cstheme="minorHAnsi"/>
          <w:noProof/>
          <w:szCs w:val="21"/>
        </w:rPr>
        <w:t>In 20</w:t>
      </w:r>
      <w:r w:rsidR="00917BB8">
        <w:rPr>
          <w:rFonts w:asciiTheme="minorHAnsi" w:hAnsiTheme="minorHAnsi" w:cstheme="minorHAnsi"/>
          <w:noProof/>
          <w:szCs w:val="21"/>
        </w:rPr>
        <w:t>21</w:t>
      </w:r>
      <w:r w:rsidR="009F12CC">
        <w:rPr>
          <w:rFonts w:asciiTheme="minorHAnsi" w:hAnsiTheme="minorHAnsi" w:cstheme="minorHAnsi"/>
          <w:noProof/>
          <w:szCs w:val="21"/>
        </w:rPr>
        <w:t>–</w:t>
      </w:r>
      <w:r w:rsidR="00917BB8" w:rsidRPr="00791CA6">
        <w:rPr>
          <w:rFonts w:asciiTheme="minorHAnsi" w:hAnsiTheme="minorHAnsi" w:cstheme="minorHAnsi"/>
          <w:noProof/>
          <w:szCs w:val="21"/>
        </w:rPr>
        <w:t xml:space="preserve">22, there were </w:t>
      </w:r>
      <w:r w:rsidR="00917BB8">
        <w:rPr>
          <w:rFonts w:asciiTheme="minorHAnsi" w:hAnsiTheme="minorHAnsi" w:cstheme="minorHAnsi"/>
          <w:noProof/>
          <w:szCs w:val="21"/>
        </w:rPr>
        <w:t>72,000</w:t>
      </w:r>
      <w:r w:rsidR="00917BB8" w:rsidRPr="00791CA6">
        <w:rPr>
          <w:rFonts w:asciiTheme="minorHAnsi" w:hAnsiTheme="minorHAnsi" w:cstheme="minorHAnsi"/>
          <w:noProof/>
          <w:szCs w:val="21"/>
        </w:rPr>
        <w:t xml:space="preserve"> people on DSP above </w:t>
      </w:r>
      <w:r w:rsidR="00917BB8">
        <w:rPr>
          <w:rFonts w:asciiTheme="minorHAnsi" w:hAnsiTheme="minorHAnsi" w:cstheme="minorHAnsi"/>
          <w:noProof/>
          <w:szCs w:val="21"/>
        </w:rPr>
        <w:t>the eligibility age for Age Pension. This was</w:t>
      </w:r>
      <w:r w:rsidR="00917BB8" w:rsidRPr="00791CA6">
        <w:rPr>
          <w:rFonts w:asciiTheme="minorHAnsi" w:hAnsiTheme="minorHAnsi" w:cstheme="minorHAnsi"/>
          <w:noProof/>
          <w:szCs w:val="21"/>
        </w:rPr>
        <w:t xml:space="preserve"> </w:t>
      </w:r>
      <w:r w:rsidR="00917BB8">
        <w:rPr>
          <w:rFonts w:asciiTheme="minorHAnsi" w:hAnsiTheme="minorHAnsi" w:cstheme="minorHAnsi"/>
          <w:noProof/>
          <w:szCs w:val="21"/>
        </w:rPr>
        <w:t>9</w:t>
      </w:r>
      <w:r w:rsidR="00917BB8" w:rsidRPr="00791CA6">
        <w:rPr>
          <w:rFonts w:asciiTheme="minorHAnsi" w:hAnsiTheme="minorHAnsi" w:cstheme="minorHAnsi"/>
          <w:noProof/>
          <w:szCs w:val="21"/>
        </w:rPr>
        <w:t xml:space="preserve">% of the </w:t>
      </w:r>
      <w:r w:rsidR="00917BB8">
        <w:rPr>
          <w:rFonts w:asciiTheme="minorHAnsi" w:hAnsiTheme="minorHAnsi" w:cstheme="minorHAnsi"/>
          <w:noProof/>
          <w:szCs w:val="21"/>
        </w:rPr>
        <w:t>total number of people receiving DSP</w:t>
      </w:r>
      <w:r w:rsidR="00917BB8" w:rsidRPr="00791CA6">
        <w:rPr>
          <w:rFonts w:asciiTheme="minorHAnsi" w:hAnsiTheme="minorHAnsi" w:cstheme="minorHAnsi"/>
          <w:noProof/>
          <w:szCs w:val="21"/>
        </w:rPr>
        <w:t>.</w:t>
      </w:r>
    </w:p>
    <w:p w14:paraId="528CACDA" w14:textId="77777777" w:rsidR="00B04FCE" w:rsidRDefault="00FD0B5B" w:rsidP="00791CA6">
      <w:pPr>
        <w:spacing w:after="80"/>
        <w:rPr>
          <w:rFonts w:asciiTheme="minorHAnsi" w:hAnsiTheme="minorHAnsi" w:cstheme="minorHAnsi"/>
          <w:noProof/>
          <w:szCs w:val="21"/>
        </w:rPr>
      </w:pPr>
      <w:r w:rsidRPr="00FD0B5B">
        <w:rPr>
          <w:rFonts w:asciiTheme="minorHAnsi" w:hAnsiTheme="minorHAnsi" w:cstheme="minorHAnsi"/>
          <w:noProof/>
          <w:szCs w:val="21"/>
        </w:rPr>
        <w:t xml:space="preserve">93% of current DSP recipients </w:t>
      </w:r>
      <w:r w:rsidR="00F67D25">
        <w:rPr>
          <w:rFonts w:asciiTheme="minorHAnsi" w:hAnsiTheme="minorHAnsi" w:cstheme="minorHAnsi"/>
          <w:noProof/>
          <w:szCs w:val="21"/>
        </w:rPr>
        <w:t xml:space="preserve">are </w:t>
      </w:r>
      <w:r w:rsidRPr="00FD0B5B">
        <w:rPr>
          <w:rFonts w:asciiTheme="minorHAnsi" w:hAnsiTheme="minorHAnsi" w:cstheme="minorHAnsi"/>
          <w:noProof/>
          <w:szCs w:val="21"/>
        </w:rPr>
        <w:t>projected to stay on DSP until they reach retirement age</w:t>
      </w:r>
      <w:r w:rsidR="00F67D25">
        <w:rPr>
          <w:rFonts w:asciiTheme="minorHAnsi" w:hAnsiTheme="minorHAnsi" w:cstheme="minorHAnsi"/>
          <w:noProof/>
          <w:szCs w:val="21"/>
        </w:rPr>
        <w:t xml:space="preserve"> or </w:t>
      </w:r>
      <w:r w:rsidR="00F67D25" w:rsidRPr="00FD0B5B">
        <w:rPr>
          <w:rFonts w:asciiTheme="minorHAnsi" w:hAnsiTheme="minorHAnsi" w:cstheme="minorHAnsi"/>
          <w:noProof/>
          <w:szCs w:val="21"/>
        </w:rPr>
        <w:t>for the remainder of their life</w:t>
      </w:r>
      <w:r w:rsidRPr="00FD0B5B">
        <w:rPr>
          <w:rFonts w:asciiTheme="minorHAnsi" w:hAnsiTheme="minorHAnsi" w:cstheme="minorHAnsi"/>
          <w:noProof/>
          <w:szCs w:val="21"/>
        </w:rPr>
        <w:t>.</w:t>
      </w:r>
    </w:p>
    <w:p w14:paraId="164F3C28" w14:textId="77777777" w:rsidR="00523C23" w:rsidRPr="00EC4FC8" w:rsidRDefault="00523C23" w:rsidP="00EC4FC8">
      <w:pPr>
        <w:rPr>
          <w:rFonts w:eastAsiaTheme="minorEastAsia"/>
        </w:rPr>
      </w:pPr>
      <w:bookmarkStart w:id="131" w:name="_Toc153355584"/>
      <w:bookmarkStart w:id="132" w:name="_Toc155358650"/>
      <w:bookmarkStart w:id="133" w:name="_Hlk155687983"/>
    </w:p>
    <w:p w14:paraId="12F8865C" w14:textId="77777777" w:rsidR="00EC4FC8" w:rsidRPr="00EC4FC8" w:rsidRDefault="00EC4FC8" w:rsidP="00EC4FC8">
      <w:pPr>
        <w:rPr>
          <w:rFonts w:eastAsiaTheme="minorEastAsia"/>
        </w:rPr>
        <w:sectPr w:rsidR="00EC4FC8" w:rsidRPr="00EC4FC8" w:rsidSect="00B46214">
          <w:footerReference w:type="default" r:id="rId95"/>
          <w:pgSz w:w="16838" w:h="11906" w:orient="landscape" w:code="9"/>
          <w:pgMar w:top="1418" w:right="1134" w:bottom="1418" w:left="1134" w:header="425" w:footer="680" w:gutter="0"/>
          <w:cols w:num="2" w:space="709"/>
          <w:docGrid w:linePitch="360"/>
        </w:sectPr>
      </w:pPr>
    </w:p>
    <w:p w14:paraId="4D416B99" w14:textId="1D4FAC64" w:rsidR="00772DBD" w:rsidRPr="0094730A" w:rsidRDefault="00772DBD" w:rsidP="00B924CC">
      <w:pPr>
        <w:pStyle w:val="Heading1notnumbered"/>
        <w:rPr>
          <w:rFonts w:eastAsiaTheme="minorEastAsia"/>
        </w:rPr>
      </w:pPr>
      <w:bookmarkStart w:id="134" w:name="_Toc160109480"/>
      <w:r w:rsidRPr="0094730A">
        <w:rPr>
          <w:rFonts w:eastAsiaTheme="minorEastAsia"/>
        </w:rPr>
        <w:lastRenderedPageBreak/>
        <w:t xml:space="preserve">Reflections and </w:t>
      </w:r>
      <w:r w:rsidR="00EF5B7F" w:rsidRPr="0094730A">
        <w:rPr>
          <w:rFonts w:eastAsiaTheme="minorEastAsia"/>
        </w:rPr>
        <w:t>looking ahead</w:t>
      </w:r>
      <w:bookmarkEnd w:id="131"/>
      <w:bookmarkEnd w:id="132"/>
      <w:bookmarkEnd w:id="134"/>
    </w:p>
    <w:bookmarkEnd w:id="133"/>
    <w:p w14:paraId="15804C65" w14:textId="3BA27290" w:rsidR="00B04FCE" w:rsidRDefault="00772DBD" w:rsidP="00417BA9">
      <w:pPr>
        <w:rPr>
          <w:rFonts w:asciiTheme="minorHAnsi" w:eastAsiaTheme="minorEastAsia" w:hAnsiTheme="minorHAnsi" w:cstheme="minorHAnsi"/>
          <w:bCs/>
          <w:color w:val="000000" w:themeColor="text1"/>
          <w:kern w:val="24"/>
        </w:rPr>
      </w:pPr>
      <w:r w:rsidRPr="005D2E5B">
        <w:rPr>
          <w:rFonts w:asciiTheme="minorHAnsi" w:eastAsiaTheme="minorEastAsia" w:hAnsiTheme="minorHAnsi" w:cstheme="minorHAnsi"/>
          <w:bCs/>
          <w:color w:val="000000" w:themeColor="text1"/>
          <w:kern w:val="24"/>
        </w:rPr>
        <w:t>2021</w:t>
      </w:r>
      <w:r w:rsidR="009F12CC">
        <w:rPr>
          <w:rFonts w:asciiTheme="minorHAnsi" w:eastAsiaTheme="minorEastAsia" w:hAnsiTheme="minorHAnsi" w:cstheme="minorHAnsi"/>
          <w:bCs/>
          <w:color w:val="000000" w:themeColor="text1"/>
          <w:kern w:val="24"/>
        </w:rPr>
        <w:t>–</w:t>
      </w:r>
      <w:r w:rsidRPr="005D2E5B">
        <w:rPr>
          <w:rFonts w:asciiTheme="minorHAnsi" w:eastAsiaTheme="minorEastAsia" w:hAnsiTheme="minorHAnsi" w:cstheme="minorHAnsi"/>
          <w:bCs/>
          <w:color w:val="000000" w:themeColor="text1"/>
          <w:kern w:val="24"/>
        </w:rPr>
        <w:t xml:space="preserve">22 was a year of recovery for Australia. </w:t>
      </w:r>
      <w:r w:rsidR="008C006F" w:rsidRPr="005D2E5B">
        <w:rPr>
          <w:rFonts w:asciiTheme="minorHAnsi" w:eastAsiaTheme="minorEastAsia" w:hAnsiTheme="minorHAnsi" w:cstheme="minorHAnsi"/>
          <w:bCs/>
          <w:color w:val="000000" w:themeColor="text1"/>
          <w:kern w:val="24"/>
        </w:rPr>
        <w:t>From a</w:t>
      </w:r>
      <w:r w:rsidRPr="005D2E5B">
        <w:rPr>
          <w:rFonts w:asciiTheme="minorHAnsi" w:eastAsiaTheme="minorEastAsia" w:hAnsiTheme="minorHAnsi" w:cstheme="minorHAnsi"/>
          <w:bCs/>
          <w:color w:val="000000" w:themeColor="text1"/>
          <w:kern w:val="24"/>
        </w:rPr>
        <w:t xml:space="preserve"> peak of over 1.6</w:t>
      </w:r>
      <w:r w:rsidR="00F40387">
        <w:rPr>
          <w:rFonts w:asciiTheme="minorHAnsi" w:eastAsiaTheme="minorEastAsia" w:hAnsiTheme="minorHAnsi" w:cstheme="minorHAnsi"/>
          <w:bCs/>
          <w:color w:val="000000" w:themeColor="text1"/>
          <w:kern w:val="24"/>
        </w:rPr>
        <w:t> million</w:t>
      </w:r>
      <w:r w:rsidRPr="005D2E5B">
        <w:rPr>
          <w:rFonts w:asciiTheme="minorHAnsi" w:eastAsiaTheme="minorEastAsia" w:hAnsiTheme="minorHAnsi" w:cstheme="minorHAnsi"/>
          <w:bCs/>
          <w:color w:val="000000" w:themeColor="text1"/>
          <w:kern w:val="24"/>
        </w:rPr>
        <w:t xml:space="preserve"> people </w:t>
      </w:r>
      <w:r w:rsidR="00241EF2" w:rsidRPr="005D2E5B">
        <w:rPr>
          <w:rFonts w:asciiTheme="minorHAnsi" w:eastAsiaTheme="minorEastAsia" w:hAnsiTheme="minorHAnsi" w:cstheme="minorHAnsi"/>
          <w:bCs/>
          <w:color w:val="000000" w:themeColor="text1"/>
          <w:kern w:val="24"/>
        </w:rPr>
        <w:t>receiving</w:t>
      </w:r>
      <w:r w:rsidRPr="005D2E5B">
        <w:rPr>
          <w:rFonts w:asciiTheme="minorHAnsi" w:eastAsiaTheme="minorEastAsia" w:hAnsiTheme="minorHAnsi" w:cstheme="minorHAnsi"/>
          <w:bCs/>
          <w:color w:val="000000" w:themeColor="text1"/>
          <w:kern w:val="24"/>
        </w:rPr>
        <w:t xml:space="preserve"> </w:t>
      </w:r>
      <w:r w:rsidR="005E332C">
        <w:rPr>
          <w:rFonts w:asciiTheme="minorHAnsi" w:eastAsiaTheme="minorEastAsia" w:hAnsiTheme="minorHAnsi" w:cstheme="minorHAnsi"/>
          <w:bCs/>
          <w:color w:val="000000" w:themeColor="text1"/>
          <w:kern w:val="24"/>
        </w:rPr>
        <w:t>JobSeeker Payment</w:t>
      </w:r>
      <w:r w:rsidRPr="005D2E5B">
        <w:rPr>
          <w:rFonts w:asciiTheme="minorHAnsi" w:eastAsiaTheme="minorEastAsia" w:hAnsiTheme="minorHAnsi" w:cstheme="minorHAnsi"/>
          <w:bCs/>
          <w:color w:val="000000" w:themeColor="text1"/>
          <w:kern w:val="24"/>
        </w:rPr>
        <w:t xml:space="preserve"> in </w:t>
      </w:r>
      <w:r w:rsidR="00841B68" w:rsidRPr="005D2E5B">
        <w:rPr>
          <w:rFonts w:asciiTheme="minorHAnsi" w:eastAsiaTheme="minorEastAsia" w:hAnsiTheme="minorHAnsi" w:cstheme="minorHAnsi"/>
          <w:bCs/>
          <w:color w:val="000000" w:themeColor="text1"/>
          <w:kern w:val="24"/>
        </w:rPr>
        <w:t xml:space="preserve">August </w:t>
      </w:r>
      <w:r w:rsidRPr="005D2E5B">
        <w:rPr>
          <w:rFonts w:asciiTheme="minorHAnsi" w:eastAsiaTheme="minorEastAsia" w:hAnsiTheme="minorHAnsi" w:cstheme="minorHAnsi"/>
          <w:bCs/>
          <w:color w:val="000000" w:themeColor="text1"/>
          <w:kern w:val="24"/>
        </w:rPr>
        <w:t>2020, around 89</w:t>
      </w:r>
      <w:r w:rsidR="00162030" w:rsidRPr="005D2E5B">
        <w:rPr>
          <w:rFonts w:asciiTheme="minorHAnsi" w:eastAsiaTheme="minorEastAsia" w:hAnsiTheme="minorHAnsi" w:cstheme="minorHAnsi"/>
          <w:bCs/>
          <w:color w:val="000000" w:themeColor="text1"/>
          <w:kern w:val="24"/>
        </w:rPr>
        <w:t>0</w:t>
      </w:r>
      <w:r w:rsidRPr="005D2E5B">
        <w:rPr>
          <w:rFonts w:asciiTheme="minorHAnsi" w:eastAsiaTheme="minorEastAsia" w:hAnsiTheme="minorHAnsi" w:cstheme="minorHAnsi"/>
          <w:bCs/>
          <w:color w:val="000000" w:themeColor="text1"/>
          <w:kern w:val="24"/>
        </w:rPr>
        <w:t xml:space="preserve">,000 </w:t>
      </w:r>
      <w:r w:rsidR="008C006F" w:rsidRPr="005D2E5B">
        <w:rPr>
          <w:rFonts w:asciiTheme="minorHAnsi" w:eastAsiaTheme="minorEastAsia" w:hAnsiTheme="minorHAnsi" w:cstheme="minorHAnsi"/>
          <w:bCs/>
          <w:color w:val="000000" w:themeColor="text1"/>
          <w:kern w:val="24"/>
        </w:rPr>
        <w:t xml:space="preserve">people remained on </w:t>
      </w:r>
      <w:r w:rsidR="005E332C">
        <w:rPr>
          <w:rFonts w:asciiTheme="minorHAnsi" w:eastAsiaTheme="minorEastAsia" w:hAnsiTheme="minorHAnsi" w:cstheme="minorHAnsi"/>
          <w:bCs/>
          <w:color w:val="000000" w:themeColor="text1"/>
          <w:kern w:val="24"/>
        </w:rPr>
        <w:t>JobSeeker Payment</w:t>
      </w:r>
      <w:r w:rsidR="008C006F" w:rsidRPr="005D2E5B">
        <w:rPr>
          <w:rFonts w:asciiTheme="minorHAnsi" w:eastAsiaTheme="minorEastAsia" w:hAnsiTheme="minorHAnsi" w:cstheme="minorHAnsi"/>
          <w:bCs/>
          <w:color w:val="000000" w:themeColor="text1"/>
          <w:kern w:val="24"/>
        </w:rPr>
        <w:t xml:space="preserve"> </w:t>
      </w:r>
      <w:r w:rsidR="00803D6A" w:rsidRPr="005D2E5B">
        <w:rPr>
          <w:rFonts w:asciiTheme="minorHAnsi" w:eastAsiaTheme="minorEastAsia" w:hAnsiTheme="minorHAnsi" w:cstheme="minorHAnsi"/>
          <w:bCs/>
          <w:color w:val="000000" w:themeColor="text1"/>
          <w:kern w:val="24"/>
        </w:rPr>
        <w:t>in</w:t>
      </w:r>
      <w:r w:rsidR="00E46C6A">
        <w:rPr>
          <w:rFonts w:asciiTheme="minorHAnsi" w:eastAsiaTheme="minorEastAsia" w:hAnsiTheme="minorHAnsi" w:cstheme="minorHAnsi"/>
          <w:bCs/>
          <w:color w:val="000000" w:themeColor="text1"/>
          <w:kern w:val="24"/>
        </w:rPr>
        <w:t> June </w:t>
      </w:r>
      <w:r w:rsidRPr="005D2E5B">
        <w:rPr>
          <w:rFonts w:asciiTheme="minorHAnsi" w:eastAsiaTheme="minorEastAsia" w:hAnsiTheme="minorHAnsi" w:cstheme="minorHAnsi"/>
          <w:bCs/>
          <w:color w:val="000000" w:themeColor="text1"/>
          <w:kern w:val="24"/>
        </w:rPr>
        <w:t xml:space="preserve">2022 as </w:t>
      </w:r>
      <w:r w:rsidR="008C006F" w:rsidRPr="005D2E5B">
        <w:rPr>
          <w:rFonts w:asciiTheme="minorHAnsi" w:eastAsiaTheme="minorEastAsia" w:hAnsiTheme="minorHAnsi" w:cstheme="minorHAnsi"/>
          <w:bCs/>
          <w:color w:val="000000" w:themeColor="text1"/>
          <w:kern w:val="24"/>
        </w:rPr>
        <w:t>economic conditions improved</w:t>
      </w:r>
      <w:r w:rsidRPr="005D2E5B">
        <w:rPr>
          <w:rFonts w:asciiTheme="minorHAnsi" w:eastAsiaTheme="minorEastAsia" w:hAnsiTheme="minorHAnsi" w:cstheme="minorHAnsi"/>
          <w:bCs/>
          <w:color w:val="000000" w:themeColor="text1"/>
          <w:kern w:val="24"/>
        </w:rPr>
        <w:t xml:space="preserve"> and </w:t>
      </w:r>
      <w:r w:rsidR="008C006F" w:rsidRPr="005D2E5B">
        <w:rPr>
          <w:rFonts w:asciiTheme="minorHAnsi" w:eastAsiaTheme="minorEastAsia" w:hAnsiTheme="minorHAnsi" w:cstheme="minorHAnsi"/>
          <w:bCs/>
          <w:color w:val="000000" w:themeColor="text1"/>
          <w:kern w:val="24"/>
        </w:rPr>
        <w:t xml:space="preserve">temporary </w:t>
      </w:r>
      <w:r w:rsidRPr="005D2E5B">
        <w:rPr>
          <w:rFonts w:asciiTheme="minorHAnsi" w:eastAsiaTheme="minorEastAsia" w:hAnsiTheme="minorHAnsi" w:cstheme="minorHAnsi"/>
          <w:bCs/>
          <w:color w:val="000000" w:themeColor="text1"/>
          <w:kern w:val="24"/>
        </w:rPr>
        <w:t xml:space="preserve">social security </w:t>
      </w:r>
      <w:r w:rsidR="008C006F" w:rsidRPr="005D2E5B">
        <w:rPr>
          <w:rFonts w:asciiTheme="minorHAnsi" w:eastAsiaTheme="minorEastAsia" w:hAnsiTheme="minorHAnsi" w:cstheme="minorHAnsi"/>
          <w:bCs/>
          <w:color w:val="000000" w:themeColor="text1"/>
          <w:kern w:val="24"/>
        </w:rPr>
        <w:t>measures were</w:t>
      </w:r>
      <w:r w:rsidRPr="005D2E5B">
        <w:rPr>
          <w:rFonts w:asciiTheme="minorHAnsi" w:eastAsiaTheme="minorEastAsia" w:hAnsiTheme="minorHAnsi" w:cstheme="minorHAnsi"/>
          <w:bCs/>
          <w:color w:val="000000" w:themeColor="text1"/>
          <w:kern w:val="24"/>
        </w:rPr>
        <w:t xml:space="preserve"> </w:t>
      </w:r>
      <w:r w:rsidR="00620EE3" w:rsidRPr="005D2E5B">
        <w:rPr>
          <w:rFonts w:asciiTheme="minorHAnsi" w:eastAsiaTheme="minorEastAsia" w:hAnsiTheme="minorHAnsi" w:cstheme="minorHAnsi"/>
          <w:bCs/>
          <w:color w:val="000000" w:themeColor="text1"/>
          <w:kern w:val="24"/>
        </w:rPr>
        <w:t xml:space="preserve">wound </w:t>
      </w:r>
      <w:r w:rsidRPr="005D2E5B">
        <w:rPr>
          <w:rFonts w:asciiTheme="minorHAnsi" w:eastAsiaTheme="minorEastAsia" w:hAnsiTheme="minorHAnsi" w:cstheme="minorHAnsi"/>
          <w:bCs/>
          <w:color w:val="000000" w:themeColor="text1"/>
          <w:kern w:val="24"/>
        </w:rPr>
        <w:t xml:space="preserve">back. </w:t>
      </w:r>
      <w:r w:rsidR="009C25A8" w:rsidRPr="009C25A8">
        <w:rPr>
          <w:rFonts w:asciiTheme="minorHAnsi" w:eastAsiaTheme="minorEastAsia" w:hAnsiTheme="minorHAnsi" w:cstheme="minorHAnsi"/>
          <w:bCs/>
          <w:color w:val="000000" w:themeColor="text1"/>
          <w:kern w:val="24"/>
        </w:rPr>
        <w:t xml:space="preserve">Although higher than </w:t>
      </w:r>
      <w:r w:rsidR="001A4243">
        <w:rPr>
          <w:rFonts w:asciiTheme="minorHAnsi" w:eastAsiaTheme="minorEastAsia" w:hAnsiTheme="minorHAnsi" w:cstheme="minorHAnsi"/>
          <w:bCs/>
          <w:color w:val="000000" w:themeColor="text1"/>
          <w:kern w:val="24"/>
        </w:rPr>
        <w:t xml:space="preserve">the 770,000 people </w:t>
      </w:r>
      <w:r w:rsidR="001A4243" w:rsidRPr="009C25A8">
        <w:rPr>
          <w:rFonts w:asciiTheme="minorHAnsi" w:eastAsiaTheme="minorEastAsia" w:hAnsiTheme="minorHAnsi" w:cstheme="minorHAnsi"/>
          <w:bCs/>
          <w:color w:val="000000" w:themeColor="text1"/>
          <w:kern w:val="24"/>
        </w:rPr>
        <w:t>recorded in</w:t>
      </w:r>
      <w:r w:rsidR="00E46C6A">
        <w:rPr>
          <w:rFonts w:asciiTheme="minorHAnsi" w:eastAsiaTheme="minorEastAsia" w:hAnsiTheme="minorHAnsi" w:cstheme="minorHAnsi"/>
          <w:bCs/>
          <w:color w:val="000000" w:themeColor="text1"/>
          <w:kern w:val="24"/>
        </w:rPr>
        <w:t> June </w:t>
      </w:r>
      <w:r w:rsidR="001A4243" w:rsidRPr="009C25A8">
        <w:rPr>
          <w:rFonts w:asciiTheme="minorHAnsi" w:eastAsiaTheme="minorEastAsia" w:hAnsiTheme="minorHAnsi" w:cstheme="minorHAnsi"/>
          <w:bCs/>
          <w:color w:val="000000" w:themeColor="text1"/>
          <w:kern w:val="24"/>
        </w:rPr>
        <w:t>2019</w:t>
      </w:r>
      <w:r w:rsidR="009C25A8" w:rsidRPr="009C25A8">
        <w:rPr>
          <w:rFonts w:asciiTheme="minorHAnsi" w:eastAsiaTheme="minorEastAsia" w:hAnsiTheme="minorHAnsi" w:cstheme="minorHAnsi"/>
          <w:bCs/>
          <w:color w:val="000000" w:themeColor="text1"/>
          <w:kern w:val="24"/>
        </w:rPr>
        <w:t xml:space="preserve">, the number of people on </w:t>
      </w:r>
      <w:r w:rsidR="005E332C">
        <w:rPr>
          <w:rFonts w:asciiTheme="minorHAnsi" w:eastAsiaTheme="minorEastAsia" w:hAnsiTheme="minorHAnsi" w:cstheme="minorHAnsi"/>
          <w:bCs/>
          <w:color w:val="000000" w:themeColor="text1"/>
          <w:kern w:val="24"/>
        </w:rPr>
        <w:t>JobSeeker Payment</w:t>
      </w:r>
      <w:r w:rsidR="009C25A8" w:rsidRPr="009C25A8">
        <w:rPr>
          <w:rFonts w:asciiTheme="minorHAnsi" w:eastAsiaTheme="minorEastAsia" w:hAnsiTheme="minorHAnsi" w:cstheme="minorHAnsi"/>
          <w:bCs/>
          <w:color w:val="000000" w:themeColor="text1"/>
          <w:kern w:val="24"/>
        </w:rPr>
        <w:t xml:space="preserve"> is </w:t>
      </w:r>
      <w:r w:rsidR="009C25A8">
        <w:rPr>
          <w:rFonts w:asciiTheme="minorHAnsi" w:eastAsiaTheme="minorEastAsia" w:hAnsiTheme="minorHAnsi" w:cstheme="minorHAnsi"/>
          <w:bCs/>
          <w:color w:val="000000" w:themeColor="text1"/>
          <w:kern w:val="24"/>
        </w:rPr>
        <w:t>expected</w:t>
      </w:r>
      <w:r w:rsidR="009C25A8" w:rsidRPr="009C25A8">
        <w:rPr>
          <w:rFonts w:asciiTheme="minorHAnsi" w:eastAsiaTheme="minorEastAsia" w:hAnsiTheme="minorHAnsi" w:cstheme="minorHAnsi"/>
          <w:bCs/>
          <w:color w:val="000000" w:themeColor="text1"/>
          <w:kern w:val="24"/>
        </w:rPr>
        <w:t xml:space="preserve"> to continue to reduce.</w:t>
      </w:r>
    </w:p>
    <w:p w14:paraId="0FC8D17F" w14:textId="1694E1CE" w:rsidR="00772DBD" w:rsidRPr="005D2E5B" w:rsidRDefault="00772DBD" w:rsidP="007C7110">
      <w:pPr>
        <w:rPr>
          <w:rFonts w:asciiTheme="minorHAnsi" w:eastAsiaTheme="minorEastAsia" w:hAnsiTheme="minorHAnsi" w:cstheme="minorHAnsi"/>
          <w:bCs/>
          <w:color w:val="000000" w:themeColor="text1"/>
          <w:kern w:val="24"/>
        </w:rPr>
      </w:pPr>
      <w:r w:rsidRPr="005D2E5B">
        <w:rPr>
          <w:rFonts w:asciiTheme="minorHAnsi" w:eastAsiaTheme="minorEastAsia" w:hAnsiTheme="minorHAnsi" w:cstheme="minorHAnsi"/>
          <w:bCs/>
          <w:color w:val="000000" w:themeColor="text1"/>
          <w:kern w:val="24"/>
        </w:rPr>
        <w:t xml:space="preserve">Since the May 2023 Budget, the Intergenerational Report (IGR) </w:t>
      </w:r>
      <w:r w:rsidR="00BD7C40" w:rsidRPr="005D2E5B">
        <w:rPr>
          <w:rFonts w:asciiTheme="minorHAnsi" w:eastAsiaTheme="minorEastAsia" w:hAnsiTheme="minorHAnsi" w:cstheme="minorHAnsi"/>
          <w:bCs/>
          <w:color w:val="000000" w:themeColor="text1"/>
          <w:kern w:val="24"/>
        </w:rPr>
        <w:t>has provided an updated economic forecast</w:t>
      </w:r>
      <w:r w:rsidRPr="005D2E5B">
        <w:rPr>
          <w:rFonts w:asciiTheme="minorHAnsi" w:eastAsiaTheme="minorEastAsia" w:hAnsiTheme="minorHAnsi" w:cstheme="minorHAnsi"/>
          <w:bCs/>
          <w:color w:val="000000" w:themeColor="text1"/>
          <w:kern w:val="24"/>
        </w:rPr>
        <w:t xml:space="preserve">. </w:t>
      </w:r>
      <w:r w:rsidR="00C17B45" w:rsidRPr="005D2E5B">
        <w:rPr>
          <w:rFonts w:asciiTheme="minorHAnsi" w:eastAsiaTheme="minorEastAsia" w:hAnsiTheme="minorHAnsi" w:cstheme="minorHAnsi"/>
          <w:bCs/>
          <w:color w:val="000000" w:themeColor="text1"/>
          <w:kern w:val="24"/>
        </w:rPr>
        <w:t>A</w:t>
      </w:r>
      <w:r w:rsidRPr="005D2E5B">
        <w:rPr>
          <w:rFonts w:asciiTheme="minorHAnsi" w:eastAsiaTheme="minorEastAsia" w:hAnsiTheme="minorHAnsi" w:cstheme="minorHAnsi"/>
          <w:bCs/>
          <w:color w:val="000000" w:themeColor="text1"/>
          <w:kern w:val="24"/>
        </w:rPr>
        <w:t xml:space="preserve">n alternative scenario, using </w:t>
      </w:r>
      <w:r w:rsidR="00BD7C40" w:rsidRPr="005D2E5B">
        <w:rPr>
          <w:rFonts w:asciiTheme="minorHAnsi" w:eastAsiaTheme="minorEastAsia" w:hAnsiTheme="minorHAnsi" w:cstheme="minorHAnsi"/>
          <w:bCs/>
          <w:color w:val="000000" w:themeColor="text1"/>
          <w:kern w:val="24"/>
        </w:rPr>
        <w:t xml:space="preserve">August 2023 </w:t>
      </w:r>
      <w:r w:rsidRPr="005D2E5B">
        <w:rPr>
          <w:rFonts w:asciiTheme="minorHAnsi" w:eastAsiaTheme="minorEastAsia" w:hAnsiTheme="minorHAnsi" w:cstheme="minorHAnsi"/>
          <w:bCs/>
          <w:color w:val="000000" w:themeColor="text1"/>
          <w:kern w:val="24"/>
        </w:rPr>
        <w:t>IGR economic forecasts</w:t>
      </w:r>
      <w:r w:rsidR="00BD7C40" w:rsidRPr="005D2E5B">
        <w:rPr>
          <w:rFonts w:asciiTheme="minorHAnsi" w:eastAsiaTheme="minorEastAsia" w:hAnsiTheme="minorHAnsi" w:cstheme="minorHAnsi"/>
          <w:bCs/>
          <w:color w:val="000000" w:themeColor="text1"/>
          <w:kern w:val="24"/>
        </w:rPr>
        <w:t>,</w:t>
      </w:r>
      <w:r w:rsidRPr="005D2E5B">
        <w:rPr>
          <w:rFonts w:asciiTheme="minorHAnsi" w:eastAsiaTheme="minorEastAsia" w:hAnsiTheme="minorHAnsi" w:cstheme="minorHAnsi"/>
          <w:bCs/>
          <w:color w:val="000000" w:themeColor="text1"/>
          <w:kern w:val="24"/>
        </w:rPr>
        <w:t xml:space="preserve"> reduce</w:t>
      </w:r>
      <w:r w:rsidR="00BD7C40" w:rsidRPr="005D2E5B">
        <w:rPr>
          <w:rFonts w:asciiTheme="minorHAnsi" w:eastAsiaTheme="minorEastAsia" w:hAnsiTheme="minorHAnsi" w:cstheme="minorHAnsi"/>
          <w:bCs/>
          <w:color w:val="000000" w:themeColor="text1"/>
          <w:kern w:val="24"/>
        </w:rPr>
        <w:t>s</w:t>
      </w:r>
      <w:r w:rsidRPr="005D2E5B">
        <w:rPr>
          <w:rFonts w:asciiTheme="minorHAnsi" w:eastAsiaTheme="minorEastAsia" w:hAnsiTheme="minorHAnsi" w:cstheme="minorHAnsi"/>
          <w:bCs/>
          <w:color w:val="000000" w:themeColor="text1"/>
          <w:kern w:val="24"/>
        </w:rPr>
        <w:t xml:space="preserve"> </w:t>
      </w:r>
      <w:r w:rsidR="00D87108" w:rsidRPr="005D2E5B">
        <w:rPr>
          <w:rFonts w:asciiTheme="minorHAnsi" w:eastAsiaTheme="minorEastAsia" w:hAnsiTheme="minorHAnsi" w:cstheme="minorHAnsi"/>
          <w:bCs/>
          <w:color w:val="000000" w:themeColor="text1"/>
          <w:kern w:val="24"/>
        </w:rPr>
        <w:t xml:space="preserve">the </w:t>
      </w:r>
      <w:r w:rsidR="00725D30" w:rsidRPr="005D2E5B">
        <w:rPr>
          <w:rFonts w:asciiTheme="minorHAnsi" w:eastAsiaTheme="minorEastAsia" w:hAnsiTheme="minorHAnsi" w:cstheme="minorHAnsi"/>
          <w:bCs/>
          <w:color w:val="000000" w:themeColor="text1"/>
          <w:kern w:val="24"/>
        </w:rPr>
        <w:t xml:space="preserve">projected </w:t>
      </w:r>
      <w:r w:rsidRPr="005D2E5B">
        <w:rPr>
          <w:rFonts w:asciiTheme="minorHAnsi" w:eastAsiaTheme="minorEastAsia" w:hAnsiTheme="minorHAnsi" w:cstheme="minorHAnsi"/>
          <w:bCs/>
          <w:color w:val="000000" w:themeColor="text1"/>
          <w:kern w:val="24"/>
        </w:rPr>
        <w:t>total Lifetime Cost by $92</w:t>
      </w:r>
      <w:r w:rsidR="00790C64">
        <w:rPr>
          <w:rFonts w:asciiTheme="minorHAnsi" w:eastAsiaTheme="minorEastAsia" w:hAnsiTheme="minorHAnsi" w:cstheme="minorHAnsi"/>
          <w:bCs/>
          <w:color w:val="000000" w:themeColor="text1"/>
          <w:kern w:val="24"/>
        </w:rPr>
        <w:t> billion</w:t>
      </w:r>
      <w:r w:rsidRPr="005D2E5B">
        <w:rPr>
          <w:rFonts w:asciiTheme="minorHAnsi" w:eastAsiaTheme="minorEastAsia" w:hAnsiTheme="minorHAnsi" w:cstheme="minorHAnsi"/>
          <w:bCs/>
          <w:color w:val="000000" w:themeColor="text1"/>
          <w:kern w:val="24"/>
        </w:rPr>
        <w:t xml:space="preserve"> (1.7%) to $5.462</w:t>
      </w:r>
      <w:r w:rsidR="00790C64">
        <w:rPr>
          <w:rFonts w:asciiTheme="minorHAnsi" w:eastAsiaTheme="minorEastAsia" w:hAnsiTheme="minorHAnsi" w:cstheme="minorHAnsi"/>
          <w:bCs/>
          <w:color w:val="000000" w:themeColor="text1"/>
          <w:kern w:val="24"/>
        </w:rPr>
        <w:t> trillion</w:t>
      </w:r>
      <w:r w:rsidRPr="005D2E5B">
        <w:rPr>
          <w:rFonts w:asciiTheme="minorHAnsi" w:eastAsiaTheme="minorEastAsia" w:hAnsiTheme="minorHAnsi" w:cstheme="minorHAnsi"/>
          <w:bCs/>
          <w:color w:val="000000" w:themeColor="text1"/>
          <w:kern w:val="24"/>
        </w:rPr>
        <w:t xml:space="preserve">. This </w:t>
      </w:r>
      <w:r w:rsidR="00BD7C40" w:rsidRPr="005D2E5B">
        <w:rPr>
          <w:rFonts w:asciiTheme="minorHAnsi" w:eastAsiaTheme="minorEastAsia" w:hAnsiTheme="minorHAnsi" w:cstheme="minorHAnsi"/>
          <w:bCs/>
          <w:color w:val="000000" w:themeColor="text1"/>
          <w:kern w:val="24"/>
        </w:rPr>
        <w:t>i</w:t>
      </w:r>
      <w:r w:rsidRPr="005D2E5B">
        <w:rPr>
          <w:rFonts w:asciiTheme="minorHAnsi" w:eastAsiaTheme="minorEastAsia" w:hAnsiTheme="minorHAnsi" w:cstheme="minorHAnsi"/>
          <w:bCs/>
          <w:color w:val="000000" w:themeColor="text1"/>
          <w:kern w:val="24"/>
        </w:rPr>
        <w:t>s primarily due to a lower long</w:t>
      </w:r>
      <w:r w:rsidR="00B04FCE">
        <w:rPr>
          <w:rFonts w:asciiTheme="minorHAnsi" w:eastAsiaTheme="minorEastAsia" w:hAnsiTheme="minorHAnsi" w:cstheme="minorHAnsi"/>
          <w:bCs/>
          <w:color w:val="000000" w:themeColor="text1"/>
          <w:kern w:val="24"/>
        </w:rPr>
        <w:noBreakHyphen/>
      </w:r>
      <w:r w:rsidRPr="005D2E5B">
        <w:rPr>
          <w:rFonts w:asciiTheme="minorHAnsi" w:eastAsiaTheme="minorEastAsia" w:hAnsiTheme="minorHAnsi" w:cstheme="minorHAnsi"/>
          <w:bCs/>
          <w:color w:val="000000" w:themeColor="text1"/>
          <w:kern w:val="24"/>
        </w:rPr>
        <w:t>term forecast for wage growth, which reduce</w:t>
      </w:r>
      <w:r w:rsidR="00BD7C40" w:rsidRPr="005D2E5B">
        <w:rPr>
          <w:rFonts w:asciiTheme="minorHAnsi" w:eastAsiaTheme="minorEastAsia" w:hAnsiTheme="minorHAnsi" w:cstheme="minorHAnsi"/>
          <w:bCs/>
          <w:color w:val="000000" w:themeColor="text1"/>
          <w:kern w:val="24"/>
        </w:rPr>
        <w:t>s</w:t>
      </w:r>
      <w:r w:rsidRPr="005D2E5B">
        <w:rPr>
          <w:rFonts w:asciiTheme="minorHAnsi" w:eastAsiaTheme="minorEastAsia" w:hAnsiTheme="minorHAnsi" w:cstheme="minorHAnsi"/>
          <w:bCs/>
          <w:color w:val="000000" w:themeColor="text1"/>
          <w:kern w:val="24"/>
        </w:rPr>
        <w:t xml:space="preserve"> the future indexation (to maintain the real value of payments) of the largest payment</w:t>
      </w:r>
      <w:r w:rsidR="00725D30" w:rsidRPr="005D2E5B">
        <w:rPr>
          <w:rFonts w:asciiTheme="minorHAnsi" w:eastAsiaTheme="minorEastAsia" w:hAnsiTheme="minorHAnsi" w:cstheme="minorHAnsi"/>
          <w:bCs/>
          <w:color w:val="000000" w:themeColor="text1"/>
          <w:kern w:val="24"/>
        </w:rPr>
        <w:t xml:space="preserve"> types, </w:t>
      </w:r>
      <w:r w:rsidRPr="005D2E5B">
        <w:rPr>
          <w:rFonts w:asciiTheme="minorHAnsi" w:eastAsiaTheme="minorEastAsia" w:hAnsiTheme="minorHAnsi" w:cstheme="minorHAnsi"/>
          <w:bCs/>
          <w:color w:val="000000" w:themeColor="text1"/>
          <w:kern w:val="24"/>
        </w:rPr>
        <w:t>Age Pension and DSP. The long</w:t>
      </w:r>
      <w:r w:rsidR="00B04FCE">
        <w:rPr>
          <w:rFonts w:asciiTheme="minorHAnsi" w:eastAsiaTheme="minorEastAsia" w:hAnsiTheme="minorHAnsi" w:cstheme="minorHAnsi"/>
          <w:bCs/>
          <w:color w:val="000000" w:themeColor="text1"/>
          <w:kern w:val="24"/>
        </w:rPr>
        <w:noBreakHyphen/>
      </w:r>
      <w:r w:rsidRPr="005D2E5B">
        <w:rPr>
          <w:rFonts w:asciiTheme="minorHAnsi" w:eastAsiaTheme="minorEastAsia" w:hAnsiTheme="minorHAnsi" w:cstheme="minorHAnsi"/>
          <w:bCs/>
          <w:color w:val="000000" w:themeColor="text1"/>
          <w:kern w:val="24"/>
        </w:rPr>
        <w:t>term unemployment rate forecast was marginally higher under the IGR scenario, which ha</w:t>
      </w:r>
      <w:r w:rsidR="00BD7C40" w:rsidRPr="005D2E5B">
        <w:rPr>
          <w:rFonts w:asciiTheme="minorHAnsi" w:eastAsiaTheme="minorEastAsia" w:hAnsiTheme="minorHAnsi" w:cstheme="minorHAnsi"/>
          <w:bCs/>
          <w:color w:val="000000" w:themeColor="text1"/>
          <w:kern w:val="24"/>
        </w:rPr>
        <w:t>s</w:t>
      </w:r>
      <w:r w:rsidRPr="005D2E5B">
        <w:rPr>
          <w:rFonts w:asciiTheme="minorHAnsi" w:eastAsiaTheme="minorEastAsia" w:hAnsiTheme="minorHAnsi" w:cstheme="minorHAnsi"/>
          <w:bCs/>
          <w:color w:val="000000" w:themeColor="text1"/>
          <w:kern w:val="24"/>
        </w:rPr>
        <w:t xml:space="preserve"> a very small offsetting effect to increase the Lifetime</w:t>
      </w:r>
      <w:r w:rsidR="00211BD3">
        <w:rPr>
          <w:rFonts w:asciiTheme="minorHAnsi" w:eastAsiaTheme="minorEastAsia" w:hAnsiTheme="minorHAnsi" w:cstheme="minorHAnsi"/>
          <w:bCs/>
          <w:color w:val="000000" w:themeColor="text1"/>
          <w:kern w:val="24"/>
        </w:rPr>
        <w:t> </w:t>
      </w:r>
      <w:r w:rsidRPr="005D2E5B">
        <w:rPr>
          <w:rFonts w:asciiTheme="minorHAnsi" w:eastAsiaTheme="minorEastAsia" w:hAnsiTheme="minorHAnsi" w:cstheme="minorHAnsi"/>
          <w:bCs/>
          <w:color w:val="000000" w:themeColor="text1"/>
          <w:kern w:val="24"/>
        </w:rPr>
        <w:t>Cost.</w:t>
      </w:r>
    </w:p>
    <w:p w14:paraId="63BA6E11" w14:textId="625BD94D" w:rsidR="00B04FCE" w:rsidRDefault="00772DBD" w:rsidP="007C7110">
      <w:pPr>
        <w:rPr>
          <w:rFonts w:asciiTheme="minorHAnsi" w:eastAsiaTheme="minorEastAsia" w:hAnsiTheme="minorHAnsi" w:cstheme="minorHAnsi"/>
          <w:bCs/>
          <w:color w:val="000000" w:themeColor="text1"/>
          <w:kern w:val="24"/>
        </w:rPr>
      </w:pPr>
      <w:r w:rsidRPr="005D2E5B">
        <w:rPr>
          <w:rFonts w:asciiTheme="minorHAnsi" w:eastAsiaTheme="minorEastAsia" w:hAnsiTheme="minorHAnsi" w:cstheme="minorHAnsi"/>
          <w:bCs/>
          <w:color w:val="000000" w:themeColor="text1"/>
          <w:kern w:val="24"/>
        </w:rPr>
        <w:t>Looking ahead, cost</w:t>
      </w:r>
      <w:r w:rsidR="00B04FCE">
        <w:rPr>
          <w:rFonts w:asciiTheme="minorHAnsi" w:eastAsiaTheme="minorEastAsia" w:hAnsiTheme="minorHAnsi" w:cstheme="minorHAnsi"/>
          <w:bCs/>
          <w:color w:val="000000" w:themeColor="text1"/>
          <w:kern w:val="24"/>
        </w:rPr>
        <w:noBreakHyphen/>
      </w:r>
      <w:r w:rsidRPr="005D2E5B">
        <w:rPr>
          <w:rFonts w:asciiTheme="minorHAnsi" w:eastAsiaTheme="minorEastAsia" w:hAnsiTheme="minorHAnsi" w:cstheme="minorHAnsi"/>
          <w:bCs/>
          <w:color w:val="000000" w:themeColor="text1"/>
          <w:kern w:val="24"/>
        </w:rPr>
        <w:t>of</w:t>
      </w:r>
      <w:r w:rsidR="00B04FCE">
        <w:rPr>
          <w:rFonts w:asciiTheme="minorHAnsi" w:eastAsiaTheme="minorEastAsia" w:hAnsiTheme="minorHAnsi" w:cstheme="minorHAnsi"/>
          <w:bCs/>
          <w:color w:val="000000" w:themeColor="text1"/>
          <w:kern w:val="24"/>
        </w:rPr>
        <w:noBreakHyphen/>
      </w:r>
      <w:r w:rsidRPr="005D2E5B">
        <w:rPr>
          <w:rFonts w:asciiTheme="minorHAnsi" w:eastAsiaTheme="minorEastAsia" w:hAnsiTheme="minorHAnsi" w:cstheme="minorHAnsi"/>
          <w:bCs/>
          <w:color w:val="000000" w:themeColor="text1"/>
          <w:kern w:val="24"/>
        </w:rPr>
        <w:t xml:space="preserve">living pressures will continue to pose challenges for Australians. In response to these challenges, </w:t>
      </w:r>
      <w:r w:rsidR="008D41C5" w:rsidRPr="005D2E5B">
        <w:rPr>
          <w:rFonts w:asciiTheme="minorHAnsi" w:eastAsiaTheme="minorEastAsia" w:hAnsiTheme="minorHAnsi" w:cstheme="minorHAnsi"/>
          <w:bCs/>
          <w:color w:val="000000" w:themeColor="text1"/>
          <w:kern w:val="24"/>
        </w:rPr>
        <w:t>several</w:t>
      </w:r>
      <w:r w:rsidRPr="005D2E5B">
        <w:rPr>
          <w:rFonts w:asciiTheme="minorHAnsi" w:eastAsiaTheme="minorEastAsia" w:hAnsiTheme="minorHAnsi" w:cstheme="minorHAnsi"/>
          <w:bCs/>
          <w:color w:val="000000" w:themeColor="text1"/>
          <w:kern w:val="24"/>
        </w:rPr>
        <w:t xml:space="preserve"> key Budget measures have been legislated since the 30</w:t>
      </w:r>
      <w:r w:rsidR="00E46C6A">
        <w:rPr>
          <w:rFonts w:asciiTheme="minorHAnsi" w:eastAsiaTheme="minorEastAsia" w:hAnsiTheme="minorHAnsi" w:cstheme="minorHAnsi"/>
          <w:bCs/>
          <w:color w:val="000000" w:themeColor="text1"/>
          <w:kern w:val="24"/>
        </w:rPr>
        <w:t> June </w:t>
      </w:r>
      <w:r w:rsidRPr="005D2E5B">
        <w:rPr>
          <w:rFonts w:asciiTheme="minorHAnsi" w:eastAsiaTheme="minorEastAsia" w:hAnsiTheme="minorHAnsi" w:cstheme="minorHAnsi"/>
          <w:bCs/>
          <w:color w:val="000000" w:themeColor="text1"/>
          <w:kern w:val="24"/>
        </w:rPr>
        <w:t>2022 valuation date. These include:</w:t>
      </w:r>
    </w:p>
    <w:p w14:paraId="422F97A8" w14:textId="75FF71B7" w:rsidR="00772DBD" w:rsidRPr="005D2E5B" w:rsidRDefault="00772DBD" w:rsidP="00EF5B7F">
      <w:pPr>
        <w:pStyle w:val="Bullet"/>
        <w:rPr>
          <w:rFonts w:eastAsiaTheme="minorEastAsia"/>
        </w:rPr>
      </w:pPr>
      <w:r w:rsidRPr="005D2E5B">
        <w:rPr>
          <w:rFonts w:eastAsiaTheme="minorEastAsia"/>
        </w:rPr>
        <w:t>Expanding eligibility for Parenting Payment Single</w:t>
      </w:r>
      <w:r w:rsidR="00BD7C40" w:rsidRPr="005D2E5B">
        <w:rPr>
          <w:rFonts w:eastAsiaTheme="minorEastAsia"/>
        </w:rPr>
        <w:t xml:space="preserve"> (PPS)</w:t>
      </w:r>
      <w:r w:rsidRPr="005D2E5B">
        <w:rPr>
          <w:rFonts w:eastAsiaTheme="minorEastAsia"/>
        </w:rPr>
        <w:t xml:space="preserve">, to allow single parents to </w:t>
      </w:r>
      <w:r w:rsidR="00BD7C40" w:rsidRPr="005D2E5B">
        <w:rPr>
          <w:rFonts w:eastAsiaTheme="minorEastAsia"/>
        </w:rPr>
        <w:t>receive PPS</w:t>
      </w:r>
      <w:r w:rsidRPr="005D2E5B">
        <w:rPr>
          <w:rFonts w:eastAsiaTheme="minorEastAsia"/>
        </w:rPr>
        <w:t xml:space="preserve"> until their youngest child turns 14 (previously 8)</w:t>
      </w:r>
      <w:r w:rsidR="00BD7C40" w:rsidRPr="005D2E5B">
        <w:rPr>
          <w:rFonts w:eastAsiaTheme="minorEastAsia"/>
        </w:rPr>
        <w:t>;</w:t>
      </w:r>
      <w:r w:rsidRPr="005D2E5B">
        <w:rPr>
          <w:rFonts w:eastAsiaTheme="minorEastAsia"/>
        </w:rPr>
        <w:t xml:space="preserve"> and</w:t>
      </w:r>
    </w:p>
    <w:p w14:paraId="36D9CD7E" w14:textId="1C3C8FED" w:rsidR="00772DBD" w:rsidRPr="005D2E5B" w:rsidRDefault="00772DBD" w:rsidP="00EF5B7F">
      <w:pPr>
        <w:pStyle w:val="Bullet"/>
        <w:rPr>
          <w:rFonts w:eastAsiaTheme="minorEastAsia"/>
        </w:rPr>
      </w:pPr>
      <w:r w:rsidRPr="005D2E5B">
        <w:rPr>
          <w:rFonts w:eastAsiaTheme="minorEastAsia"/>
        </w:rPr>
        <w:t>Cost</w:t>
      </w:r>
      <w:r w:rsidR="00B04FCE">
        <w:rPr>
          <w:rFonts w:eastAsiaTheme="minorEastAsia"/>
        </w:rPr>
        <w:noBreakHyphen/>
      </w:r>
      <w:r w:rsidRPr="005D2E5B">
        <w:rPr>
          <w:rFonts w:eastAsiaTheme="minorEastAsia"/>
        </w:rPr>
        <w:t>of</w:t>
      </w:r>
      <w:r w:rsidR="00B04FCE">
        <w:rPr>
          <w:rFonts w:eastAsiaTheme="minorEastAsia"/>
        </w:rPr>
        <w:noBreakHyphen/>
      </w:r>
      <w:r w:rsidRPr="005D2E5B">
        <w:rPr>
          <w:rFonts w:eastAsiaTheme="minorEastAsia"/>
        </w:rPr>
        <w:t>living relief</w:t>
      </w:r>
      <w:r w:rsidR="00BD7C40" w:rsidRPr="005D2E5B">
        <w:rPr>
          <w:rFonts w:eastAsiaTheme="minorEastAsia"/>
        </w:rPr>
        <w:t xml:space="preserve"> measures</w:t>
      </w:r>
      <w:r w:rsidRPr="005D2E5B">
        <w:rPr>
          <w:rFonts w:eastAsiaTheme="minorEastAsia"/>
        </w:rPr>
        <w:t xml:space="preserve">, such as increasing the base rate of working age and student payments; extending the higher rate of payment for single </w:t>
      </w:r>
      <w:r w:rsidR="002C29E6" w:rsidRPr="005D2E5B">
        <w:rPr>
          <w:rFonts w:eastAsiaTheme="minorEastAsia"/>
        </w:rPr>
        <w:t xml:space="preserve">people receiving </w:t>
      </w:r>
      <w:r w:rsidR="005E332C">
        <w:rPr>
          <w:rFonts w:eastAsiaTheme="minorEastAsia"/>
        </w:rPr>
        <w:t>JobSeeker Payment</w:t>
      </w:r>
      <w:r w:rsidRPr="005D2E5B">
        <w:rPr>
          <w:rFonts w:eastAsiaTheme="minorEastAsia"/>
        </w:rPr>
        <w:t xml:space="preserve"> </w:t>
      </w:r>
      <w:r w:rsidR="0004023E">
        <w:rPr>
          <w:rFonts w:eastAsiaTheme="minorEastAsia"/>
        </w:rPr>
        <w:t>long</w:t>
      </w:r>
      <w:r w:rsidR="00B04FCE">
        <w:rPr>
          <w:rFonts w:eastAsiaTheme="minorEastAsia"/>
        </w:rPr>
        <w:noBreakHyphen/>
      </w:r>
      <w:r w:rsidR="0004023E">
        <w:rPr>
          <w:rFonts w:eastAsiaTheme="minorEastAsia"/>
        </w:rPr>
        <w:t>term</w:t>
      </w:r>
      <w:r w:rsidRPr="005D2E5B">
        <w:rPr>
          <w:rFonts w:eastAsiaTheme="minorEastAsia"/>
        </w:rPr>
        <w:t xml:space="preserve"> to 55+ (previously 60+); and increasing the </w:t>
      </w:r>
      <w:r w:rsidR="00BD7C40" w:rsidRPr="005D2E5B">
        <w:rPr>
          <w:rFonts w:eastAsiaTheme="minorEastAsia"/>
        </w:rPr>
        <w:t xml:space="preserve">rate of </w:t>
      </w:r>
      <w:r w:rsidRPr="005D2E5B">
        <w:rPr>
          <w:rFonts w:eastAsiaTheme="minorEastAsia"/>
        </w:rPr>
        <w:t>Commonwealth Rent Assistance.</w:t>
      </w:r>
    </w:p>
    <w:p w14:paraId="3F032D39" w14:textId="77777777" w:rsidR="00B04FCE" w:rsidRDefault="00BD7C40" w:rsidP="007C7110">
      <w:pPr>
        <w:rPr>
          <w:rFonts w:asciiTheme="minorHAnsi" w:hAnsiTheme="minorHAnsi" w:cstheme="minorHAnsi"/>
          <w:noProof/>
        </w:rPr>
      </w:pPr>
      <w:r w:rsidRPr="005D2E5B">
        <w:rPr>
          <w:rFonts w:asciiTheme="minorHAnsi" w:eastAsiaTheme="minorEastAsia" w:hAnsiTheme="minorHAnsi" w:cstheme="minorHAnsi"/>
          <w:bCs/>
          <w:color w:val="000000" w:themeColor="text1"/>
          <w:kern w:val="24"/>
        </w:rPr>
        <w:t xml:space="preserve">The effects of these </w:t>
      </w:r>
      <w:r w:rsidR="00772DBD" w:rsidRPr="005D2E5B">
        <w:rPr>
          <w:rFonts w:asciiTheme="minorHAnsi" w:eastAsiaTheme="minorEastAsia" w:hAnsiTheme="minorHAnsi" w:cstheme="minorHAnsi"/>
          <w:bCs/>
          <w:color w:val="000000" w:themeColor="text1"/>
          <w:kern w:val="24"/>
        </w:rPr>
        <w:t>policy changes</w:t>
      </w:r>
      <w:r w:rsidRPr="005D2E5B">
        <w:rPr>
          <w:rFonts w:asciiTheme="minorHAnsi" w:eastAsiaTheme="minorEastAsia" w:hAnsiTheme="minorHAnsi" w:cstheme="minorHAnsi"/>
          <w:bCs/>
          <w:color w:val="000000" w:themeColor="text1"/>
          <w:kern w:val="24"/>
        </w:rPr>
        <w:t xml:space="preserve">, and associated projections, </w:t>
      </w:r>
      <w:r w:rsidR="00772DBD" w:rsidRPr="005D2E5B">
        <w:rPr>
          <w:rFonts w:asciiTheme="minorHAnsi" w:eastAsiaTheme="minorEastAsia" w:hAnsiTheme="minorHAnsi" w:cstheme="minorHAnsi"/>
          <w:bCs/>
          <w:color w:val="000000" w:themeColor="text1"/>
          <w:kern w:val="24"/>
        </w:rPr>
        <w:t>will be included in future valuations.</w:t>
      </w:r>
    </w:p>
    <w:p w14:paraId="00191524" w14:textId="77777777" w:rsidR="00523C23" w:rsidRPr="00EC4FC8" w:rsidRDefault="00523C23" w:rsidP="00EC4FC8">
      <w:bookmarkStart w:id="135" w:name="_Toc153355585"/>
      <w:bookmarkStart w:id="136" w:name="_Toc155358651"/>
    </w:p>
    <w:p w14:paraId="2073E3E9" w14:textId="77777777" w:rsidR="00EC4FC8" w:rsidRPr="00EC4FC8" w:rsidRDefault="00EC4FC8" w:rsidP="00EC4FC8">
      <w:pPr>
        <w:sectPr w:rsidR="00EC4FC8" w:rsidRPr="00EC4FC8" w:rsidSect="00B46214">
          <w:footerReference w:type="default" r:id="rId96"/>
          <w:pgSz w:w="16838" w:h="11906" w:orient="landscape" w:code="9"/>
          <w:pgMar w:top="1418" w:right="1134" w:bottom="1418" w:left="1134" w:header="425" w:footer="680" w:gutter="0"/>
          <w:cols w:num="2" w:space="709"/>
          <w:docGrid w:linePitch="360"/>
        </w:sectPr>
      </w:pPr>
    </w:p>
    <w:p w14:paraId="3D7C5428" w14:textId="77777777" w:rsidR="00B04FCE" w:rsidRDefault="00AA7490" w:rsidP="00B924CC">
      <w:pPr>
        <w:pStyle w:val="Heading1notnumbered"/>
      </w:pPr>
      <w:bookmarkStart w:id="137" w:name="_Toc160109481"/>
      <w:r w:rsidRPr="004D3097">
        <w:lastRenderedPageBreak/>
        <w:t xml:space="preserve">Appendix A: </w:t>
      </w:r>
      <w:r w:rsidR="009D4261" w:rsidRPr="004D3097">
        <w:t>General Glossary</w:t>
      </w:r>
      <w:bookmarkEnd w:id="135"/>
      <w:bookmarkEnd w:id="136"/>
      <w:bookmarkEnd w:id="137"/>
    </w:p>
    <w:p w14:paraId="1A919A64" w14:textId="79D00C7F" w:rsidR="003609DE" w:rsidRPr="004D3097" w:rsidRDefault="003609DE" w:rsidP="00523C23">
      <w:pPr>
        <w:pStyle w:val="Heading2Appendix"/>
      </w:pPr>
      <w:r w:rsidRPr="004D3097">
        <w:t>Australian population</w:t>
      </w:r>
    </w:p>
    <w:p w14:paraId="5EDCBDE7" w14:textId="1AACB283" w:rsidR="00E336F4" w:rsidRPr="004D3097" w:rsidRDefault="003D79F8" w:rsidP="008D6C3D">
      <w:pPr>
        <w:rPr>
          <w:rFonts w:asciiTheme="minorHAnsi" w:hAnsiTheme="minorHAnsi" w:cstheme="minorHAnsi"/>
        </w:rPr>
      </w:pPr>
      <w:r>
        <w:rPr>
          <w:rFonts w:asciiTheme="minorHAnsi" w:hAnsiTheme="minorHAnsi" w:cstheme="minorHAnsi"/>
        </w:rPr>
        <w:t>T</w:t>
      </w:r>
      <w:r w:rsidR="00E336F4" w:rsidRPr="004D3097">
        <w:rPr>
          <w:rFonts w:asciiTheme="minorHAnsi" w:hAnsiTheme="minorHAnsi" w:cstheme="minorHAnsi"/>
        </w:rPr>
        <w:t xml:space="preserve">he Australian population refers to the </w:t>
      </w:r>
      <w:r w:rsidR="003A7BEE" w:rsidRPr="004D3097">
        <w:rPr>
          <w:rFonts w:asciiTheme="minorHAnsi" w:hAnsiTheme="minorHAnsi" w:cstheme="minorHAnsi"/>
        </w:rPr>
        <w:t>26</w:t>
      </w:r>
      <w:r w:rsidR="00F40387">
        <w:rPr>
          <w:rFonts w:asciiTheme="minorHAnsi" w:hAnsiTheme="minorHAnsi" w:cstheme="minorHAnsi"/>
        </w:rPr>
        <w:t> million</w:t>
      </w:r>
      <w:r w:rsidR="00E336F4" w:rsidRPr="004D3097">
        <w:rPr>
          <w:rFonts w:asciiTheme="minorHAnsi" w:hAnsiTheme="minorHAnsi" w:cstheme="minorHAnsi"/>
        </w:rPr>
        <w:t xml:space="preserve"> individual person records used in the model. This model population represents the resident population together with </w:t>
      </w:r>
      <w:r w:rsidR="002C29E6">
        <w:rPr>
          <w:rFonts w:asciiTheme="minorHAnsi" w:hAnsiTheme="minorHAnsi" w:cstheme="minorHAnsi"/>
        </w:rPr>
        <w:t xml:space="preserve">people living </w:t>
      </w:r>
      <w:r w:rsidR="00E336F4" w:rsidRPr="004D3097">
        <w:rPr>
          <w:rFonts w:asciiTheme="minorHAnsi" w:hAnsiTheme="minorHAnsi" w:cstheme="minorHAnsi"/>
        </w:rPr>
        <w:t xml:space="preserve">overseas </w:t>
      </w:r>
      <w:r w:rsidR="002C29E6">
        <w:rPr>
          <w:rFonts w:asciiTheme="minorHAnsi" w:hAnsiTheme="minorHAnsi" w:cstheme="minorHAnsi"/>
        </w:rPr>
        <w:t>receiving social security payments</w:t>
      </w:r>
      <w:r w:rsidR="00E336F4" w:rsidRPr="004D3097">
        <w:rPr>
          <w:rFonts w:asciiTheme="minorHAnsi" w:hAnsiTheme="minorHAnsi" w:cstheme="minorHAnsi"/>
        </w:rPr>
        <w:t>.</w:t>
      </w:r>
    </w:p>
    <w:p w14:paraId="0484C062" w14:textId="77777777" w:rsidR="00B04FCE" w:rsidRDefault="009D4261" w:rsidP="00523C23">
      <w:pPr>
        <w:pStyle w:val="Heading2Appendix"/>
      </w:pPr>
      <w:r w:rsidRPr="004D3097">
        <w:t>Duration on payment</w:t>
      </w:r>
    </w:p>
    <w:p w14:paraId="7C5BCA9D" w14:textId="0FF0D219" w:rsidR="009D4261" w:rsidRPr="004D3097" w:rsidRDefault="00A32C30" w:rsidP="008D6C3D">
      <w:pPr>
        <w:rPr>
          <w:rFonts w:asciiTheme="minorHAnsi" w:hAnsiTheme="minorHAnsi" w:cstheme="minorHAnsi"/>
        </w:rPr>
      </w:pPr>
      <w:r>
        <w:rPr>
          <w:rFonts w:asciiTheme="minorHAnsi" w:hAnsiTheme="minorHAnsi" w:cstheme="minorHAnsi"/>
        </w:rPr>
        <w:t>The number of years an individual has received a particular payment.</w:t>
      </w:r>
      <w:r w:rsidR="00B04FCE">
        <w:rPr>
          <w:rFonts w:asciiTheme="minorHAnsi" w:hAnsiTheme="minorHAnsi" w:cstheme="minorHAnsi"/>
        </w:rPr>
        <w:t xml:space="preserve"> </w:t>
      </w:r>
      <w:r w:rsidR="003D79F8">
        <w:rPr>
          <w:rFonts w:asciiTheme="minorHAnsi" w:hAnsiTheme="minorHAnsi" w:cstheme="minorHAnsi"/>
        </w:rPr>
        <w:t>D</w:t>
      </w:r>
      <w:r w:rsidR="00340ACE">
        <w:rPr>
          <w:rFonts w:asciiTheme="minorHAnsi" w:hAnsiTheme="minorHAnsi" w:cstheme="minorHAnsi"/>
        </w:rPr>
        <w:t xml:space="preserve">uration </w:t>
      </w:r>
      <w:r>
        <w:rPr>
          <w:rFonts w:asciiTheme="minorHAnsi" w:hAnsiTheme="minorHAnsi" w:cstheme="minorHAnsi"/>
        </w:rPr>
        <w:t>is only include</w:t>
      </w:r>
      <w:r w:rsidR="00340ACE">
        <w:rPr>
          <w:rFonts w:asciiTheme="minorHAnsi" w:hAnsiTheme="minorHAnsi" w:cstheme="minorHAnsi"/>
        </w:rPr>
        <w:t>d</w:t>
      </w:r>
      <w:r>
        <w:rPr>
          <w:rFonts w:asciiTheme="minorHAnsi" w:hAnsiTheme="minorHAnsi" w:cstheme="minorHAnsi"/>
        </w:rPr>
        <w:t xml:space="preserve"> for income support payments.</w:t>
      </w:r>
    </w:p>
    <w:p w14:paraId="6878D0A9" w14:textId="77777777" w:rsidR="003609DE" w:rsidRPr="004D3097" w:rsidRDefault="003609DE" w:rsidP="00523C23">
      <w:pPr>
        <w:pStyle w:val="Heading2Appendix"/>
      </w:pPr>
      <w:r w:rsidRPr="004D3097">
        <w:t>Income support</w:t>
      </w:r>
    </w:p>
    <w:p w14:paraId="7DE9C553" w14:textId="5CA56873" w:rsidR="00463015" w:rsidRDefault="00463015" w:rsidP="008D6C3D">
      <w:pPr>
        <w:rPr>
          <w:rFonts w:asciiTheme="minorHAnsi" w:hAnsiTheme="minorHAnsi" w:cstheme="minorHAnsi"/>
        </w:rPr>
      </w:pPr>
      <w:r w:rsidRPr="004D3097">
        <w:rPr>
          <w:rFonts w:asciiTheme="minorHAnsi" w:hAnsiTheme="minorHAnsi" w:cstheme="minorHAnsi"/>
        </w:rPr>
        <w:t>Income support</w:t>
      </w:r>
      <w:r w:rsidR="0098487A" w:rsidRPr="004D3097">
        <w:rPr>
          <w:rFonts w:asciiTheme="minorHAnsi" w:hAnsiTheme="minorHAnsi" w:cstheme="minorHAnsi"/>
        </w:rPr>
        <w:t xml:space="preserve"> is</w:t>
      </w:r>
      <w:r w:rsidRPr="004D3097">
        <w:rPr>
          <w:rFonts w:asciiTheme="minorHAnsi" w:hAnsiTheme="minorHAnsi" w:cstheme="minorHAnsi"/>
        </w:rPr>
        <w:t xml:space="preserve"> the primary form of financial assistance for </w:t>
      </w:r>
      <w:r w:rsidR="000E14EE">
        <w:rPr>
          <w:rFonts w:asciiTheme="minorHAnsi" w:hAnsiTheme="minorHAnsi" w:cstheme="minorHAnsi"/>
        </w:rPr>
        <w:t>people</w:t>
      </w:r>
      <w:r w:rsidR="000E14EE" w:rsidRPr="004D3097">
        <w:rPr>
          <w:rFonts w:asciiTheme="minorHAnsi" w:hAnsiTheme="minorHAnsi" w:cstheme="minorHAnsi"/>
        </w:rPr>
        <w:t xml:space="preserve"> </w:t>
      </w:r>
      <w:r w:rsidRPr="004D3097">
        <w:rPr>
          <w:rFonts w:asciiTheme="minorHAnsi" w:hAnsiTheme="minorHAnsi" w:cstheme="minorHAnsi"/>
        </w:rPr>
        <w:t>who are unable, or not expected, to fully support themselves.</w:t>
      </w:r>
      <w:r w:rsidR="00B04FCE">
        <w:rPr>
          <w:rFonts w:asciiTheme="minorHAnsi" w:hAnsiTheme="minorHAnsi" w:cstheme="minorHAnsi"/>
        </w:rPr>
        <w:t xml:space="preserve"> </w:t>
      </w:r>
      <w:r w:rsidR="003D79F8">
        <w:rPr>
          <w:rFonts w:asciiTheme="minorHAnsi" w:hAnsiTheme="minorHAnsi" w:cstheme="minorHAnsi"/>
        </w:rPr>
        <w:t>I</w:t>
      </w:r>
      <w:r w:rsidR="0098487A" w:rsidRPr="004D3097">
        <w:rPr>
          <w:rFonts w:asciiTheme="minorHAnsi" w:hAnsiTheme="minorHAnsi" w:cstheme="minorHAnsi"/>
        </w:rPr>
        <w:t>ncome support refers to the following social security payment categories: Studying Payments, Working Age Payments, Parenting Payment, Carer Payment, Disability Support Pension, and Age Pension.</w:t>
      </w:r>
    </w:p>
    <w:p w14:paraId="50B59EB3" w14:textId="474C6EF0" w:rsidR="00B04FCE" w:rsidRDefault="005E332C" w:rsidP="00523C23">
      <w:pPr>
        <w:pStyle w:val="Heading2Appendix"/>
      </w:pPr>
      <w:r>
        <w:t>First Nation</w:t>
      </w:r>
      <w:r w:rsidR="00D12C21">
        <w:t>s status</w:t>
      </w:r>
    </w:p>
    <w:p w14:paraId="4F67C48B" w14:textId="446DE7F4" w:rsidR="009320E4" w:rsidRPr="007C0DD0" w:rsidRDefault="005E332C" w:rsidP="009320E4">
      <w:pPr>
        <w:rPr>
          <w:rFonts w:asciiTheme="minorHAnsi" w:hAnsiTheme="minorHAnsi" w:cstheme="minorHAnsi"/>
          <w:b/>
        </w:rPr>
      </w:pPr>
      <w:r>
        <w:rPr>
          <w:rFonts w:asciiTheme="minorHAnsi" w:hAnsiTheme="minorHAnsi" w:cstheme="minorHAnsi"/>
        </w:rPr>
        <w:t>First Nation</w:t>
      </w:r>
      <w:r w:rsidR="00D12C21">
        <w:rPr>
          <w:rFonts w:asciiTheme="minorHAnsi" w:hAnsiTheme="minorHAnsi" w:cstheme="minorHAnsi"/>
        </w:rPr>
        <w:t>s status</w:t>
      </w:r>
      <w:r w:rsidR="00D12C21" w:rsidRPr="007C0DD0">
        <w:rPr>
          <w:rFonts w:asciiTheme="minorHAnsi" w:hAnsiTheme="minorHAnsi" w:cstheme="minorHAnsi"/>
        </w:rPr>
        <w:t xml:space="preserve"> </w:t>
      </w:r>
      <w:r w:rsidR="00D12C21">
        <w:rPr>
          <w:rFonts w:asciiTheme="minorHAnsi" w:hAnsiTheme="minorHAnsi" w:cstheme="minorHAnsi"/>
        </w:rPr>
        <w:t>refers to</w:t>
      </w:r>
      <w:r w:rsidR="00D12C21" w:rsidRPr="007C0DD0">
        <w:rPr>
          <w:rFonts w:asciiTheme="minorHAnsi" w:hAnsiTheme="minorHAnsi" w:cstheme="minorHAnsi"/>
        </w:rPr>
        <w:t xml:space="preserve"> </w:t>
      </w:r>
      <w:r w:rsidR="009320E4" w:rsidRPr="007C0DD0">
        <w:rPr>
          <w:rFonts w:asciiTheme="minorHAnsi" w:hAnsiTheme="minorHAnsi" w:cstheme="minorHAnsi"/>
        </w:rPr>
        <w:t xml:space="preserve">whether </w:t>
      </w:r>
      <w:r w:rsidR="00D12C21">
        <w:rPr>
          <w:rFonts w:asciiTheme="minorHAnsi" w:hAnsiTheme="minorHAnsi" w:cstheme="minorHAnsi"/>
        </w:rPr>
        <w:t>a person</w:t>
      </w:r>
      <w:r w:rsidR="009320E4" w:rsidRPr="007C0DD0">
        <w:rPr>
          <w:rFonts w:asciiTheme="minorHAnsi" w:hAnsiTheme="minorHAnsi" w:cstheme="minorHAnsi"/>
        </w:rPr>
        <w:t xml:space="preserve"> </w:t>
      </w:r>
      <w:r w:rsidR="003D79F8">
        <w:rPr>
          <w:rFonts w:asciiTheme="minorHAnsi" w:hAnsiTheme="minorHAnsi" w:cstheme="minorHAnsi"/>
        </w:rPr>
        <w:t xml:space="preserve">identifies as </w:t>
      </w:r>
      <w:r w:rsidR="009320E4" w:rsidRPr="007C0DD0">
        <w:rPr>
          <w:rFonts w:asciiTheme="minorHAnsi" w:hAnsiTheme="minorHAnsi" w:cstheme="minorHAnsi"/>
        </w:rPr>
        <w:t xml:space="preserve">Aboriginal or </w:t>
      </w:r>
      <w:r w:rsidR="00D01768">
        <w:rPr>
          <w:rFonts w:asciiTheme="minorHAnsi" w:hAnsiTheme="minorHAnsi" w:cstheme="minorHAnsi"/>
        </w:rPr>
        <w:t>Torres Strait</w:t>
      </w:r>
      <w:r w:rsidR="009320E4" w:rsidRPr="007C0DD0">
        <w:rPr>
          <w:rFonts w:asciiTheme="minorHAnsi" w:hAnsiTheme="minorHAnsi" w:cstheme="minorHAnsi"/>
        </w:rPr>
        <w:t xml:space="preserve"> Islander. </w:t>
      </w:r>
      <w:r>
        <w:rPr>
          <w:rFonts w:asciiTheme="minorHAnsi" w:hAnsiTheme="minorHAnsi" w:cstheme="minorHAnsi"/>
        </w:rPr>
        <w:t>First Nation</w:t>
      </w:r>
      <w:r w:rsidR="00D12C21">
        <w:rPr>
          <w:rFonts w:asciiTheme="minorHAnsi" w:hAnsiTheme="minorHAnsi" w:cstheme="minorHAnsi"/>
        </w:rPr>
        <w:t>s status</w:t>
      </w:r>
      <w:r w:rsidR="00D12C21" w:rsidRPr="007C0DD0">
        <w:rPr>
          <w:rFonts w:asciiTheme="minorHAnsi" w:hAnsiTheme="minorHAnsi" w:cstheme="minorHAnsi"/>
        </w:rPr>
        <w:t xml:space="preserve"> </w:t>
      </w:r>
      <w:r w:rsidR="009320E4" w:rsidRPr="007C0DD0">
        <w:rPr>
          <w:rFonts w:asciiTheme="minorHAnsi" w:hAnsiTheme="minorHAnsi" w:cstheme="minorHAnsi"/>
        </w:rPr>
        <w:t>is based on self</w:t>
      </w:r>
      <w:r w:rsidR="00B04FCE">
        <w:rPr>
          <w:rFonts w:asciiTheme="minorHAnsi" w:hAnsiTheme="minorHAnsi" w:cstheme="minorHAnsi"/>
        </w:rPr>
        <w:noBreakHyphen/>
      </w:r>
      <w:r w:rsidR="009320E4" w:rsidRPr="007C0DD0">
        <w:rPr>
          <w:rFonts w:asciiTheme="minorHAnsi" w:hAnsiTheme="minorHAnsi" w:cstheme="minorHAnsi"/>
        </w:rPr>
        <w:t xml:space="preserve">reported information provided to Centrelink in the first instance. Where </w:t>
      </w:r>
      <w:r w:rsidR="003D79F8">
        <w:rPr>
          <w:rFonts w:asciiTheme="minorHAnsi" w:hAnsiTheme="minorHAnsi" w:cstheme="minorHAnsi"/>
        </w:rPr>
        <w:t>a person</w:t>
      </w:r>
      <w:r w:rsidR="009320E4" w:rsidRPr="007C0DD0">
        <w:rPr>
          <w:rFonts w:asciiTheme="minorHAnsi" w:hAnsiTheme="minorHAnsi" w:cstheme="minorHAnsi"/>
        </w:rPr>
        <w:t xml:space="preserve"> has not interacted with Centrelink</w:t>
      </w:r>
      <w:r w:rsidR="003D79F8">
        <w:rPr>
          <w:rFonts w:asciiTheme="minorHAnsi" w:hAnsiTheme="minorHAnsi" w:cstheme="minorHAnsi"/>
        </w:rPr>
        <w:t>,</w:t>
      </w:r>
      <w:r w:rsidR="009320E4" w:rsidRPr="007C0DD0">
        <w:rPr>
          <w:rFonts w:asciiTheme="minorHAnsi" w:hAnsiTheme="minorHAnsi" w:cstheme="minorHAnsi"/>
        </w:rPr>
        <w:t xml:space="preserve"> their </w:t>
      </w:r>
      <w:r>
        <w:rPr>
          <w:rFonts w:asciiTheme="minorHAnsi" w:hAnsiTheme="minorHAnsi" w:cstheme="minorHAnsi"/>
        </w:rPr>
        <w:t>First Nation</w:t>
      </w:r>
      <w:r w:rsidR="00D12C21">
        <w:rPr>
          <w:rFonts w:asciiTheme="minorHAnsi" w:hAnsiTheme="minorHAnsi" w:cstheme="minorHAnsi"/>
        </w:rPr>
        <w:t>s status</w:t>
      </w:r>
      <w:r w:rsidR="00D12C21" w:rsidRPr="007C0DD0">
        <w:rPr>
          <w:rFonts w:asciiTheme="minorHAnsi" w:hAnsiTheme="minorHAnsi" w:cstheme="minorHAnsi"/>
        </w:rPr>
        <w:t xml:space="preserve"> </w:t>
      </w:r>
      <w:r w:rsidR="009320E4" w:rsidRPr="007C0DD0">
        <w:rPr>
          <w:rFonts w:asciiTheme="minorHAnsi" w:hAnsiTheme="minorHAnsi" w:cstheme="minorHAnsi"/>
        </w:rPr>
        <w:t>is based on information from the ABS census.</w:t>
      </w:r>
    </w:p>
    <w:p w14:paraId="31C9270C" w14:textId="77777777" w:rsidR="00B04FCE" w:rsidRDefault="009D4261" w:rsidP="00523C23">
      <w:pPr>
        <w:pStyle w:val="Heading2Appendix"/>
      </w:pPr>
      <w:r w:rsidRPr="004D3097">
        <w:t>Lifetime Cost</w:t>
      </w:r>
    </w:p>
    <w:p w14:paraId="771617AB" w14:textId="727BE385" w:rsidR="00B04FCE" w:rsidRDefault="009D4261" w:rsidP="008D6C3D">
      <w:pPr>
        <w:rPr>
          <w:rFonts w:asciiTheme="minorHAnsi" w:hAnsiTheme="minorHAnsi" w:cstheme="minorHAnsi"/>
        </w:rPr>
      </w:pPr>
      <w:r w:rsidRPr="004D3097">
        <w:rPr>
          <w:rFonts w:asciiTheme="minorHAnsi" w:hAnsiTheme="minorHAnsi" w:cstheme="minorHAnsi"/>
        </w:rPr>
        <w:t>The net present value of all future in</w:t>
      </w:r>
      <w:r w:rsidR="00B04FCE">
        <w:rPr>
          <w:rFonts w:asciiTheme="minorHAnsi" w:hAnsiTheme="minorHAnsi" w:cstheme="minorHAnsi"/>
        </w:rPr>
        <w:noBreakHyphen/>
      </w:r>
      <w:r w:rsidRPr="004D3097">
        <w:rPr>
          <w:rFonts w:asciiTheme="minorHAnsi" w:hAnsiTheme="minorHAnsi" w:cstheme="minorHAnsi"/>
        </w:rPr>
        <w:t xml:space="preserve">scope </w:t>
      </w:r>
      <w:r w:rsidR="00792519">
        <w:rPr>
          <w:rFonts w:asciiTheme="minorHAnsi" w:hAnsiTheme="minorHAnsi" w:cstheme="minorHAnsi"/>
        </w:rPr>
        <w:t>s</w:t>
      </w:r>
      <w:r w:rsidRPr="004D3097">
        <w:rPr>
          <w:rFonts w:asciiTheme="minorHAnsi" w:hAnsiTheme="minorHAnsi" w:cstheme="minorHAnsi"/>
        </w:rPr>
        <w:t xml:space="preserve">ocial </w:t>
      </w:r>
      <w:r w:rsidR="00792519">
        <w:rPr>
          <w:rFonts w:asciiTheme="minorHAnsi" w:hAnsiTheme="minorHAnsi" w:cstheme="minorHAnsi"/>
        </w:rPr>
        <w:t>s</w:t>
      </w:r>
      <w:r w:rsidRPr="004D3097">
        <w:rPr>
          <w:rFonts w:asciiTheme="minorHAnsi" w:hAnsiTheme="minorHAnsi" w:cstheme="minorHAnsi"/>
        </w:rPr>
        <w:t>ecurity payments. It is calculated for every Australian.</w:t>
      </w:r>
    </w:p>
    <w:p w14:paraId="1440636A" w14:textId="65B54B49" w:rsidR="009D4261" w:rsidRPr="004D3097" w:rsidRDefault="009D4261" w:rsidP="00523C23">
      <w:pPr>
        <w:pStyle w:val="Heading2Appendix"/>
      </w:pPr>
      <w:r w:rsidRPr="004D3097">
        <w:t>Net Present Value</w:t>
      </w:r>
    </w:p>
    <w:p w14:paraId="0532A052" w14:textId="011DA2B2" w:rsidR="009D4261" w:rsidRDefault="009D4261" w:rsidP="008D6C3D">
      <w:pPr>
        <w:rPr>
          <w:rFonts w:asciiTheme="minorHAnsi" w:hAnsiTheme="minorHAnsi" w:cstheme="minorHAnsi"/>
        </w:rPr>
      </w:pPr>
      <w:r w:rsidRPr="004D3097">
        <w:rPr>
          <w:rFonts w:asciiTheme="minorHAnsi" w:hAnsiTheme="minorHAnsi" w:cstheme="minorHAnsi"/>
        </w:rPr>
        <w:t>The sum of the present value of incoming and outgoing cash flows over a period of time.</w:t>
      </w:r>
    </w:p>
    <w:p w14:paraId="4B52BF64" w14:textId="77777777" w:rsidR="00B04FCE" w:rsidRDefault="00935E59" w:rsidP="00523C23">
      <w:pPr>
        <w:pStyle w:val="Heading2Appendix"/>
      </w:pPr>
      <w:r w:rsidRPr="005C3442">
        <w:t xml:space="preserve">Other </w:t>
      </w:r>
      <w:r w:rsidRPr="00CE7F06">
        <w:t>Supplementary payment</w:t>
      </w:r>
    </w:p>
    <w:p w14:paraId="4CBEFDCE" w14:textId="643C257A" w:rsidR="00935E59" w:rsidRPr="004D3097" w:rsidRDefault="00935E59" w:rsidP="00935E59">
      <w:pPr>
        <w:rPr>
          <w:rFonts w:asciiTheme="minorHAnsi" w:hAnsiTheme="minorHAnsi" w:cstheme="minorHAnsi"/>
        </w:rPr>
      </w:pPr>
      <w:r>
        <w:rPr>
          <w:rFonts w:asciiTheme="minorHAnsi" w:hAnsiTheme="minorHAnsi" w:cstheme="minorHAnsi"/>
        </w:rPr>
        <w:t>Other supplementary payments include any supplementary payments not specifically related to the cost of raising families (supplementary family) or for caring (supplementary carer).</w:t>
      </w:r>
      <w:r w:rsidR="00B04FCE">
        <w:rPr>
          <w:rFonts w:asciiTheme="minorHAnsi" w:hAnsiTheme="minorHAnsi" w:cstheme="minorHAnsi"/>
        </w:rPr>
        <w:t xml:space="preserve"> </w:t>
      </w:r>
      <w:r>
        <w:rPr>
          <w:rFonts w:asciiTheme="minorHAnsi" w:hAnsiTheme="minorHAnsi" w:cstheme="minorHAnsi"/>
        </w:rPr>
        <w:t xml:space="preserve">An example </w:t>
      </w:r>
      <w:r w:rsidR="0001203D">
        <w:rPr>
          <w:rFonts w:asciiTheme="minorHAnsi" w:hAnsiTheme="minorHAnsi" w:cstheme="minorHAnsi"/>
        </w:rPr>
        <w:t>is</w:t>
      </w:r>
      <w:r>
        <w:rPr>
          <w:rFonts w:asciiTheme="minorHAnsi" w:hAnsiTheme="minorHAnsi" w:cstheme="minorHAnsi"/>
        </w:rPr>
        <w:t xml:space="preserve"> Rent Assistance.</w:t>
      </w:r>
    </w:p>
    <w:p w14:paraId="167E5055" w14:textId="5F6FF120" w:rsidR="009D4261" w:rsidRPr="00A25842" w:rsidRDefault="009D4261" w:rsidP="00523C23">
      <w:pPr>
        <w:pStyle w:val="Heading2Appendix"/>
      </w:pPr>
      <w:r w:rsidRPr="00A25842">
        <w:t xml:space="preserve">Partial </w:t>
      </w:r>
      <w:r w:rsidR="007D3640">
        <w:t>c</w:t>
      </w:r>
      <w:r w:rsidRPr="00A25842">
        <w:t xml:space="preserve">apacity to </w:t>
      </w:r>
      <w:r w:rsidR="007D3640">
        <w:t>w</w:t>
      </w:r>
      <w:r w:rsidRPr="00A25842">
        <w:t>ork</w:t>
      </w:r>
    </w:p>
    <w:p w14:paraId="06DC9B08" w14:textId="6BAB287B" w:rsidR="00A27A2C" w:rsidRDefault="00CD4D35" w:rsidP="008D6C3D">
      <w:pPr>
        <w:rPr>
          <w:rFonts w:asciiTheme="minorHAnsi" w:hAnsiTheme="minorHAnsi" w:cstheme="minorHAnsi"/>
        </w:rPr>
      </w:pPr>
      <w:r w:rsidRPr="004D3097">
        <w:rPr>
          <w:rFonts w:asciiTheme="minorHAnsi" w:hAnsiTheme="minorHAnsi" w:cstheme="minorHAnsi"/>
        </w:rPr>
        <w:t xml:space="preserve">A person who is unable to work for at least 30 hours per week, whether due to a physical, intellectual or psychiatric impairment, is referred to as having a partial capacity to work. A person who is able to work </w:t>
      </w:r>
      <w:r w:rsidR="00305653" w:rsidRPr="004D3097">
        <w:rPr>
          <w:rFonts w:asciiTheme="minorHAnsi" w:hAnsiTheme="minorHAnsi" w:cstheme="minorHAnsi"/>
        </w:rPr>
        <w:t>for at least 30 hours per week</w:t>
      </w:r>
      <w:r w:rsidRPr="004D3097">
        <w:rPr>
          <w:rFonts w:asciiTheme="minorHAnsi" w:hAnsiTheme="minorHAnsi" w:cstheme="minorHAnsi"/>
        </w:rPr>
        <w:t xml:space="preserve"> is referred to as having </w:t>
      </w:r>
      <w:r w:rsidRPr="007C0DD0">
        <w:rPr>
          <w:rFonts w:asciiTheme="minorHAnsi" w:hAnsiTheme="minorHAnsi" w:cstheme="minorHAnsi"/>
        </w:rPr>
        <w:t>full capacity to work</w:t>
      </w:r>
      <w:r w:rsidRPr="004D3097">
        <w:rPr>
          <w:rFonts w:asciiTheme="minorHAnsi" w:hAnsiTheme="minorHAnsi" w:cstheme="minorHAnsi"/>
        </w:rPr>
        <w:t>.</w:t>
      </w:r>
    </w:p>
    <w:p w14:paraId="63C62CE6" w14:textId="3B2529C2" w:rsidR="00CB6B6A" w:rsidRPr="00A25842" w:rsidRDefault="00CB6B6A" w:rsidP="00523C23">
      <w:pPr>
        <w:pStyle w:val="Heading2Appendix"/>
      </w:pPr>
      <w:r w:rsidRPr="00A25842">
        <w:t>SEIFA</w:t>
      </w:r>
    </w:p>
    <w:p w14:paraId="44B5514A" w14:textId="4FC6314D" w:rsidR="00CB6B6A" w:rsidRPr="004D3097" w:rsidRDefault="00CB6B6A" w:rsidP="00CB6B6A">
      <w:pPr>
        <w:rPr>
          <w:rFonts w:asciiTheme="minorHAnsi" w:hAnsiTheme="minorHAnsi" w:cstheme="minorHAnsi"/>
        </w:rPr>
      </w:pPr>
      <w:r w:rsidRPr="004D3097">
        <w:rPr>
          <w:rFonts w:asciiTheme="minorHAnsi" w:hAnsiTheme="minorHAnsi" w:cstheme="minorHAnsi"/>
        </w:rPr>
        <w:t>Socio</w:t>
      </w:r>
      <w:r w:rsidR="00B04FCE">
        <w:rPr>
          <w:rFonts w:asciiTheme="minorHAnsi" w:hAnsiTheme="minorHAnsi" w:cstheme="minorHAnsi"/>
        </w:rPr>
        <w:noBreakHyphen/>
      </w:r>
      <w:r w:rsidRPr="004D3097">
        <w:rPr>
          <w:rFonts w:asciiTheme="minorHAnsi" w:hAnsiTheme="minorHAnsi" w:cstheme="minorHAnsi"/>
        </w:rPr>
        <w:t>Economic Indexes for Areas. A product developed by the Australian Bureau of Statistics that ranks areas in Australia according to relative socio</w:t>
      </w:r>
      <w:r w:rsidR="00B04FCE">
        <w:rPr>
          <w:rFonts w:asciiTheme="minorHAnsi" w:hAnsiTheme="minorHAnsi" w:cstheme="minorHAnsi"/>
        </w:rPr>
        <w:noBreakHyphen/>
      </w:r>
      <w:r w:rsidRPr="004D3097">
        <w:rPr>
          <w:rFonts w:asciiTheme="minorHAnsi" w:hAnsiTheme="minorHAnsi" w:cstheme="minorHAnsi"/>
        </w:rPr>
        <w:t>economic advantage and disadvantage.</w:t>
      </w:r>
    </w:p>
    <w:p w14:paraId="583446B0" w14:textId="77777777" w:rsidR="003609DE" w:rsidRPr="00A25842" w:rsidRDefault="003609DE" w:rsidP="00523C23">
      <w:pPr>
        <w:pStyle w:val="Heading2Appendix"/>
      </w:pPr>
      <w:r w:rsidRPr="00A25842">
        <w:lastRenderedPageBreak/>
        <w:t>Social security</w:t>
      </w:r>
    </w:p>
    <w:p w14:paraId="6888C466" w14:textId="57184DD6" w:rsidR="0098487A" w:rsidRDefault="0098487A" w:rsidP="00FD6001">
      <w:pPr>
        <w:keepLines/>
        <w:rPr>
          <w:rFonts w:asciiTheme="minorHAnsi" w:hAnsiTheme="minorHAnsi" w:cstheme="minorHAnsi"/>
        </w:rPr>
      </w:pPr>
      <w:r w:rsidRPr="004D3097">
        <w:rPr>
          <w:rFonts w:asciiTheme="minorHAnsi" w:hAnsiTheme="minorHAnsi" w:cstheme="minorHAnsi"/>
        </w:rPr>
        <w:t xml:space="preserve">The social security system </w:t>
      </w:r>
      <w:r w:rsidR="00942610">
        <w:rPr>
          <w:rFonts w:asciiTheme="minorHAnsi" w:hAnsiTheme="minorHAnsi" w:cstheme="minorHAnsi"/>
        </w:rPr>
        <w:t>provides</w:t>
      </w:r>
      <w:r w:rsidR="00942610" w:rsidRPr="004D3097">
        <w:rPr>
          <w:rFonts w:asciiTheme="minorHAnsi" w:hAnsiTheme="minorHAnsi" w:cstheme="minorHAnsi"/>
        </w:rPr>
        <w:t xml:space="preserve"> </w:t>
      </w:r>
      <w:r w:rsidR="00AF386D" w:rsidRPr="004D3097">
        <w:rPr>
          <w:rFonts w:asciiTheme="minorHAnsi" w:hAnsiTheme="minorHAnsi" w:cstheme="minorHAnsi"/>
        </w:rPr>
        <w:t xml:space="preserve">targeted </w:t>
      </w:r>
      <w:r w:rsidRPr="004D3097">
        <w:rPr>
          <w:rFonts w:asciiTheme="minorHAnsi" w:hAnsiTheme="minorHAnsi" w:cstheme="minorHAnsi"/>
        </w:rPr>
        <w:t xml:space="preserve">financial assistance to support people who are unable to </w:t>
      </w:r>
      <w:r w:rsidR="00942610">
        <w:rPr>
          <w:rFonts w:asciiTheme="minorHAnsi" w:hAnsiTheme="minorHAnsi" w:cstheme="minorHAnsi"/>
        </w:rPr>
        <w:t xml:space="preserve">fully </w:t>
      </w:r>
      <w:r w:rsidRPr="004D3097">
        <w:rPr>
          <w:rFonts w:asciiTheme="minorHAnsi" w:hAnsiTheme="minorHAnsi" w:cstheme="minorHAnsi"/>
        </w:rPr>
        <w:t>support themselves</w:t>
      </w:r>
      <w:r w:rsidR="00FB4B48" w:rsidRPr="004D3097">
        <w:rPr>
          <w:rFonts w:asciiTheme="minorHAnsi" w:hAnsiTheme="minorHAnsi" w:cstheme="minorHAnsi"/>
        </w:rPr>
        <w:t xml:space="preserve">. </w:t>
      </w:r>
      <w:r w:rsidRPr="004D3097">
        <w:rPr>
          <w:rFonts w:asciiTheme="minorHAnsi" w:hAnsiTheme="minorHAnsi" w:cstheme="minorHAnsi"/>
        </w:rPr>
        <w:t xml:space="preserve">In this </w:t>
      </w:r>
      <w:r w:rsidR="008314E0">
        <w:rPr>
          <w:rFonts w:asciiTheme="minorHAnsi" w:hAnsiTheme="minorHAnsi" w:cstheme="minorHAnsi"/>
        </w:rPr>
        <w:t>report</w:t>
      </w:r>
      <w:r w:rsidR="00E336F4" w:rsidRPr="004D3097">
        <w:rPr>
          <w:rFonts w:asciiTheme="minorHAnsi" w:hAnsiTheme="minorHAnsi" w:cstheme="minorHAnsi"/>
        </w:rPr>
        <w:t>,</w:t>
      </w:r>
      <w:r w:rsidRPr="004D3097">
        <w:rPr>
          <w:rFonts w:asciiTheme="minorHAnsi" w:hAnsiTheme="minorHAnsi" w:cstheme="minorHAnsi"/>
        </w:rPr>
        <w:t xml:space="preserve"> social security refers to both income support payments and supplementary payments.</w:t>
      </w:r>
    </w:p>
    <w:p w14:paraId="25D18B34" w14:textId="52C4A096" w:rsidR="00CB6B6A" w:rsidRDefault="00CB6B6A" w:rsidP="00523C23">
      <w:pPr>
        <w:pStyle w:val="Heading2Appendix"/>
      </w:pPr>
      <w:r>
        <w:t>Studying payment</w:t>
      </w:r>
      <w:r w:rsidR="00DB2D2C">
        <w:t>s</w:t>
      </w:r>
    </w:p>
    <w:p w14:paraId="2937D34D" w14:textId="77777777" w:rsidR="00B04FCE" w:rsidRDefault="00CB6B6A" w:rsidP="00CB6B6A">
      <w:pPr>
        <w:rPr>
          <w:rFonts w:asciiTheme="minorHAnsi" w:hAnsiTheme="minorHAnsi" w:cstheme="minorHAnsi"/>
        </w:rPr>
      </w:pPr>
      <w:r>
        <w:rPr>
          <w:rFonts w:asciiTheme="minorHAnsi" w:hAnsiTheme="minorHAnsi" w:cstheme="minorHAnsi"/>
        </w:rPr>
        <w:t xml:space="preserve">Studying payments include payments provided to students to assist them with </w:t>
      </w:r>
      <w:r w:rsidR="00767677">
        <w:rPr>
          <w:rFonts w:asciiTheme="minorHAnsi" w:hAnsiTheme="minorHAnsi" w:cstheme="minorHAnsi"/>
        </w:rPr>
        <w:t xml:space="preserve">living costs while undertaking </w:t>
      </w:r>
      <w:r>
        <w:rPr>
          <w:rFonts w:asciiTheme="minorHAnsi" w:hAnsiTheme="minorHAnsi" w:cstheme="minorHAnsi"/>
        </w:rPr>
        <w:t>their studies. Payments in this category include Austudy, ABSTUDY and Youth Allowance (Student)</w:t>
      </w:r>
      <w:r w:rsidR="00E5667E">
        <w:rPr>
          <w:rFonts w:asciiTheme="minorHAnsi" w:hAnsiTheme="minorHAnsi" w:cstheme="minorHAnsi"/>
        </w:rPr>
        <w:t>.</w:t>
      </w:r>
    </w:p>
    <w:p w14:paraId="5444DD64" w14:textId="2596E765" w:rsidR="00B04FCE" w:rsidRDefault="00CB6B6A" w:rsidP="00523C23">
      <w:pPr>
        <w:pStyle w:val="Heading2Appendix"/>
      </w:pPr>
      <w:r w:rsidRPr="00CE7F06">
        <w:t>Supplementary payments</w:t>
      </w:r>
    </w:p>
    <w:p w14:paraId="0043D4EF" w14:textId="408548C1" w:rsidR="00CB6B6A" w:rsidRDefault="00CB6B6A" w:rsidP="00CB6B6A">
      <w:pPr>
        <w:rPr>
          <w:rFonts w:asciiTheme="minorHAnsi" w:hAnsiTheme="minorHAnsi" w:cstheme="minorHAnsi"/>
        </w:rPr>
      </w:pPr>
      <w:r>
        <w:rPr>
          <w:rFonts w:asciiTheme="minorHAnsi" w:hAnsiTheme="minorHAnsi" w:cstheme="minorHAnsi"/>
        </w:rPr>
        <w:t>Supplementary payments include any payments that are not an income support payment. Examples of payments in this group include supplementary family payments (</w:t>
      </w:r>
      <w:r w:rsidR="00C818F7">
        <w:rPr>
          <w:rFonts w:asciiTheme="minorHAnsi" w:hAnsiTheme="minorHAnsi" w:cstheme="minorHAnsi"/>
        </w:rPr>
        <w:t>such as</w:t>
      </w:r>
      <w:r>
        <w:rPr>
          <w:rFonts w:asciiTheme="minorHAnsi" w:hAnsiTheme="minorHAnsi" w:cstheme="minorHAnsi"/>
        </w:rPr>
        <w:t xml:space="preserve"> Family Tax Benefit, Child Care Subsidy), supplementary carer payments (</w:t>
      </w:r>
      <w:r w:rsidR="00767677">
        <w:rPr>
          <w:rFonts w:asciiTheme="minorHAnsi" w:hAnsiTheme="minorHAnsi" w:cstheme="minorHAnsi"/>
        </w:rPr>
        <w:t>such as</w:t>
      </w:r>
      <w:r>
        <w:rPr>
          <w:rFonts w:asciiTheme="minorHAnsi" w:hAnsiTheme="minorHAnsi" w:cstheme="minorHAnsi"/>
        </w:rPr>
        <w:t xml:space="preserve"> Carer Allowance) and other supplementary payments (</w:t>
      </w:r>
      <w:r w:rsidR="00C818F7">
        <w:rPr>
          <w:rFonts w:asciiTheme="minorHAnsi" w:hAnsiTheme="minorHAnsi" w:cstheme="minorHAnsi"/>
        </w:rPr>
        <w:t>such as</w:t>
      </w:r>
      <w:r>
        <w:rPr>
          <w:rFonts w:asciiTheme="minorHAnsi" w:hAnsiTheme="minorHAnsi" w:cstheme="minorHAnsi"/>
        </w:rPr>
        <w:t xml:space="preserve"> </w:t>
      </w:r>
      <w:r w:rsidR="00633D99">
        <w:rPr>
          <w:rFonts w:asciiTheme="minorHAnsi" w:hAnsiTheme="minorHAnsi" w:cstheme="minorHAnsi"/>
        </w:rPr>
        <w:t>Rent Assistance</w:t>
      </w:r>
      <w:r>
        <w:rPr>
          <w:rFonts w:asciiTheme="minorHAnsi" w:hAnsiTheme="minorHAnsi" w:cstheme="minorHAnsi"/>
        </w:rPr>
        <w:t>)</w:t>
      </w:r>
      <w:r w:rsidR="007C0DD0">
        <w:rPr>
          <w:rFonts w:asciiTheme="minorHAnsi" w:hAnsiTheme="minorHAnsi" w:cstheme="minorHAnsi"/>
        </w:rPr>
        <w:t>.</w:t>
      </w:r>
    </w:p>
    <w:p w14:paraId="7DE31B9D" w14:textId="77777777" w:rsidR="00B04FCE" w:rsidRDefault="00CB6B6A" w:rsidP="00523C23">
      <w:pPr>
        <w:pStyle w:val="Heading2Appendix"/>
      </w:pPr>
      <w:r w:rsidRPr="00CE7F06">
        <w:t xml:space="preserve">Supplementary </w:t>
      </w:r>
      <w:r>
        <w:t xml:space="preserve">carer </w:t>
      </w:r>
      <w:r w:rsidRPr="00CE7F06">
        <w:t>payment</w:t>
      </w:r>
    </w:p>
    <w:p w14:paraId="2332ADDD" w14:textId="70EE37E4" w:rsidR="00CB6B6A" w:rsidRDefault="00CB6B6A" w:rsidP="00CB6B6A">
      <w:pPr>
        <w:rPr>
          <w:rFonts w:asciiTheme="minorHAnsi" w:hAnsiTheme="minorHAnsi" w:cstheme="minorHAnsi"/>
        </w:rPr>
      </w:pPr>
      <w:r>
        <w:rPr>
          <w:rFonts w:asciiTheme="minorHAnsi" w:hAnsiTheme="minorHAnsi" w:cstheme="minorHAnsi"/>
        </w:rPr>
        <w:t xml:space="preserve">Supplementary carer payments include any payments provided to assist carers </w:t>
      </w:r>
      <w:r w:rsidR="00767677">
        <w:rPr>
          <w:rFonts w:asciiTheme="minorHAnsi" w:hAnsiTheme="minorHAnsi" w:cstheme="minorHAnsi"/>
        </w:rPr>
        <w:t xml:space="preserve">other than </w:t>
      </w:r>
      <w:r>
        <w:rPr>
          <w:rFonts w:asciiTheme="minorHAnsi" w:hAnsiTheme="minorHAnsi" w:cstheme="minorHAnsi"/>
        </w:rPr>
        <w:t>Carer Payment. Carer Allowance is the largest payment in this category.</w:t>
      </w:r>
    </w:p>
    <w:p w14:paraId="07FDD26E" w14:textId="77777777" w:rsidR="00B04FCE" w:rsidRDefault="00CB6B6A" w:rsidP="00523C23">
      <w:pPr>
        <w:pStyle w:val="Heading2Appendix"/>
      </w:pPr>
      <w:r w:rsidRPr="00CE7F06">
        <w:t xml:space="preserve">Supplementary </w:t>
      </w:r>
      <w:r>
        <w:t xml:space="preserve">family </w:t>
      </w:r>
      <w:r w:rsidRPr="00CE7F06">
        <w:t>payment</w:t>
      </w:r>
      <w:r w:rsidR="00DB2D2C">
        <w:t>s</w:t>
      </w:r>
    </w:p>
    <w:p w14:paraId="25050CD5" w14:textId="650C175F" w:rsidR="00B04FCE" w:rsidRDefault="00CB6B6A" w:rsidP="00CB6B6A">
      <w:pPr>
        <w:rPr>
          <w:rFonts w:asciiTheme="minorHAnsi" w:hAnsiTheme="minorHAnsi" w:cstheme="minorHAnsi"/>
        </w:rPr>
      </w:pPr>
      <w:r>
        <w:rPr>
          <w:rFonts w:asciiTheme="minorHAnsi" w:hAnsiTheme="minorHAnsi" w:cstheme="minorHAnsi"/>
        </w:rPr>
        <w:t>Supplementary family payments refer</w:t>
      </w:r>
      <w:r w:rsidRPr="00670060">
        <w:rPr>
          <w:rFonts w:asciiTheme="minorHAnsi" w:hAnsiTheme="minorHAnsi" w:cstheme="minorHAnsi"/>
        </w:rPr>
        <w:t xml:space="preserve"> to any </w:t>
      </w:r>
      <w:r>
        <w:rPr>
          <w:rFonts w:asciiTheme="minorHAnsi" w:hAnsiTheme="minorHAnsi" w:cstheme="minorHAnsi"/>
        </w:rPr>
        <w:t xml:space="preserve">supplementary payments </w:t>
      </w:r>
      <w:r w:rsidR="00767677">
        <w:rPr>
          <w:rFonts w:asciiTheme="minorHAnsi" w:hAnsiTheme="minorHAnsi" w:cstheme="minorHAnsi"/>
        </w:rPr>
        <w:t>provided to</w:t>
      </w:r>
      <w:r>
        <w:rPr>
          <w:rFonts w:asciiTheme="minorHAnsi" w:hAnsiTheme="minorHAnsi" w:cstheme="minorHAnsi"/>
        </w:rPr>
        <w:t xml:space="preserve"> assist families. The main payments are</w:t>
      </w:r>
      <w:r w:rsidRPr="00670060">
        <w:rPr>
          <w:rFonts w:asciiTheme="minorHAnsi" w:hAnsiTheme="minorHAnsi" w:cstheme="minorHAnsi"/>
        </w:rPr>
        <w:t xml:space="preserve"> Family Tax Benefit, Child Care Subsidy, and </w:t>
      </w:r>
      <w:r w:rsidR="00E205DD">
        <w:rPr>
          <w:rFonts w:asciiTheme="minorHAnsi" w:hAnsiTheme="minorHAnsi" w:cstheme="minorHAnsi"/>
        </w:rPr>
        <w:t xml:space="preserve">Paid </w:t>
      </w:r>
      <w:r w:rsidRPr="00670060">
        <w:rPr>
          <w:rFonts w:asciiTheme="minorHAnsi" w:hAnsiTheme="minorHAnsi" w:cstheme="minorHAnsi"/>
        </w:rPr>
        <w:t>Parental Leave.</w:t>
      </w:r>
    </w:p>
    <w:p w14:paraId="0FF3856C" w14:textId="2F7E8D72" w:rsidR="00CB6B6A" w:rsidRPr="00A25842" w:rsidRDefault="00CB6B6A" w:rsidP="00523C23">
      <w:pPr>
        <w:pStyle w:val="Heading2Appendix"/>
      </w:pPr>
      <w:r w:rsidRPr="00A25842">
        <w:t xml:space="preserve">Working </w:t>
      </w:r>
      <w:r>
        <w:t>a</w:t>
      </w:r>
      <w:r w:rsidRPr="00A25842">
        <w:t xml:space="preserve">ge </w:t>
      </w:r>
      <w:r>
        <w:t>p</w:t>
      </w:r>
      <w:r w:rsidRPr="00A25842">
        <w:t>ayment</w:t>
      </w:r>
      <w:r w:rsidR="00DB2D2C">
        <w:t>s</w:t>
      </w:r>
    </w:p>
    <w:p w14:paraId="7A333094" w14:textId="37E44493" w:rsidR="00B04FCE" w:rsidRDefault="00CB6B6A" w:rsidP="00CB6B6A">
      <w:pPr>
        <w:rPr>
          <w:rFonts w:asciiTheme="minorHAnsi" w:hAnsiTheme="minorHAnsi" w:cstheme="minorHAnsi"/>
        </w:rPr>
      </w:pPr>
      <w:r w:rsidRPr="004D3097">
        <w:rPr>
          <w:rFonts w:asciiTheme="minorHAnsi" w:hAnsiTheme="minorHAnsi" w:cstheme="minorHAnsi"/>
        </w:rPr>
        <w:t xml:space="preserve">Income support payments to assist working age people who are temporarily unable to support themselves through work. Working age payments mainly consist of </w:t>
      </w:r>
      <w:r w:rsidR="005E332C">
        <w:rPr>
          <w:rFonts w:asciiTheme="minorHAnsi" w:hAnsiTheme="minorHAnsi" w:cstheme="minorHAnsi"/>
        </w:rPr>
        <w:t>JobSeeker Payment</w:t>
      </w:r>
      <w:r w:rsidRPr="004D3097">
        <w:rPr>
          <w:rFonts w:asciiTheme="minorHAnsi" w:hAnsiTheme="minorHAnsi" w:cstheme="minorHAnsi"/>
        </w:rPr>
        <w:t xml:space="preserve"> for people aged 22 and above, and Youth Allowance (</w:t>
      </w:r>
      <w:r w:rsidR="00C818F7">
        <w:rPr>
          <w:rFonts w:asciiTheme="minorHAnsi" w:hAnsiTheme="minorHAnsi" w:cstheme="minorHAnsi"/>
        </w:rPr>
        <w:t>O</w:t>
      </w:r>
      <w:r w:rsidRPr="004D3097">
        <w:rPr>
          <w:rFonts w:asciiTheme="minorHAnsi" w:hAnsiTheme="minorHAnsi" w:cstheme="minorHAnsi"/>
        </w:rPr>
        <w:t>ther) for people aged 16</w:t>
      </w:r>
      <w:r w:rsidR="00767677">
        <w:rPr>
          <w:rFonts w:asciiTheme="minorHAnsi" w:hAnsiTheme="minorHAnsi" w:cstheme="minorHAnsi"/>
        </w:rPr>
        <w:t xml:space="preserve"> to </w:t>
      </w:r>
      <w:r w:rsidRPr="004D3097">
        <w:rPr>
          <w:rFonts w:asciiTheme="minorHAnsi" w:hAnsiTheme="minorHAnsi" w:cstheme="minorHAnsi"/>
        </w:rPr>
        <w:t xml:space="preserve">21. </w:t>
      </w:r>
      <w:r>
        <w:rPr>
          <w:rFonts w:asciiTheme="minorHAnsi" w:hAnsiTheme="minorHAnsi" w:cstheme="minorHAnsi"/>
        </w:rPr>
        <w:t xml:space="preserve">Other payments in this category include Special Benefit, and apprenticeship related payments </w:t>
      </w:r>
      <w:r w:rsidR="00C818F7">
        <w:rPr>
          <w:rFonts w:asciiTheme="minorHAnsi" w:hAnsiTheme="minorHAnsi" w:cstheme="minorHAnsi"/>
        </w:rPr>
        <w:t>such as</w:t>
      </w:r>
      <w:r>
        <w:rPr>
          <w:rFonts w:asciiTheme="minorHAnsi" w:hAnsiTheme="minorHAnsi" w:cstheme="minorHAnsi"/>
        </w:rPr>
        <w:t xml:space="preserve"> Youth Allowance (</w:t>
      </w:r>
      <w:r w:rsidR="00C818F7">
        <w:rPr>
          <w:rFonts w:asciiTheme="minorHAnsi" w:hAnsiTheme="minorHAnsi" w:cstheme="minorHAnsi"/>
        </w:rPr>
        <w:t>A</w:t>
      </w:r>
      <w:r>
        <w:rPr>
          <w:rFonts w:asciiTheme="minorHAnsi" w:hAnsiTheme="minorHAnsi" w:cstheme="minorHAnsi"/>
        </w:rPr>
        <w:t>pprentice).</w:t>
      </w:r>
    </w:p>
    <w:p w14:paraId="65433991" w14:textId="77777777" w:rsidR="00523C23" w:rsidRPr="00EC4FC8" w:rsidRDefault="00523C23" w:rsidP="00EC4FC8">
      <w:bookmarkStart w:id="138" w:name="_Toc153355586"/>
      <w:bookmarkStart w:id="139" w:name="_Toc155358652"/>
    </w:p>
    <w:p w14:paraId="2A770C5C" w14:textId="77777777" w:rsidR="00EC4FC8" w:rsidRPr="00EC4FC8" w:rsidRDefault="00EC4FC8" w:rsidP="00EC4FC8">
      <w:pPr>
        <w:sectPr w:rsidR="00EC4FC8" w:rsidRPr="00EC4FC8" w:rsidSect="00B46214">
          <w:pgSz w:w="16838" w:h="11906" w:orient="landscape" w:code="9"/>
          <w:pgMar w:top="1418" w:right="1134" w:bottom="1418" w:left="1134" w:header="425" w:footer="680" w:gutter="0"/>
          <w:cols w:num="2" w:space="709"/>
          <w:docGrid w:linePitch="360"/>
        </w:sectPr>
      </w:pPr>
    </w:p>
    <w:p w14:paraId="2CD0A7F2" w14:textId="0742A7CD" w:rsidR="009D4261" w:rsidRPr="00A25842" w:rsidRDefault="00AD16A5" w:rsidP="00B924CC">
      <w:pPr>
        <w:pStyle w:val="Heading1notnumbered"/>
      </w:pPr>
      <w:bookmarkStart w:id="140" w:name="_Toc160109482"/>
      <w:r w:rsidRPr="00A25842">
        <w:lastRenderedPageBreak/>
        <w:t xml:space="preserve">Appendix B: </w:t>
      </w:r>
      <w:r w:rsidR="009D4261" w:rsidRPr="00A25842">
        <w:t>Payment Glossary</w:t>
      </w:r>
      <w:bookmarkEnd w:id="138"/>
      <w:bookmarkEnd w:id="139"/>
      <w:bookmarkEnd w:id="140"/>
    </w:p>
    <w:p w14:paraId="5BC7B81E" w14:textId="529358B5" w:rsidR="009D4261" w:rsidRPr="00A25842" w:rsidRDefault="009D4261" w:rsidP="00B924CC">
      <w:pPr>
        <w:pStyle w:val="Heading2Appendix"/>
      </w:pPr>
      <w:bookmarkStart w:id="141" w:name="_Toc153355587"/>
      <w:bookmarkStart w:id="142" w:name="_Toc155358653"/>
      <w:r w:rsidRPr="00A25842">
        <w:t>Income support payments</w:t>
      </w:r>
      <w:bookmarkEnd w:id="141"/>
      <w:bookmarkEnd w:id="142"/>
    </w:p>
    <w:p w14:paraId="17EF4280" w14:textId="77777777" w:rsidR="009D4261" w:rsidRPr="00A25842" w:rsidRDefault="009D4261" w:rsidP="00523C23">
      <w:pPr>
        <w:pStyle w:val="Heading3Appendix"/>
      </w:pPr>
      <w:r w:rsidRPr="00A25842">
        <w:t>ABSTUDY (Living Allowance)</w:t>
      </w:r>
    </w:p>
    <w:p w14:paraId="50D6D5AE" w14:textId="0992B6A0" w:rsidR="009D4261" w:rsidRPr="004D3097" w:rsidRDefault="009D4261" w:rsidP="008D6C3D">
      <w:pPr>
        <w:rPr>
          <w:rFonts w:asciiTheme="minorHAnsi" w:hAnsiTheme="minorHAnsi" w:cstheme="minorHAnsi"/>
        </w:rPr>
      </w:pPr>
      <w:r w:rsidRPr="004D3097">
        <w:rPr>
          <w:rFonts w:asciiTheme="minorHAnsi" w:hAnsiTheme="minorHAnsi" w:cstheme="minorHAnsi"/>
        </w:rPr>
        <w:t xml:space="preserve">ABSTUDY (Living Allowance) is a payment made to Aboriginal and </w:t>
      </w:r>
      <w:r w:rsidR="00D01768">
        <w:rPr>
          <w:rFonts w:asciiTheme="minorHAnsi" w:hAnsiTheme="minorHAnsi" w:cstheme="minorHAnsi"/>
        </w:rPr>
        <w:t>Torres Strait</w:t>
      </w:r>
      <w:r w:rsidRPr="004D3097">
        <w:rPr>
          <w:rFonts w:asciiTheme="minorHAnsi" w:hAnsiTheme="minorHAnsi" w:cstheme="minorHAnsi"/>
        </w:rPr>
        <w:t xml:space="preserve"> Islander students and apprentices to help with living costs while studying or training.</w:t>
      </w:r>
    </w:p>
    <w:p w14:paraId="5CD0625B" w14:textId="77777777" w:rsidR="009D4261" w:rsidRPr="00A25842" w:rsidRDefault="009D4261" w:rsidP="00523C23">
      <w:pPr>
        <w:pStyle w:val="Heading3Appendix"/>
      </w:pPr>
      <w:r w:rsidRPr="00A25842">
        <w:t>Age Pension</w:t>
      </w:r>
    </w:p>
    <w:p w14:paraId="415A1759" w14:textId="0B8B1BB3" w:rsidR="009D4261" w:rsidRPr="004D3097" w:rsidRDefault="009D4261" w:rsidP="008D6C3D">
      <w:pPr>
        <w:rPr>
          <w:rFonts w:asciiTheme="minorHAnsi" w:hAnsiTheme="minorHAnsi" w:cstheme="minorHAnsi"/>
        </w:rPr>
      </w:pPr>
      <w:r w:rsidRPr="004D3097">
        <w:rPr>
          <w:rFonts w:asciiTheme="minorHAnsi" w:hAnsiTheme="minorHAnsi" w:cstheme="minorHAnsi"/>
        </w:rPr>
        <w:t>Age Pension is an income support payment that helps provide an adequate standard of living to senior Australians with low means and supplements the income of those with moderate means.</w:t>
      </w:r>
    </w:p>
    <w:p w14:paraId="383E8674" w14:textId="77777777" w:rsidR="009D4261" w:rsidRPr="00A25842" w:rsidRDefault="009D4261" w:rsidP="00523C23">
      <w:pPr>
        <w:pStyle w:val="Heading3Appendix"/>
      </w:pPr>
      <w:r w:rsidRPr="00A25842">
        <w:t>Austudy</w:t>
      </w:r>
    </w:p>
    <w:p w14:paraId="51B8D0CE" w14:textId="13FA3DC5" w:rsidR="009D4261" w:rsidRPr="004D3097" w:rsidRDefault="009D4261" w:rsidP="008D6C3D">
      <w:pPr>
        <w:rPr>
          <w:rFonts w:asciiTheme="minorHAnsi" w:hAnsiTheme="minorHAnsi" w:cstheme="minorHAnsi"/>
        </w:rPr>
      </w:pPr>
      <w:r w:rsidRPr="004D3097">
        <w:rPr>
          <w:rFonts w:asciiTheme="minorHAnsi" w:hAnsiTheme="minorHAnsi" w:cstheme="minorHAnsi"/>
        </w:rPr>
        <w:t>Austudy is a payment made to full</w:t>
      </w:r>
      <w:r w:rsidR="00B04FCE">
        <w:rPr>
          <w:rFonts w:asciiTheme="minorHAnsi" w:hAnsiTheme="minorHAnsi" w:cstheme="minorHAnsi"/>
        </w:rPr>
        <w:noBreakHyphen/>
      </w:r>
      <w:r w:rsidRPr="004D3097">
        <w:rPr>
          <w:rFonts w:asciiTheme="minorHAnsi" w:hAnsiTheme="minorHAnsi" w:cstheme="minorHAnsi"/>
        </w:rPr>
        <w:t>time students and Australian apprentices who are aged 25</w:t>
      </w:r>
      <w:r w:rsidR="007855DD">
        <w:rPr>
          <w:rFonts w:asciiTheme="minorHAnsi" w:hAnsiTheme="minorHAnsi" w:cstheme="minorHAnsi"/>
        </w:rPr>
        <w:t> year</w:t>
      </w:r>
      <w:r w:rsidRPr="004D3097">
        <w:rPr>
          <w:rFonts w:asciiTheme="minorHAnsi" w:hAnsiTheme="minorHAnsi" w:cstheme="minorHAnsi"/>
        </w:rPr>
        <w:t>s and older.</w:t>
      </w:r>
    </w:p>
    <w:p w14:paraId="3A2F3F4F" w14:textId="77777777" w:rsidR="009D4261" w:rsidRPr="00A25842" w:rsidRDefault="009D4261" w:rsidP="00523C23">
      <w:pPr>
        <w:pStyle w:val="Heading3Appendix"/>
      </w:pPr>
      <w:r w:rsidRPr="00A25842">
        <w:t>Carer Payment</w:t>
      </w:r>
    </w:p>
    <w:p w14:paraId="419C96AF" w14:textId="77777777" w:rsidR="009D4261" w:rsidRPr="004D3097" w:rsidRDefault="009D4261" w:rsidP="008D6C3D">
      <w:pPr>
        <w:rPr>
          <w:rFonts w:asciiTheme="minorHAnsi" w:hAnsiTheme="minorHAnsi" w:cstheme="minorHAnsi"/>
        </w:rPr>
      </w:pPr>
      <w:r w:rsidRPr="004D3097">
        <w:rPr>
          <w:rFonts w:asciiTheme="minorHAnsi" w:hAnsiTheme="minorHAnsi" w:cstheme="minorHAnsi"/>
        </w:rPr>
        <w:t>Carer Payment provides income support to people who, because of the demands of their caring role, are unable to support themselves through substantial paid employment.</w:t>
      </w:r>
    </w:p>
    <w:p w14:paraId="2F4DA160" w14:textId="77777777" w:rsidR="009D4261" w:rsidRPr="00A25842" w:rsidRDefault="009D4261" w:rsidP="00523C23">
      <w:pPr>
        <w:pStyle w:val="Heading3Appendix"/>
      </w:pPr>
      <w:r w:rsidRPr="00A25842">
        <w:t>Disability Support Pension</w:t>
      </w:r>
    </w:p>
    <w:p w14:paraId="3E0E3068" w14:textId="307AA4DE" w:rsidR="00B04FCE" w:rsidRDefault="009D4261" w:rsidP="008D6C3D">
      <w:pPr>
        <w:rPr>
          <w:rFonts w:asciiTheme="minorHAnsi" w:hAnsiTheme="minorHAnsi" w:cstheme="minorHAnsi"/>
        </w:rPr>
      </w:pPr>
      <w:r w:rsidRPr="004D3097">
        <w:rPr>
          <w:rFonts w:asciiTheme="minorHAnsi" w:hAnsiTheme="minorHAnsi" w:cstheme="minorHAnsi"/>
        </w:rPr>
        <w:t xml:space="preserve">Disability Support Pension </w:t>
      </w:r>
      <w:r w:rsidR="00330CFF">
        <w:rPr>
          <w:rFonts w:asciiTheme="minorHAnsi" w:hAnsiTheme="minorHAnsi" w:cstheme="minorHAnsi"/>
        </w:rPr>
        <w:t xml:space="preserve">provides </w:t>
      </w:r>
      <w:r w:rsidRPr="004D3097">
        <w:rPr>
          <w:rFonts w:asciiTheme="minorHAnsi" w:hAnsiTheme="minorHAnsi" w:cstheme="minorHAnsi"/>
        </w:rPr>
        <w:t xml:space="preserve">support </w:t>
      </w:r>
      <w:r w:rsidR="00330CFF">
        <w:rPr>
          <w:rFonts w:asciiTheme="minorHAnsi" w:hAnsiTheme="minorHAnsi" w:cstheme="minorHAnsi"/>
        </w:rPr>
        <w:t xml:space="preserve">to people with </w:t>
      </w:r>
      <w:r w:rsidRPr="004D3097">
        <w:rPr>
          <w:rFonts w:asciiTheme="minorHAnsi" w:hAnsiTheme="minorHAnsi" w:cstheme="minorHAnsi"/>
        </w:rPr>
        <w:t>a permanent physical, intellectual or psychiatric impairment. The person must also be assessed as being unable to work (or be re</w:t>
      </w:r>
      <w:r w:rsidR="00B04FCE">
        <w:rPr>
          <w:rFonts w:asciiTheme="minorHAnsi" w:hAnsiTheme="minorHAnsi" w:cstheme="minorHAnsi"/>
        </w:rPr>
        <w:noBreakHyphen/>
      </w:r>
      <w:r w:rsidRPr="004D3097">
        <w:rPr>
          <w:rFonts w:asciiTheme="minorHAnsi" w:hAnsiTheme="minorHAnsi" w:cstheme="minorHAnsi"/>
        </w:rPr>
        <w:t>skilled to work) for 15 hours or more per week, for at least the next two</w:t>
      </w:r>
      <w:r w:rsidR="007855DD">
        <w:rPr>
          <w:rFonts w:asciiTheme="minorHAnsi" w:hAnsiTheme="minorHAnsi" w:cstheme="minorHAnsi"/>
        </w:rPr>
        <w:t> year</w:t>
      </w:r>
      <w:r w:rsidRPr="004D3097">
        <w:rPr>
          <w:rFonts w:asciiTheme="minorHAnsi" w:hAnsiTheme="minorHAnsi" w:cstheme="minorHAnsi"/>
        </w:rPr>
        <w:t xml:space="preserve">s, </w:t>
      </w:r>
      <w:r w:rsidR="00330CFF">
        <w:rPr>
          <w:rFonts w:asciiTheme="minorHAnsi" w:hAnsiTheme="minorHAnsi" w:cstheme="minorHAnsi"/>
        </w:rPr>
        <w:t>due to</w:t>
      </w:r>
      <w:r w:rsidRPr="004D3097">
        <w:rPr>
          <w:rFonts w:asciiTheme="minorHAnsi" w:hAnsiTheme="minorHAnsi" w:cstheme="minorHAnsi"/>
        </w:rPr>
        <w:t xml:space="preserve"> their impairment.</w:t>
      </w:r>
    </w:p>
    <w:p w14:paraId="4A3CDDD5" w14:textId="448A6BC1" w:rsidR="009D4261" w:rsidRPr="00A25842" w:rsidRDefault="005E332C" w:rsidP="00523C23">
      <w:pPr>
        <w:pStyle w:val="Heading3Appendix"/>
      </w:pPr>
      <w:r>
        <w:t>JobSeeker Payment</w:t>
      </w:r>
    </w:p>
    <w:p w14:paraId="5A6CC0ED" w14:textId="46FBD8E4" w:rsidR="00B04FCE" w:rsidRDefault="005E332C" w:rsidP="008D6C3D">
      <w:pPr>
        <w:rPr>
          <w:rFonts w:asciiTheme="minorHAnsi" w:hAnsiTheme="minorHAnsi" w:cstheme="minorHAnsi"/>
        </w:rPr>
      </w:pPr>
      <w:r>
        <w:rPr>
          <w:rFonts w:asciiTheme="minorHAnsi" w:hAnsiTheme="minorHAnsi" w:cstheme="minorHAnsi"/>
        </w:rPr>
        <w:t>JobSeeker Payment</w:t>
      </w:r>
      <w:r w:rsidR="009D4261" w:rsidRPr="004D3097">
        <w:rPr>
          <w:rFonts w:asciiTheme="minorHAnsi" w:hAnsiTheme="minorHAnsi" w:cstheme="minorHAnsi"/>
        </w:rPr>
        <w:t xml:space="preserve"> is the main income support payment for </w:t>
      </w:r>
      <w:r w:rsidR="002C29E6">
        <w:rPr>
          <w:rFonts w:asciiTheme="minorHAnsi" w:hAnsiTheme="minorHAnsi" w:cstheme="minorHAnsi"/>
        </w:rPr>
        <w:t>people</w:t>
      </w:r>
      <w:r w:rsidR="002C29E6" w:rsidRPr="004D3097">
        <w:rPr>
          <w:rFonts w:asciiTheme="minorHAnsi" w:hAnsiTheme="minorHAnsi" w:cstheme="minorHAnsi"/>
        </w:rPr>
        <w:t xml:space="preserve"> </w:t>
      </w:r>
      <w:r w:rsidR="009D4261" w:rsidRPr="004D3097">
        <w:rPr>
          <w:rFonts w:asciiTheme="minorHAnsi" w:hAnsiTheme="minorHAnsi" w:cstheme="minorHAnsi"/>
        </w:rPr>
        <w:t>aged between 22</w:t>
      </w:r>
      <w:r w:rsidR="007855DD">
        <w:rPr>
          <w:rFonts w:asciiTheme="minorHAnsi" w:hAnsiTheme="minorHAnsi" w:cstheme="minorHAnsi"/>
        </w:rPr>
        <w:t> year</w:t>
      </w:r>
      <w:r w:rsidR="009D4261" w:rsidRPr="004D3097">
        <w:rPr>
          <w:rFonts w:asciiTheme="minorHAnsi" w:hAnsiTheme="minorHAnsi" w:cstheme="minorHAnsi"/>
        </w:rPr>
        <w:t xml:space="preserve">s and </w:t>
      </w:r>
      <w:r w:rsidR="00330CFF">
        <w:rPr>
          <w:rFonts w:asciiTheme="minorHAnsi" w:hAnsiTheme="minorHAnsi" w:cstheme="minorHAnsi"/>
        </w:rPr>
        <w:t>retirement</w:t>
      </w:r>
      <w:r w:rsidR="00330CFF" w:rsidRPr="004D3097">
        <w:rPr>
          <w:rFonts w:asciiTheme="minorHAnsi" w:hAnsiTheme="minorHAnsi" w:cstheme="minorHAnsi"/>
        </w:rPr>
        <w:t xml:space="preserve"> </w:t>
      </w:r>
      <w:r w:rsidR="009D4261" w:rsidRPr="004D3097">
        <w:rPr>
          <w:rFonts w:asciiTheme="minorHAnsi" w:hAnsiTheme="minorHAnsi" w:cstheme="minorHAnsi"/>
        </w:rPr>
        <w:t xml:space="preserve">age (the minimum qualifying age for Age Pension), who have capacity to work now or in the near future. </w:t>
      </w:r>
      <w:r>
        <w:rPr>
          <w:rFonts w:asciiTheme="minorHAnsi" w:hAnsiTheme="minorHAnsi" w:cstheme="minorHAnsi"/>
        </w:rPr>
        <w:t>JobSeeker Payment</w:t>
      </w:r>
      <w:r w:rsidR="009D4261" w:rsidRPr="004D3097">
        <w:rPr>
          <w:rFonts w:asciiTheme="minorHAnsi" w:hAnsiTheme="minorHAnsi" w:cstheme="minorHAnsi"/>
        </w:rPr>
        <w:t xml:space="preserve"> is available to people who are looking for work, who temporarily cannot work or study </w:t>
      </w:r>
      <w:r w:rsidR="00330CFF">
        <w:rPr>
          <w:rFonts w:asciiTheme="minorHAnsi" w:hAnsiTheme="minorHAnsi" w:cstheme="minorHAnsi"/>
        </w:rPr>
        <w:t>due to</w:t>
      </w:r>
      <w:r w:rsidR="009D4261" w:rsidRPr="004D3097">
        <w:rPr>
          <w:rFonts w:asciiTheme="minorHAnsi" w:hAnsiTheme="minorHAnsi" w:cstheme="minorHAnsi"/>
        </w:rPr>
        <w:t xml:space="preserve"> an injury or illness, or bereaved partners in the period immediately following the death of their partner, subject to meeting eligibility requirements.</w:t>
      </w:r>
    </w:p>
    <w:p w14:paraId="3CE23C7F" w14:textId="4DCA069E" w:rsidR="009D4261" w:rsidRPr="00A25842" w:rsidRDefault="009D4261" w:rsidP="00523C23">
      <w:pPr>
        <w:pStyle w:val="Heading3Appendix"/>
      </w:pPr>
      <w:r w:rsidRPr="00A25842">
        <w:t>Parenting Payment</w:t>
      </w:r>
    </w:p>
    <w:p w14:paraId="34A4915F" w14:textId="7D46F35C" w:rsidR="00D6155D" w:rsidRDefault="009D4261" w:rsidP="008D6C3D">
      <w:pPr>
        <w:rPr>
          <w:rFonts w:asciiTheme="minorHAnsi" w:hAnsiTheme="minorHAnsi" w:cstheme="minorHAnsi"/>
        </w:rPr>
      </w:pPr>
      <w:r w:rsidRPr="004D3097">
        <w:rPr>
          <w:rFonts w:asciiTheme="minorHAnsi" w:hAnsiTheme="minorHAnsi" w:cstheme="minorHAnsi"/>
        </w:rPr>
        <w:t>Parenting Payment provides income support for parents or guardians to help with the cost of raising children. Parenting Payment Partnered is an income support payment for partnered parents with a youngest child under six</w:t>
      </w:r>
      <w:r w:rsidR="007855DD">
        <w:rPr>
          <w:rFonts w:asciiTheme="minorHAnsi" w:hAnsiTheme="minorHAnsi" w:cstheme="minorHAnsi"/>
        </w:rPr>
        <w:t> year</w:t>
      </w:r>
      <w:r w:rsidRPr="004D3097">
        <w:rPr>
          <w:rFonts w:asciiTheme="minorHAnsi" w:hAnsiTheme="minorHAnsi" w:cstheme="minorHAnsi"/>
        </w:rPr>
        <w:t>s of age. Parenting Payment Single is an income support payment for single parents with a child under fourteen</w:t>
      </w:r>
      <w:r w:rsidR="007855DD">
        <w:rPr>
          <w:rFonts w:asciiTheme="minorHAnsi" w:hAnsiTheme="minorHAnsi" w:cstheme="minorHAnsi"/>
        </w:rPr>
        <w:t> year</w:t>
      </w:r>
      <w:r w:rsidRPr="004D3097">
        <w:rPr>
          <w:rFonts w:asciiTheme="minorHAnsi" w:hAnsiTheme="minorHAnsi" w:cstheme="minorHAnsi"/>
        </w:rPr>
        <w:t>s of age</w:t>
      </w:r>
      <w:r w:rsidR="00330CFF">
        <w:rPr>
          <w:rFonts w:asciiTheme="minorHAnsi" w:hAnsiTheme="minorHAnsi" w:cstheme="minorHAnsi"/>
        </w:rPr>
        <w:t xml:space="preserve"> </w:t>
      </w:r>
      <w:r w:rsidR="00A67BA5">
        <w:rPr>
          <w:rFonts w:asciiTheme="minorHAnsi" w:hAnsiTheme="minorHAnsi" w:cstheme="minorHAnsi"/>
        </w:rPr>
        <w:t>(</w:t>
      </w:r>
      <w:r w:rsidR="00B157B5">
        <w:rPr>
          <w:rFonts w:asciiTheme="minorHAnsi" w:hAnsiTheme="minorHAnsi" w:cstheme="minorHAnsi"/>
        </w:rPr>
        <w:t xml:space="preserve">from </w:t>
      </w:r>
      <w:r w:rsidRPr="004D3097">
        <w:rPr>
          <w:rFonts w:asciiTheme="minorHAnsi" w:hAnsiTheme="minorHAnsi" w:cstheme="minorHAnsi"/>
        </w:rPr>
        <w:t>20</w:t>
      </w:r>
      <w:r w:rsidR="00D01768">
        <w:rPr>
          <w:rFonts w:asciiTheme="minorHAnsi" w:hAnsiTheme="minorHAnsi" w:cstheme="minorHAnsi"/>
        </w:rPr>
        <w:t> September </w:t>
      </w:r>
      <w:r w:rsidRPr="004D3097">
        <w:rPr>
          <w:rFonts w:asciiTheme="minorHAnsi" w:hAnsiTheme="minorHAnsi" w:cstheme="minorHAnsi"/>
        </w:rPr>
        <w:t>2023</w:t>
      </w:r>
      <w:r w:rsidR="00330CFF">
        <w:rPr>
          <w:rFonts w:asciiTheme="minorHAnsi" w:hAnsiTheme="minorHAnsi" w:cstheme="minorHAnsi"/>
        </w:rPr>
        <w:t>)</w:t>
      </w:r>
      <w:r w:rsidRPr="004D3097">
        <w:rPr>
          <w:rFonts w:asciiTheme="minorHAnsi" w:hAnsiTheme="minorHAnsi" w:cstheme="minorHAnsi"/>
        </w:rPr>
        <w:t>.</w:t>
      </w:r>
      <w:r w:rsidR="00B04FCE">
        <w:rPr>
          <w:rFonts w:asciiTheme="minorHAnsi" w:hAnsiTheme="minorHAnsi" w:cstheme="minorHAnsi"/>
        </w:rPr>
        <w:t xml:space="preserve"> </w:t>
      </w:r>
      <w:r w:rsidR="00330CFF">
        <w:rPr>
          <w:rFonts w:asciiTheme="minorHAnsi" w:hAnsiTheme="minorHAnsi" w:cstheme="minorHAnsi"/>
        </w:rPr>
        <w:t>This report</w:t>
      </w:r>
      <w:r w:rsidRPr="004D3097">
        <w:rPr>
          <w:rFonts w:asciiTheme="minorHAnsi" w:hAnsiTheme="minorHAnsi" w:cstheme="minorHAnsi"/>
        </w:rPr>
        <w:t xml:space="preserve"> </w:t>
      </w:r>
      <w:r w:rsidR="00B157B5">
        <w:rPr>
          <w:rFonts w:asciiTheme="minorHAnsi" w:hAnsiTheme="minorHAnsi" w:cstheme="minorHAnsi"/>
        </w:rPr>
        <w:t>uses</w:t>
      </w:r>
      <w:r w:rsidRPr="004D3097">
        <w:rPr>
          <w:rFonts w:asciiTheme="minorHAnsi" w:hAnsiTheme="minorHAnsi" w:cstheme="minorHAnsi"/>
        </w:rPr>
        <w:t xml:space="preserve"> policy settings at 30</w:t>
      </w:r>
      <w:r w:rsidR="00E46C6A">
        <w:rPr>
          <w:rFonts w:asciiTheme="minorHAnsi" w:hAnsiTheme="minorHAnsi" w:cstheme="minorHAnsi"/>
        </w:rPr>
        <w:t> June </w:t>
      </w:r>
      <w:r w:rsidRPr="004D3097">
        <w:rPr>
          <w:rFonts w:asciiTheme="minorHAnsi" w:hAnsiTheme="minorHAnsi" w:cstheme="minorHAnsi"/>
        </w:rPr>
        <w:t>2022</w:t>
      </w:r>
      <w:r w:rsidR="00B157B5">
        <w:rPr>
          <w:rFonts w:asciiTheme="minorHAnsi" w:hAnsiTheme="minorHAnsi" w:cstheme="minorHAnsi"/>
        </w:rPr>
        <w:t>, when Parenting Payment Single was available until the youngest child was aged 8</w:t>
      </w:r>
      <w:r w:rsidRPr="004D3097">
        <w:rPr>
          <w:rFonts w:asciiTheme="minorHAnsi" w:hAnsiTheme="minorHAnsi" w:cstheme="minorHAnsi"/>
        </w:rPr>
        <w:t>.</w:t>
      </w:r>
    </w:p>
    <w:p w14:paraId="5A435267" w14:textId="5CEDBE2C" w:rsidR="00302F08" w:rsidRDefault="00302F08" w:rsidP="00523C23">
      <w:pPr>
        <w:pStyle w:val="Heading3Appendix"/>
      </w:pPr>
      <w:r w:rsidRPr="004C06EF">
        <w:t>Special Benefit</w:t>
      </w:r>
    </w:p>
    <w:p w14:paraId="27A57EDE" w14:textId="0155255A" w:rsidR="00302F08" w:rsidRDefault="00302F08" w:rsidP="008D6C3D">
      <w:pPr>
        <w:rPr>
          <w:rFonts w:asciiTheme="minorHAnsi" w:hAnsiTheme="minorHAnsi" w:cstheme="minorHAnsi"/>
        </w:rPr>
      </w:pPr>
      <w:r w:rsidRPr="004C06EF">
        <w:rPr>
          <w:rFonts w:asciiTheme="minorHAnsi" w:hAnsiTheme="minorHAnsi" w:cstheme="minorHAnsi"/>
        </w:rPr>
        <w:t>Special Benefit is an income support payment for people who are in severe financial hardship due to circumstances beyond their control and who are ineligible for any other income support payment.</w:t>
      </w:r>
    </w:p>
    <w:p w14:paraId="1F249BA0" w14:textId="7349B627" w:rsidR="009D4261" w:rsidRPr="00A25842" w:rsidRDefault="009D4261" w:rsidP="00523C23">
      <w:pPr>
        <w:pStyle w:val="Heading3Appendix"/>
      </w:pPr>
      <w:r w:rsidRPr="00A25842">
        <w:t>Youth Allowance (</w:t>
      </w:r>
      <w:r w:rsidR="00B157B5">
        <w:t>O</w:t>
      </w:r>
      <w:r w:rsidRPr="00A25842">
        <w:t>ther)</w:t>
      </w:r>
    </w:p>
    <w:p w14:paraId="5D70C253" w14:textId="742B4020" w:rsidR="00B04FCE" w:rsidRDefault="009D4261" w:rsidP="008D6C3D">
      <w:pPr>
        <w:rPr>
          <w:rFonts w:asciiTheme="minorHAnsi" w:hAnsiTheme="minorHAnsi" w:cstheme="minorHAnsi"/>
        </w:rPr>
      </w:pPr>
      <w:r w:rsidRPr="004D3097">
        <w:rPr>
          <w:rFonts w:asciiTheme="minorHAnsi" w:hAnsiTheme="minorHAnsi" w:cstheme="minorHAnsi"/>
        </w:rPr>
        <w:t>Youth Allowance (</w:t>
      </w:r>
      <w:r w:rsidR="00B157B5">
        <w:rPr>
          <w:rFonts w:asciiTheme="minorHAnsi" w:hAnsiTheme="minorHAnsi" w:cstheme="minorHAnsi"/>
        </w:rPr>
        <w:t>O</w:t>
      </w:r>
      <w:r w:rsidRPr="004D3097">
        <w:rPr>
          <w:rFonts w:asciiTheme="minorHAnsi" w:hAnsiTheme="minorHAnsi" w:cstheme="minorHAnsi"/>
        </w:rPr>
        <w:t>ther) is the primary income support payment for young people aged 16‒21</w:t>
      </w:r>
      <w:r w:rsidR="007855DD">
        <w:rPr>
          <w:rFonts w:asciiTheme="minorHAnsi" w:hAnsiTheme="minorHAnsi" w:cstheme="minorHAnsi"/>
        </w:rPr>
        <w:t> year</w:t>
      </w:r>
      <w:r w:rsidRPr="004D3097">
        <w:rPr>
          <w:rFonts w:asciiTheme="minorHAnsi" w:hAnsiTheme="minorHAnsi" w:cstheme="minorHAnsi"/>
        </w:rPr>
        <w:t>s who are seeking or preparing for paid employment. Some 15</w:t>
      </w:r>
      <w:r w:rsidR="007855DD">
        <w:rPr>
          <w:rFonts w:asciiTheme="minorHAnsi" w:hAnsiTheme="minorHAnsi" w:cstheme="minorHAnsi"/>
        </w:rPr>
        <w:t> year</w:t>
      </w:r>
      <w:r w:rsidRPr="004D3097">
        <w:rPr>
          <w:rFonts w:asciiTheme="minorHAnsi" w:hAnsiTheme="minorHAnsi" w:cstheme="minorHAnsi"/>
        </w:rPr>
        <w:t xml:space="preserve"> olds may also receive assistance. To qualify for Youth Allowance (</w:t>
      </w:r>
      <w:r w:rsidR="00B157B5">
        <w:rPr>
          <w:rFonts w:asciiTheme="minorHAnsi" w:hAnsiTheme="minorHAnsi" w:cstheme="minorHAnsi"/>
        </w:rPr>
        <w:t>O</w:t>
      </w:r>
      <w:r w:rsidRPr="004D3097">
        <w:rPr>
          <w:rFonts w:asciiTheme="minorHAnsi" w:hAnsiTheme="minorHAnsi" w:cstheme="minorHAnsi"/>
        </w:rPr>
        <w:t>ther) a person must be unemployed, aged under 22, looking for work or combining part</w:t>
      </w:r>
      <w:r w:rsidRPr="004D3097">
        <w:rPr>
          <w:rFonts w:ascii="Cambria Math" w:hAnsi="Cambria Math" w:cs="Cambria Math"/>
        </w:rPr>
        <w:t>‐</w:t>
      </w:r>
      <w:r w:rsidRPr="004D3097">
        <w:rPr>
          <w:rFonts w:asciiTheme="minorHAnsi" w:hAnsiTheme="minorHAnsi" w:cstheme="minorHAnsi"/>
        </w:rPr>
        <w:t>time study with job search, or undertaking any other approved activity, or temporarily incapacitated for work or study.</w:t>
      </w:r>
    </w:p>
    <w:p w14:paraId="336869B7" w14:textId="782C7AD2" w:rsidR="00B04FCE" w:rsidRDefault="009D4261" w:rsidP="00523C23">
      <w:pPr>
        <w:pStyle w:val="Heading3Appendix"/>
      </w:pPr>
      <w:r w:rsidRPr="00A25842">
        <w:lastRenderedPageBreak/>
        <w:t>Youth Allowance (</w:t>
      </w:r>
      <w:r w:rsidR="00B157B5">
        <w:t>S</w:t>
      </w:r>
      <w:r w:rsidRPr="00A25842">
        <w:t>tudent</w:t>
      </w:r>
      <w:r w:rsidR="00D6155D">
        <w:t>)</w:t>
      </w:r>
    </w:p>
    <w:p w14:paraId="146EF876" w14:textId="77777777" w:rsidR="00B04FCE" w:rsidRDefault="009D4261" w:rsidP="00D00733">
      <w:pPr>
        <w:rPr>
          <w:rFonts w:asciiTheme="minorHAnsi" w:hAnsiTheme="minorHAnsi" w:cstheme="minorHAnsi"/>
        </w:rPr>
      </w:pPr>
      <w:r w:rsidRPr="004D3097">
        <w:rPr>
          <w:rFonts w:asciiTheme="minorHAnsi" w:hAnsiTheme="minorHAnsi" w:cstheme="minorHAnsi"/>
        </w:rPr>
        <w:t>Youth Allowance (</w:t>
      </w:r>
      <w:r w:rsidR="00B157B5">
        <w:rPr>
          <w:rFonts w:asciiTheme="minorHAnsi" w:hAnsiTheme="minorHAnsi" w:cstheme="minorHAnsi"/>
        </w:rPr>
        <w:t>S</w:t>
      </w:r>
      <w:r w:rsidRPr="004D3097">
        <w:rPr>
          <w:rFonts w:asciiTheme="minorHAnsi" w:hAnsiTheme="minorHAnsi" w:cstheme="minorHAnsi"/>
        </w:rPr>
        <w:t>tudent) is a payment for full</w:t>
      </w:r>
      <w:r w:rsidRPr="004D3097">
        <w:rPr>
          <w:rFonts w:ascii="Cambria Math" w:hAnsi="Cambria Math" w:cs="Cambria Math"/>
        </w:rPr>
        <w:t>‐</w:t>
      </w:r>
      <w:r w:rsidRPr="004D3097">
        <w:rPr>
          <w:rFonts w:asciiTheme="minorHAnsi" w:hAnsiTheme="minorHAnsi" w:cstheme="minorHAnsi"/>
        </w:rPr>
        <w:t>time students.</w:t>
      </w:r>
    </w:p>
    <w:p w14:paraId="5E09AB33" w14:textId="4B54EF59" w:rsidR="00D6155D" w:rsidRDefault="00D6155D" w:rsidP="00523C23">
      <w:pPr>
        <w:pStyle w:val="Heading3Appendix"/>
      </w:pPr>
      <w:r>
        <w:t>Youth allowance</w:t>
      </w:r>
      <w:r w:rsidRPr="00A25842">
        <w:t xml:space="preserve"> </w:t>
      </w:r>
      <w:r>
        <w:t>(</w:t>
      </w:r>
      <w:r w:rsidR="00B157B5">
        <w:t>A</w:t>
      </w:r>
      <w:r w:rsidRPr="00A25842">
        <w:t>pprentice)</w:t>
      </w:r>
    </w:p>
    <w:p w14:paraId="318DAD62" w14:textId="26F08EEC" w:rsidR="00A25842" w:rsidRPr="004D3097" w:rsidRDefault="009D4261" w:rsidP="00D00733">
      <w:pPr>
        <w:rPr>
          <w:rFonts w:asciiTheme="minorHAnsi" w:hAnsiTheme="minorHAnsi" w:cstheme="minorHAnsi"/>
        </w:rPr>
      </w:pPr>
      <w:r w:rsidRPr="004D3097">
        <w:rPr>
          <w:rFonts w:asciiTheme="minorHAnsi" w:hAnsiTheme="minorHAnsi" w:cstheme="minorHAnsi"/>
        </w:rPr>
        <w:t>Youth Allowance (</w:t>
      </w:r>
      <w:r w:rsidR="00B157B5">
        <w:rPr>
          <w:rFonts w:asciiTheme="minorHAnsi" w:hAnsiTheme="minorHAnsi" w:cstheme="minorHAnsi"/>
        </w:rPr>
        <w:t>A</w:t>
      </w:r>
      <w:r w:rsidRPr="004D3097">
        <w:rPr>
          <w:rFonts w:asciiTheme="minorHAnsi" w:hAnsiTheme="minorHAnsi" w:cstheme="minorHAnsi"/>
        </w:rPr>
        <w:t>pprentice) is a payment for Australian apprentices.</w:t>
      </w:r>
    </w:p>
    <w:p w14:paraId="23415F12" w14:textId="2AA8379C" w:rsidR="009D4261" w:rsidRPr="00B924CC" w:rsidRDefault="009D4261" w:rsidP="00523C23">
      <w:pPr>
        <w:pStyle w:val="Heading2Appendix"/>
      </w:pPr>
      <w:bookmarkStart w:id="143" w:name="_Toc153355588"/>
      <w:bookmarkStart w:id="144" w:name="_Toc155358654"/>
      <w:r w:rsidRPr="00A25842">
        <w:t>Supplementary payments</w:t>
      </w:r>
      <w:bookmarkEnd w:id="143"/>
      <w:bookmarkEnd w:id="144"/>
    </w:p>
    <w:p w14:paraId="1908634D" w14:textId="77777777" w:rsidR="00B04FCE" w:rsidRDefault="009D4261" w:rsidP="00523C23">
      <w:pPr>
        <w:pStyle w:val="Heading3Appendix"/>
      </w:pPr>
      <w:r w:rsidRPr="00A25842">
        <w:t>Carer Allowance</w:t>
      </w:r>
    </w:p>
    <w:p w14:paraId="0EC6A785" w14:textId="33DF4FE2" w:rsidR="009D4261" w:rsidRPr="004D3097" w:rsidRDefault="009D4261" w:rsidP="008D6C3D">
      <w:pPr>
        <w:rPr>
          <w:rFonts w:asciiTheme="minorHAnsi" w:hAnsiTheme="minorHAnsi" w:cstheme="minorHAnsi"/>
        </w:rPr>
      </w:pPr>
      <w:r w:rsidRPr="004D3097">
        <w:rPr>
          <w:rFonts w:asciiTheme="minorHAnsi" w:hAnsiTheme="minorHAnsi" w:cstheme="minorHAnsi"/>
        </w:rPr>
        <w:t>Carer Allowance is an income supplement available to people who provide daily care and attention in a private home to a person with disability or a severe medical condition.</w:t>
      </w:r>
    </w:p>
    <w:p w14:paraId="761556AE" w14:textId="77777777" w:rsidR="009D4261" w:rsidRPr="00A25842" w:rsidRDefault="009D4261" w:rsidP="00523C23">
      <w:pPr>
        <w:pStyle w:val="Heading3Appendix"/>
      </w:pPr>
      <w:r w:rsidRPr="00A25842">
        <w:t>Commonwealth Rent Assistance</w:t>
      </w:r>
    </w:p>
    <w:p w14:paraId="2BAB4859" w14:textId="0F2AE7E5" w:rsidR="009D4261" w:rsidRPr="004D3097" w:rsidRDefault="009D4261" w:rsidP="008D6C3D">
      <w:pPr>
        <w:rPr>
          <w:rFonts w:asciiTheme="minorHAnsi" w:hAnsiTheme="minorHAnsi" w:cstheme="minorHAnsi"/>
        </w:rPr>
      </w:pPr>
      <w:r w:rsidRPr="004D3097">
        <w:rPr>
          <w:rFonts w:asciiTheme="minorHAnsi" w:hAnsiTheme="minorHAnsi" w:cstheme="minorHAnsi"/>
        </w:rPr>
        <w:t>Rent Assistance is a non</w:t>
      </w:r>
      <w:r w:rsidR="00B04FCE">
        <w:rPr>
          <w:rFonts w:asciiTheme="minorHAnsi" w:hAnsiTheme="minorHAnsi" w:cstheme="minorHAnsi"/>
        </w:rPr>
        <w:noBreakHyphen/>
      </w:r>
      <w:r w:rsidRPr="004D3097">
        <w:rPr>
          <w:rFonts w:asciiTheme="minorHAnsi" w:hAnsiTheme="minorHAnsi" w:cstheme="minorHAnsi"/>
        </w:rPr>
        <w:t>taxable income supplement paid to eligible income support and Family Tax Benefit customers who rent in the private rental market or community housing.</w:t>
      </w:r>
    </w:p>
    <w:p w14:paraId="650350FA" w14:textId="1F6DB774" w:rsidR="009D4261" w:rsidRPr="00A25842" w:rsidRDefault="009D4261" w:rsidP="00523C23">
      <w:pPr>
        <w:pStyle w:val="Heading3Appendix"/>
      </w:pPr>
      <w:r w:rsidRPr="00A25842">
        <w:t>Family Tax Benefit</w:t>
      </w:r>
      <w:r w:rsidR="00333AB2">
        <w:t xml:space="preserve"> (FTB)</w:t>
      </w:r>
    </w:p>
    <w:p w14:paraId="43254040" w14:textId="2D6B63C9" w:rsidR="00B04FCE" w:rsidRDefault="00381432" w:rsidP="008D6C3D">
      <w:pPr>
        <w:rPr>
          <w:rFonts w:asciiTheme="minorHAnsi" w:hAnsiTheme="minorHAnsi" w:cstheme="minorHAnsi"/>
        </w:rPr>
      </w:pPr>
      <w:r>
        <w:rPr>
          <w:rFonts w:asciiTheme="minorHAnsi" w:hAnsiTheme="minorHAnsi" w:cstheme="minorHAnsi"/>
        </w:rPr>
        <w:t>FTB</w:t>
      </w:r>
      <w:r w:rsidR="009D4261" w:rsidRPr="004D3097">
        <w:rPr>
          <w:rFonts w:asciiTheme="minorHAnsi" w:hAnsiTheme="minorHAnsi" w:cstheme="minorHAnsi"/>
        </w:rPr>
        <w:t xml:space="preserve"> is the main family assistance payment for families with children, made up of </w:t>
      </w:r>
      <w:r>
        <w:rPr>
          <w:rFonts w:asciiTheme="minorHAnsi" w:hAnsiTheme="minorHAnsi" w:cstheme="minorHAnsi"/>
        </w:rPr>
        <w:t>FTB</w:t>
      </w:r>
      <w:r w:rsidR="00E064DE">
        <w:rPr>
          <w:rFonts w:asciiTheme="minorHAnsi" w:hAnsiTheme="minorHAnsi" w:cstheme="minorHAnsi"/>
        </w:rPr>
        <w:t xml:space="preserve"> </w:t>
      </w:r>
      <w:r w:rsidR="009D4261" w:rsidRPr="004D3097">
        <w:rPr>
          <w:rFonts w:asciiTheme="minorHAnsi" w:hAnsiTheme="minorHAnsi" w:cstheme="minorHAnsi"/>
        </w:rPr>
        <w:t xml:space="preserve">Part A and </w:t>
      </w:r>
      <w:r>
        <w:rPr>
          <w:rFonts w:asciiTheme="minorHAnsi" w:hAnsiTheme="minorHAnsi" w:cstheme="minorHAnsi"/>
        </w:rPr>
        <w:t>FTB</w:t>
      </w:r>
      <w:r w:rsidR="00E064DE" w:rsidRPr="004D3097">
        <w:rPr>
          <w:rFonts w:asciiTheme="minorHAnsi" w:hAnsiTheme="minorHAnsi" w:cstheme="minorHAnsi"/>
        </w:rPr>
        <w:t xml:space="preserve"> </w:t>
      </w:r>
      <w:r w:rsidR="009D4261" w:rsidRPr="004D3097">
        <w:rPr>
          <w:rFonts w:asciiTheme="minorHAnsi" w:hAnsiTheme="minorHAnsi" w:cstheme="minorHAnsi"/>
        </w:rPr>
        <w:t xml:space="preserve">Part B. </w:t>
      </w:r>
      <w:r>
        <w:rPr>
          <w:rFonts w:asciiTheme="minorHAnsi" w:hAnsiTheme="minorHAnsi" w:cstheme="minorHAnsi"/>
        </w:rPr>
        <w:t>FTB</w:t>
      </w:r>
      <w:r w:rsidR="009D4261" w:rsidRPr="004D3097">
        <w:rPr>
          <w:rFonts w:asciiTheme="minorHAnsi" w:hAnsiTheme="minorHAnsi" w:cstheme="minorHAnsi"/>
        </w:rPr>
        <w:t xml:space="preserve"> is available by fortnightly instalments or as a lump sum after the end of the financial year.</w:t>
      </w:r>
    </w:p>
    <w:p w14:paraId="3DC7A4AF" w14:textId="7E802142" w:rsidR="00B04FCE" w:rsidRDefault="00E205DD" w:rsidP="00523C23">
      <w:pPr>
        <w:pStyle w:val="Heading3Appendix"/>
      </w:pPr>
      <w:r>
        <w:t>Paid Parental Leave</w:t>
      </w:r>
    </w:p>
    <w:p w14:paraId="30A8FB5F" w14:textId="386A06C6" w:rsidR="00B04FCE" w:rsidRDefault="00E205DD" w:rsidP="008D6C3D">
      <w:pPr>
        <w:rPr>
          <w:rFonts w:asciiTheme="minorHAnsi" w:hAnsiTheme="minorHAnsi" w:cstheme="minorHAnsi"/>
        </w:rPr>
      </w:pPr>
      <w:r>
        <w:rPr>
          <w:rFonts w:asciiTheme="minorHAnsi" w:hAnsiTheme="minorHAnsi" w:cstheme="minorHAnsi"/>
        </w:rPr>
        <w:t xml:space="preserve">Paid </w:t>
      </w:r>
      <w:r w:rsidR="009D4261" w:rsidRPr="004D3097">
        <w:rPr>
          <w:rFonts w:asciiTheme="minorHAnsi" w:hAnsiTheme="minorHAnsi" w:cstheme="minorHAnsi"/>
        </w:rPr>
        <w:t>Parental Leave provides financial support to primary carers to allow them to take time off work, care for their child, enhance the health and development of mothers and children, and encourage women</w:t>
      </w:r>
      <w:r w:rsidR="00B04FCE">
        <w:rPr>
          <w:rFonts w:asciiTheme="minorHAnsi" w:hAnsiTheme="minorHAnsi" w:cstheme="minorHAnsi"/>
        </w:rPr>
        <w:t>’</w:t>
      </w:r>
      <w:r w:rsidR="009D4261" w:rsidRPr="004D3097">
        <w:rPr>
          <w:rFonts w:asciiTheme="minorHAnsi" w:hAnsiTheme="minorHAnsi" w:cstheme="minorHAnsi"/>
        </w:rPr>
        <w:t>s workforce participation.</w:t>
      </w:r>
    </w:p>
    <w:p w14:paraId="08C60A3C" w14:textId="4163E730" w:rsidR="00B04FCE" w:rsidRDefault="009D4261" w:rsidP="00523C23">
      <w:pPr>
        <w:pStyle w:val="Heading3Appendix"/>
      </w:pPr>
      <w:r w:rsidRPr="00A25842">
        <w:t>Dad and Partner Pay</w:t>
      </w:r>
    </w:p>
    <w:p w14:paraId="49C3CECC" w14:textId="2F05B38E" w:rsidR="009D4261" w:rsidRPr="004D3097" w:rsidRDefault="00F57E87" w:rsidP="008D6C3D">
      <w:pPr>
        <w:rPr>
          <w:rFonts w:asciiTheme="minorHAnsi" w:hAnsiTheme="minorHAnsi" w:cstheme="minorHAnsi"/>
        </w:rPr>
      </w:pPr>
      <w:r>
        <w:rPr>
          <w:rFonts w:asciiTheme="minorHAnsi" w:hAnsiTheme="minorHAnsi" w:cstheme="minorHAnsi"/>
        </w:rPr>
        <w:t>This payment</w:t>
      </w:r>
      <w:r w:rsidRPr="004D3097">
        <w:rPr>
          <w:rFonts w:asciiTheme="minorHAnsi" w:hAnsiTheme="minorHAnsi" w:cstheme="minorHAnsi"/>
        </w:rPr>
        <w:t xml:space="preserve"> </w:t>
      </w:r>
      <w:r w:rsidR="009D4261" w:rsidRPr="004D3097">
        <w:rPr>
          <w:rFonts w:asciiTheme="minorHAnsi" w:hAnsiTheme="minorHAnsi" w:cstheme="minorHAnsi"/>
        </w:rPr>
        <w:t>provide</w:t>
      </w:r>
      <w:r>
        <w:rPr>
          <w:rFonts w:asciiTheme="minorHAnsi" w:hAnsiTheme="minorHAnsi" w:cstheme="minorHAnsi"/>
        </w:rPr>
        <w:t>s</w:t>
      </w:r>
      <w:r w:rsidR="009D4261" w:rsidRPr="004D3097">
        <w:rPr>
          <w:rFonts w:asciiTheme="minorHAnsi" w:hAnsiTheme="minorHAnsi" w:cstheme="minorHAnsi"/>
        </w:rPr>
        <w:t xml:space="preserve"> financial support to fathers and partners to increase their time off work after a birth or adoption, create opportunities for bonding and allow them to take a greater share of caring</w:t>
      </w:r>
      <w:r>
        <w:rPr>
          <w:rFonts w:asciiTheme="minorHAnsi" w:hAnsiTheme="minorHAnsi" w:cstheme="minorHAnsi"/>
        </w:rPr>
        <w:t xml:space="preserve"> responsibilities</w:t>
      </w:r>
      <w:r w:rsidR="009D4261" w:rsidRPr="004D3097">
        <w:rPr>
          <w:rFonts w:asciiTheme="minorHAnsi" w:hAnsiTheme="minorHAnsi" w:cstheme="minorHAnsi"/>
        </w:rPr>
        <w:t>.</w:t>
      </w:r>
    </w:p>
    <w:p w14:paraId="77E13595" w14:textId="77777777" w:rsidR="009D4261" w:rsidRPr="00A25842" w:rsidRDefault="009D4261" w:rsidP="00523C23">
      <w:pPr>
        <w:pStyle w:val="Heading3Appendix"/>
      </w:pPr>
      <w:r w:rsidRPr="00A25842">
        <w:t>Child Care Subsidy</w:t>
      </w:r>
    </w:p>
    <w:p w14:paraId="15D18E4A" w14:textId="570C91DE" w:rsidR="004005B9" w:rsidRDefault="009D4261" w:rsidP="008D6C3D">
      <w:pPr>
        <w:rPr>
          <w:rFonts w:asciiTheme="minorHAnsi" w:hAnsiTheme="minorHAnsi" w:cstheme="minorHAnsi"/>
        </w:rPr>
      </w:pPr>
      <w:r w:rsidRPr="004D3097">
        <w:rPr>
          <w:rFonts w:asciiTheme="minorHAnsi" w:hAnsiTheme="minorHAnsi" w:cstheme="minorHAnsi"/>
        </w:rPr>
        <w:t xml:space="preserve">Child Care Subsidy aims to assist families with the cost of approved childcare to support their workforce participation, and to meet the early childhood education needs </w:t>
      </w:r>
      <w:r w:rsidR="00F57E87">
        <w:rPr>
          <w:rFonts w:asciiTheme="minorHAnsi" w:hAnsiTheme="minorHAnsi" w:cstheme="minorHAnsi"/>
        </w:rPr>
        <w:t>of</w:t>
      </w:r>
      <w:r w:rsidR="00F57E87" w:rsidRPr="004D3097">
        <w:rPr>
          <w:rFonts w:asciiTheme="minorHAnsi" w:hAnsiTheme="minorHAnsi" w:cstheme="minorHAnsi"/>
        </w:rPr>
        <w:t xml:space="preserve"> </w:t>
      </w:r>
      <w:r w:rsidRPr="004D3097">
        <w:rPr>
          <w:rFonts w:asciiTheme="minorHAnsi" w:hAnsiTheme="minorHAnsi" w:cstheme="minorHAnsi"/>
        </w:rPr>
        <w:t xml:space="preserve">children. The Department of Education is responsible for the legislation </w:t>
      </w:r>
      <w:r w:rsidR="00F57E87">
        <w:rPr>
          <w:rFonts w:asciiTheme="minorHAnsi" w:hAnsiTheme="minorHAnsi" w:cstheme="minorHAnsi"/>
        </w:rPr>
        <w:t>underpinning</w:t>
      </w:r>
      <w:r w:rsidRPr="004D3097">
        <w:rPr>
          <w:rFonts w:asciiTheme="minorHAnsi" w:hAnsiTheme="minorHAnsi" w:cstheme="minorHAnsi"/>
        </w:rPr>
        <w:t xml:space="preserve"> Child Care Subsidy.</w:t>
      </w:r>
    </w:p>
    <w:p w14:paraId="3F16AED3" w14:textId="513973AD" w:rsidR="002B7127" w:rsidRPr="00D52F35" w:rsidRDefault="001F26AB" w:rsidP="00FD6001">
      <w:pPr>
        <w:pStyle w:val="Heading1notnumbered"/>
        <w:spacing w:before="600"/>
      </w:pPr>
      <w:bookmarkStart w:id="145" w:name="_Toc155358655"/>
      <w:bookmarkStart w:id="146" w:name="_Toc160109483"/>
      <w:r>
        <w:t xml:space="preserve">Technical </w:t>
      </w:r>
      <w:r w:rsidR="00523C23">
        <w:t>n</w:t>
      </w:r>
      <w:r w:rsidR="002B7127">
        <w:t>ote</w:t>
      </w:r>
      <w:bookmarkEnd w:id="145"/>
      <w:bookmarkEnd w:id="146"/>
    </w:p>
    <w:p w14:paraId="603B8902" w14:textId="05D44914" w:rsidR="004005B9" w:rsidRDefault="001F26AB" w:rsidP="008D6C3D">
      <w:pPr>
        <w:rPr>
          <w:rFonts w:asciiTheme="minorHAnsi" w:hAnsiTheme="minorHAnsi" w:cstheme="minorHAnsi"/>
        </w:rPr>
      </w:pPr>
      <w:r>
        <w:rPr>
          <w:rFonts w:asciiTheme="minorHAnsi" w:hAnsiTheme="minorHAnsi" w:cstheme="minorHAnsi"/>
        </w:rPr>
        <w:t>N</w:t>
      </w:r>
      <w:r w:rsidR="002B7127">
        <w:rPr>
          <w:rFonts w:asciiTheme="minorHAnsi" w:hAnsiTheme="minorHAnsi" w:cstheme="minorHAnsi"/>
        </w:rPr>
        <w:t xml:space="preserve">umbers </w:t>
      </w:r>
      <w:r w:rsidR="003D79F8">
        <w:rPr>
          <w:rFonts w:asciiTheme="minorHAnsi" w:hAnsiTheme="minorHAnsi" w:cstheme="minorHAnsi"/>
        </w:rPr>
        <w:t xml:space="preserve">relating to payments </w:t>
      </w:r>
      <w:r w:rsidR="002B7127">
        <w:rPr>
          <w:rFonts w:asciiTheme="minorHAnsi" w:hAnsiTheme="minorHAnsi" w:cstheme="minorHAnsi"/>
        </w:rPr>
        <w:t xml:space="preserve">in the text may not </w:t>
      </w:r>
      <w:r w:rsidR="00D22B2E">
        <w:rPr>
          <w:rFonts w:asciiTheme="minorHAnsi" w:hAnsiTheme="minorHAnsi" w:cstheme="minorHAnsi"/>
        </w:rPr>
        <w:t xml:space="preserve">exactly </w:t>
      </w:r>
      <w:r w:rsidR="002B7127">
        <w:rPr>
          <w:rFonts w:asciiTheme="minorHAnsi" w:hAnsiTheme="minorHAnsi" w:cstheme="minorHAnsi"/>
        </w:rPr>
        <w:t xml:space="preserve">match the numbers </w:t>
      </w:r>
      <w:r w:rsidR="00D22B2E">
        <w:rPr>
          <w:rFonts w:asciiTheme="minorHAnsi" w:hAnsiTheme="minorHAnsi" w:cstheme="minorHAnsi"/>
        </w:rPr>
        <w:t>derived</w:t>
      </w:r>
      <w:r w:rsidR="002B7127">
        <w:rPr>
          <w:rFonts w:asciiTheme="minorHAnsi" w:hAnsiTheme="minorHAnsi" w:cstheme="minorHAnsi"/>
        </w:rPr>
        <w:t xml:space="preserve"> from the graph</w:t>
      </w:r>
      <w:r w:rsidR="00D22B2E">
        <w:rPr>
          <w:rFonts w:asciiTheme="minorHAnsi" w:hAnsiTheme="minorHAnsi" w:cstheme="minorHAnsi"/>
        </w:rPr>
        <w:t xml:space="preserve">s </w:t>
      </w:r>
      <w:r w:rsidR="002B7127">
        <w:rPr>
          <w:rFonts w:asciiTheme="minorHAnsi" w:hAnsiTheme="minorHAnsi" w:cstheme="minorHAnsi"/>
        </w:rPr>
        <w:t>due to rounding.</w:t>
      </w:r>
    </w:p>
    <w:p w14:paraId="2C6A2CC7" w14:textId="7715C870" w:rsidR="002E12D1" w:rsidRPr="00C53C90" w:rsidRDefault="002E12D1" w:rsidP="00C53C90">
      <w:pPr>
        <w:spacing w:before="0"/>
        <w:rPr>
          <w:rFonts w:asciiTheme="minorHAnsi" w:eastAsiaTheme="majorEastAsia" w:hAnsiTheme="minorHAnsi" w:cstheme="minorHAnsi"/>
          <w:color w:val="000000" w:themeColor="text1"/>
          <w:sz w:val="24"/>
          <w:szCs w:val="24"/>
        </w:rPr>
      </w:pPr>
      <w:r>
        <w:rPr>
          <w:rFonts w:eastAsiaTheme="majorEastAsia"/>
        </w:rPr>
        <w:t>Total</w:t>
      </w:r>
      <w:r w:rsidRPr="00C53C90">
        <w:rPr>
          <w:rFonts w:eastAsiaTheme="majorEastAsia"/>
        </w:rPr>
        <w:t xml:space="preserve"> numbers may not </w:t>
      </w:r>
      <w:r w:rsidR="00161678">
        <w:rPr>
          <w:rFonts w:eastAsiaTheme="majorEastAsia"/>
        </w:rPr>
        <w:t xml:space="preserve">exactly </w:t>
      </w:r>
      <w:r w:rsidRPr="00C53C90">
        <w:rPr>
          <w:rFonts w:eastAsiaTheme="majorEastAsia"/>
        </w:rPr>
        <w:t>match the sum of individual parts</w:t>
      </w:r>
      <w:r>
        <w:rPr>
          <w:rFonts w:eastAsiaTheme="majorEastAsia"/>
        </w:rPr>
        <w:t xml:space="preserve"> because </w:t>
      </w:r>
      <w:r w:rsidR="00263450">
        <w:rPr>
          <w:rFonts w:eastAsiaTheme="majorEastAsia"/>
        </w:rPr>
        <w:t>of rounding</w:t>
      </w:r>
      <w:r w:rsidRPr="00C53C90">
        <w:rPr>
          <w:rFonts w:eastAsiaTheme="majorEastAsia"/>
        </w:rPr>
        <w:t>.</w:t>
      </w:r>
    </w:p>
    <w:p w14:paraId="6A4EC4A6" w14:textId="77777777" w:rsidR="005D513F" w:rsidRPr="00CB5C12" w:rsidRDefault="005D513F" w:rsidP="005D513F">
      <w:pPr>
        <w:pStyle w:val="Quote"/>
        <w:ind w:left="0"/>
        <w:rPr>
          <w:rFonts w:eastAsiaTheme="minorEastAsia"/>
          <w:i w:val="0"/>
          <w:iCs w:val="0"/>
        </w:rPr>
      </w:pPr>
      <w:r w:rsidRPr="00CB5C12">
        <w:rPr>
          <w:rFonts w:eastAsiaTheme="minorEastAsia"/>
          <w:i w:val="0"/>
          <w:iCs w:val="0"/>
        </w:rPr>
        <w:t>The calculation for “times longer” is the total number of years receiving income support payments for a particular group divided by the total number of years receiving income support payments for a comparison group.</w:t>
      </w:r>
    </w:p>
    <w:p w14:paraId="5C2EB2E1" w14:textId="1EC5C3F9" w:rsidR="004005B9" w:rsidRPr="004D3097" w:rsidRDefault="005D513F" w:rsidP="008D6C3D">
      <w:pPr>
        <w:rPr>
          <w:rFonts w:asciiTheme="minorHAnsi" w:hAnsiTheme="minorHAnsi" w:cstheme="minorHAnsi"/>
        </w:rPr>
      </w:pPr>
      <w:r w:rsidRPr="00CB5C12">
        <w:rPr>
          <w:rStyle w:val="ui-provider"/>
        </w:rPr>
        <w:t>These figures are from the Priority Investment Approach 2022 actuarial model. They will not match official or published recipient data due to different data extraction rules and timing. For official figures please refer to the</w:t>
      </w:r>
      <w:r w:rsidR="00416BC2">
        <w:rPr>
          <w:rStyle w:val="ui-provider"/>
        </w:rPr>
        <w:t xml:space="preserve"> </w:t>
      </w:r>
      <w:hyperlink r:id="rId97" w:tgtFrame="_blank" w:tooltip="https://data.gov.au/data/dataset/dss-payment-demographic-data" w:history="1">
        <w:r w:rsidRPr="00416BC2">
          <w:rPr>
            <w:rStyle w:val="Hyperlink"/>
            <w:u w:val="none"/>
          </w:rPr>
          <w:t>DSS Benefit and Payment Recipients Demographics reports</w:t>
        </w:r>
      </w:hyperlink>
      <w:r w:rsidRPr="00CB5C12">
        <w:rPr>
          <w:rStyle w:val="ui-provider"/>
        </w:rPr>
        <w:t xml:space="preserve"> or</w:t>
      </w:r>
      <w:r w:rsidR="00416BC2">
        <w:rPr>
          <w:rStyle w:val="ui-provider"/>
        </w:rPr>
        <w:t xml:space="preserve"> </w:t>
      </w:r>
      <w:hyperlink r:id="rId98" w:tgtFrame="_blank" w:tooltip="https://data.gov.au/data/dataset/dss-income-support-recipients-monthly-time-series" w:history="1">
        <w:r w:rsidRPr="00416BC2">
          <w:rPr>
            <w:rStyle w:val="Hyperlink"/>
            <w:u w:val="none"/>
          </w:rPr>
          <w:t>DSS Income Support Recipients – Monthly Time Series</w:t>
        </w:r>
      </w:hyperlink>
      <w:r w:rsidRPr="00CB5C12">
        <w:rPr>
          <w:rStyle w:val="ui-provider"/>
        </w:rPr>
        <w:t xml:space="preserve"> published on</w:t>
      </w:r>
      <w:r w:rsidR="00416BC2">
        <w:rPr>
          <w:rStyle w:val="ui-provider"/>
        </w:rPr>
        <w:t xml:space="preserve"> </w:t>
      </w:r>
      <w:hyperlink r:id="rId99" w:tgtFrame="_blank" w:tooltip="https://data.gov.au/data/dataset/cff2ae8a-55e4-47db-a66d-e177fe0ac6a0/resource/1188c950-542a-4ca6-9e3e-9f91f53d9314/download/dss-demographics-june-2022-final.xlsx" w:history="1">
        <w:r w:rsidRPr="00416BC2">
          <w:rPr>
            <w:rStyle w:val="Hyperlink"/>
            <w:u w:val="none"/>
          </w:rPr>
          <w:t>data.gov.au</w:t>
        </w:r>
      </w:hyperlink>
      <w:r w:rsidRPr="00CB5C12">
        <w:rPr>
          <w:rStyle w:val="ui-provider"/>
        </w:rPr>
        <w:t>.</w:t>
      </w:r>
    </w:p>
    <w:sectPr w:rsidR="004005B9" w:rsidRPr="004D3097" w:rsidSect="00B46214">
      <w:pgSz w:w="16838" w:h="11906" w:orient="landscape" w:code="9"/>
      <w:pgMar w:top="1418" w:right="1134" w:bottom="1418" w:left="1134" w:header="425" w:footer="68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4DB7D" w14:textId="77777777" w:rsidR="00B46214" w:rsidRDefault="00B46214" w:rsidP="00D16419">
      <w:pPr>
        <w:spacing w:after="0" w:line="240" w:lineRule="auto"/>
      </w:pPr>
      <w:r>
        <w:separator/>
      </w:r>
    </w:p>
  </w:endnote>
  <w:endnote w:type="continuationSeparator" w:id="0">
    <w:p w14:paraId="58D2174E" w14:textId="77777777" w:rsidR="00B46214" w:rsidRDefault="00B46214" w:rsidP="00D16419">
      <w:pPr>
        <w:spacing w:after="0" w:line="240" w:lineRule="auto"/>
      </w:pPr>
      <w:r>
        <w:continuationSeparator/>
      </w:r>
    </w:p>
  </w:endnote>
  <w:endnote w:type="continuationNotice" w:id="1">
    <w:p w14:paraId="17D9077D" w14:textId="77777777" w:rsidR="00B46214" w:rsidRDefault="00B462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Calibri"/>
    <w:panose1 w:val="00000000000000000000"/>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037548"/>
      <w:docPartObj>
        <w:docPartGallery w:val="Page Numbers (Bottom of Page)"/>
        <w:docPartUnique/>
      </w:docPartObj>
    </w:sdtPr>
    <w:sdtEndPr>
      <w:rPr>
        <w:rStyle w:val="PageNumber"/>
      </w:rPr>
    </w:sdtEndPr>
    <w:sdtContent>
      <w:p w14:paraId="1E9A876E" w14:textId="1D576874" w:rsidR="00BB5DB0" w:rsidRPr="001F3056" w:rsidRDefault="00BB5DB0" w:rsidP="00CD6F90">
        <w:pPr>
          <w:pStyle w:val="Footer"/>
          <w:rPr>
            <w:rStyle w:val="PageNumber"/>
          </w:rPr>
        </w:pPr>
        <w:r w:rsidRPr="001F3056">
          <w:rPr>
            <w:rStyle w:val="PageNumber"/>
          </w:rPr>
          <w:fldChar w:fldCharType="begin"/>
        </w:r>
        <w:r w:rsidRPr="001F3056">
          <w:rPr>
            <w:rStyle w:val="PageNumber"/>
          </w:rPr>
          <w:instrText xml:space="preserve"> PAGE   \* MERGEFORMAT </w:instrText>
        </w:r>
        <w:r w:rsidRPr="001F3056">
          <w:rPr>
            <w:rStyle w:val="PageNumber"/>
          </w:rPr>
          <w:fldChar w:fldCharType="separate"/>
        </w:r>
        <w:r w:rsidR="00DA7653">
          <w:rPr>
            <w:rStyle w:val="PageNumber"/>
          </w:rPr>
          <w:t>v</w:t>
        </w:r>
        <w:r w:rsidRPr="001F3056">
          <w:rPr>
            <w:rStyle w:val="PageNumber"/>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515916"/>
      <w:docPartObj>
        <w:docPartGallery w:val="Page Numbers (Bottom of Page)"/>
        <w:docPartUnique/>
      </w:docPartObj>
    </w:sdtPr>
    <w:sdtEndPr>
      <w:rPr>
        <w:rStyle w:val="PageNumber"/>
      </w:rPr>
    </w:sdtEndPr>
    <w:sdtContent>
      <w:p w14:paraId="5AF43964" w14:textId="79530EA6" w:rsidR="00BB5DB0" w:rsidRPr="001F3056" w:rsidRDefault="00BB5DB0" w:rsidP="00CD6F90">
        <w:pPr>
          <w:pStyle w:val="Footer"/>
          <w:rPr>
            <w:rStyle w:val="PageNumber"/>
          </w:rPr>
        </w:pPr>
        <w:r>
          <w:drawing>
            <wp:anchor distT="0" distB="0" distL="114300" distR="114300" simplePos="0" relativeHeight="251658245" behindDoc="1" locked="1" layoutInCell="1" allowOverlap="1" wp14:anchorId="664A99ED" wp14:editId="48A22713">
              <wp:simplePos x="0" y="0"/>
              <wp:positionH relativeFrom="margin">
                <wp:align>left</wp:align>
              </wp:positionH>
              <wp:positionV relativeFrom="page">
                <wp:posOffset>6932295</wp:posOffset>
              </wp:positionV>
              <wp:extent cx="8892000" cy="255600"/>
              <wp:effectExtent l="0" t="0" r="0" b="0"/>
              <wp:wrapNone/>
              <wp:docPr id="39" name="Picture 39" descr="This is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92000" cy="255600"/>
                      </a:xfrm>
                      <a:prstGeom prst="rect">
                        <a:avLst/>
                      </a:prstGeom>
                    </pic:spPr>
                  </pic:pic>
                </a:graphicData>
              </a:graphic>
              <wp14:sizeRelH relativeFrom="margin">
                <wp14:pctWidth>0</wp14:pctWidth>
              </wp14:sizeRelH>
              <wp14:sizeRelV relativeFrom="margin">
                <wp14:pctHeight>0</wp14:pctHeight>
              </wp14:sizeRelV>
            </wp:anchor>
          </w:drawing>
        </w:r>
        <w:r w:rsidRPr="001F3056">
          <w:rPr>
            <w:rStyle w:val="PageNumber"/>
          </w:rPr>
          <w:fldChar w:fldCharType="begin"/>
        </w:r>
        <w:r w:rsidRPr="001F3056">
          <w:rPr>
            <w:rStyle w:val="PageNumber"/>
          </w:rPr>
          <w:instrText xml:space="preserve"> PAGE   \* MERGEFORMAT </w:instrText>
        </w:r>
        <w:r w:rsidRPr="001F3056">
          <w:rPr>
            <w:rStyle w:val="PageNumber"/>
          </w:rPr>
          <w:fldChar w:fldCharType="separate"/>
        </w:r>
        <w:r w:rsidR="00DA7653">
          <w:rPr>
            <w:rStyle w:val="PageNumber"/>
          </w:rPr>
          <w:t>33</w:t>
        </w:r>
        <w:r w:rsidRPr="001F3056">
          <w:rPr>
            <w:rStyle w:val="PageNumber"/>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397798"/>
      <w:docPartObj>
        <w:docPartGallery w:val="Page Numbers (Bottom of Page)"/>
        <w:docPartUnique/>
      </w:docPartObj>
    </w:sdtPr>
    <w:sdtEndPr>
      <w:rPr>
        <w:rStyle w:val="PageNumber"/>
      </w:rPr>
    </w:sdtEndPr>
    <w:sdtContent>
      <w:p w14:paraId="277604D9" w14:textId="03398D68" w:rsidR="00BB5DB0" w:rsidRPr="001F3056" w:rsidRDefault="00BB5DB0" w:rsidP="00CD6F90">
        <w:pPr>
          <w:pStyle w:val="Footer"/>
          <w:rPr>
            <w:rStyle w:val="PageNumber"/>
          </w:rPr>
        </w:pPr>
        <w:r>
          <w:drawing>
            <wp:anchor distT="0" distB="0" distL="114300" distR="114300" simplePos="0" relativeHeight="251658246" behindDoc="1" locked="1" layoutInCell="1" allowOverlap="1" wp14:anchorId="75A4CEEC" wp14:editId="00922D42">
              <wp:simplePos x="0" y="0"/>
              <wp:positionH relativeFrom="margin">
                <wp:align>left</wp:align>
              </wp:positionH>
              <wp:positionV relativeFrom="page">
                <wp:posOffset>6932295</wp:posOffset>
              </wp:positionV>
              <wp:extent cx="8892000" cy="252000"/>
              <wp:effectExtent l="0" t="0" r="0" b="0"/>
              <wp:wrapNone/>
              <wp:docPr id="40" name="Picture 40" descr="This is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92000" cy="252000"/>
                      </a:xfrm>
                      <a:prstGeom prst="rect">
                        <a:avLst/>
                      </a:prstGeom>
                    </pic:spPr>
                  </pic:pic>
                </a:graphicData>
              </a:graphic>
              <wp14:sizeRelH relativeFrom="margin">
                <wp14:pctWidth>0</wp14:pctWidth>
              </wp14:sizeRelH>
              <wp14:sizeRelV relativeFrom="margin">
                <wp14:pctHeight>0</wp14:pctHeight>
              </wp14:sizeRelV>
            </wp:anchor>
          </w:drawing>
        </w:r>
        <w:r w:rsidRPr="001F3056">
          <w:rPr>
            <w:rStyle w:val="PageNumber"/>
          </w:rPr>
          <w:fldChar w:fldCharType="begin"/>
        </w:r>
        <w:r w:rsidRPr="001F3056">
          <w:rPr>
            <w:rStyle w:val="PageNumber"/>
          </w:rPr>
          <w:instrText xml:space="preserve"> PAGE   \* MERGEFORMAT </w:instrText>
        </w:r>
        <w:r w:rsidRPr="001F3056">
          <w:rPr>
            <w:rStyle w:val="PageNumber"/>
          </w:rPr>
          <w:fldChar w:fldCharType="separate"/>
        </w:r>
        <w:r w:rsidR="00DA7653">
          <w:rPr>
            <w:rStyle w:val="PageNumber"/>
          </w:rPr>
          <w:t>36</w:t>
        </w:r>
        <w:r w:rsidRPr="001F3056">
          <w:rPr>
            <w:rStyle w:val="PageNumber"/>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081359"/>
      <w:docPartObj>
        <w:docPartGallery w:val="Page Numbers (Bottom of Page)"/>
        <w:docPartUnique/>
      </w:docPartObj>
    </w:sdtPr>
    <w:sdtEndPr/>
    <w:sdtContent>
      <w:p w14:paraId="47D91BB5" w14:textId="70C89FC1" w:rsidR="00BB5DB0" w:rsidRDefault="003B135C" w:rsidP="00CD6F90">
        <w:pPr>
          <w:pStyle w:val="Footer"/>
        </w:pPr>
        <w:r>
          <w:fldChar w:fldCharType="begin"/>
        </w:r>
        <w:r>
          <w:instrText xml:space="preserve"> STYLEREF  "Heading 1 not numbered"  \* MERGEFORMAT </w:instrText>
        </w:r>
        <w:r>
          <w:fldChar w:fldCharType="separate"/>
        </w:r>
        <w:r w:rsidR="00B15F30">
          <w:t>Reflections and looking ahead</w:t>
        </w:r>
        <w:r>
          <w:fldChar w:fldCharType="end"/>
        </w:r>
        <w:r w:rsidR="00BB5DB0">
          <w:tab/>
        </w:r>
        <w:r w:rsidR="00BB5DB0" w:rsidRPr="00063721">
          <w:rPr>
            <w:rStyle w:val="PageNumber"/>
          </w:rPr>
          <w:fldChar w:fldCharType="begin"/>
        </w:r>
        <w:r w:rsidR="00BB5DB0" w:rsidRPr="00063721">
          <w:rPr>
            <w:rStyle w:val="PageNumber"/>
          </w:rPr>
          <w:instrText xml:space="preserve"> PAGE   \* MERGEFORMAT </w:instrText>
        </w:r>
        <w:r w:rsidR="00BB5DB0" w:rsidRPr="00063721">
          <w:rPr>
            <w:rStyle w:val="PageNumber"/>
          </w:rPr>
          <w:fldChar w:fldCharType="separate"/>
        </w:r>
        <w:r w:rsidR="00DA7653">
          <w:rPr>
            <w:rStyle w:val="PageNumber"/>
          </w:rPr>
          <w:t>41</w:t>
        </w:r>
        <w:r w:rsidR="00BB5DB0" w:rsidRPr="00063721">
          <w:rPr>
            <w:rStyle w:val="PageNumbe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411529"/>
      <w:docPartObj>
        <w:docPartGallery w:val="Page Numbers (Bottom of Page)"/>
        <w:docPartUnique/>
      </w:docPartObj>
    </w:sdtPr>
    <w:sdtEndPr/>
    <w:sdtContent>
      <w:p w14:paraId="70F5BF99" w14:textId="396C065D" w:rsidR="00BB5DB0" w:rsidRDefault="003B135C" w:rsidP="00CD6F90">
        <w:pPr>
          <w:pStyle w:val="Footer"/>
        </w:pPr>
        <w:r>
          <w:fldChar w:fldCharType="begin"/>
        </w:r>
        <w:r>
          <w:instrText xml:space="preserve"> STYLEREF  "Heading 1 not numbered"  \* MERGEFORMAT </w:instrText>
        </w:r>
        <w:r>
          <w:fldChar w:fldCharType="separate"/>
        </w:r>
        <w:r>
          <w:t>2022 Valuation of the Social Security System: Summary of findings</w:t>
        </w:r>
        <w:r>
          <w:fldChar w:fldCharType="end"/>
        </w:r>
        <w:r w:rsidR="00BB5DB0">
          <w:tab/>
        </w:r>
        <w:r w:rsidR="00BB5DB0" w:rsidRPr="001F3056">
          <w:rPr>
            <w:rStyle w:val="PageNumber"/>
          </w:rPr>
          <w:fldChar w:fldCharType="begin"/>
        </w:r>
        <w:r w:rsidR="00BB5DB0" w:rsidRPr="001F3056">
          <w:rPr>
            <w:rStyle w:val="PageNumber"/>
          </w:rPr>
          <w:instrText xml:space="preserve"> PAGE   \* MERGEFORMAT </w:instrText>
        </w:r>
        <w:r w:rsidR="00BB5DB0" w:rsidRPr="001F3056">
          <w:rPr>
            <w:rStyle w:val="PageNumber"/>
          </w:rPr>
          <w:fldChar w:fldCharType="separate"/>
        </w:r>
        <w:r w:rsidR="00DA7653">
          <w:rPr>
            <w:rStyle w:val="PageNumber"/>
          </w:rPr>
          <w:t>6</w:t>
        </w:r>
        <w:r w:rsidR="00BB5DB0" w:rsidRPr="001F3056">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170040"/>
      <w:docPartObj>
        <w:docPartGallery w:val="Page Numbers (Bottom of Page)"/>
        <w:docPartUnique/>
      </w:docPartObj>
    </w:sdtPr>
    <w:sdtEndPr>
      <w:rPr>
        <w:rStyle w:val="PageNumber"/>
      </w:rPr>
    </w:sdtEndPr>
    <w:sdtContent>
      <w:p w14:paraId="7EAC98D5" w14:textId="7511AC8B" w:rsidR="00BB5DB0" w:rsidRPr="001F3056" w:rsidRDefault="00BB5DB0" w:rsidP="00CD6F90">
        <w:pPr>
          <w:pStyle w:val="Footer"/>
          <w:rPr>
            <w:rStyle w:val="PageNumber"/>
          </w:rPr>
        </w:pPr>
        <w:r>
          <w:drawing>
            <wp:anchor distT="0" distB="0" distL="114300" distR="114300" simplePos="0" relativeHeight="251658247" behindDoc="1" locked="1" layoutInCell="1" allowOverlap="1" wp14:anchorId="62D05583" wp14:editId="1A4A2B89">
              <wp:simplePos x="0" y="0"/>
              <wp:positionH relativeFrom="margin">
                <wp:align>left</wp:align>
              </wp:positionH>
              <wp:positionV relativeFrom="page">
                <wp:posOffset>6931025</wp:posOffset>
              </wp:positionV>
              <wp:extent cx="8892000" cy="244800"/>
              <wp:effectExtent l="0" t="0" r="0" b="3175"/>
              <wp:wrapNone/>
              <wp:docPr id="24" name="Picture 24" descr="This is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92000" cy="244800"/>
                      </a:xfrm>
                      <a:prstGeom prst="rect">
                        <a:avLst/>
                      </a:prstGeom>
                    </pic:spPr>
                  </pic:pic>
                </a:graphicData>
              </a:graphic>
              <wp14:sizeRelH relativeFrom="margin">
                <wp14:pctWidth>0</wp14:pctWidth>
              </wp14:sizeRelH>
              <wp14:sizeRelV relativeFrom="margin">
                <wp14:pctHeight>0</wp14:pctHeight>
              </wp14:sizeRelV>
            </wp:anchor>
          </w:drawing>
        </w:r>
        <w:r w:rsidRPr="001F3056">
          <w:rPr>
            <w:rStyle w:val="PageNumber"/>
          </w:rPr>
          <w:fldChar w:fldCharType="begin"/>
        </w:r>
        <w:r w:rsidRPr="001F3056">
          <w:rPr>
            <w:rStyle w:val="PageNumber"/>
          </w:rPr>
          <w:instrText xml:space="preserve"> PAGE   \* MERGEFORMAT </w:instrText>
        </w:r>
        <w:r w:rsidRPr="001F3056">
          <w:rPr>
            <w:rStyle w:val="PageNumber"/>
          </w:rPr>
          <w:fldChar w:fldCharType="separate"/>
        </w:r>
        <w:r w:rsidR="00DA7653">
          <w:rPr>
            <w:rStyle w:val="PageNumber"/>
          </w:rPr>
          <w:t>7</w:t>
        </w:r>
        <w:r w:rsidRPr="001F3056">
          <w:rPr>
            <w:rStyle w:val="PageNumber"/>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041798"/>
      <w:docPartObj>
        <w:docPartGallery w:val="Page Numbers (Bottom of Page)"/>
        <w:docPartUnique/>
      </w:docPartObj>
    </w:sdtPr>
    <w:sdtEndPr>
      <w:rPr>
        <w:rStyle w:val="PageNumber"/>
      </w:rPr>
    </w:sdtEndPr>
    <w:sdtContent>
      <w:p w14:paraId="300D376F" w14:textId="7F229596" w:rsidR="00BB5DB0" w:rsidRPr="001F3056" w:rsidRDefault="00BB5DB0" w:rsidP="00CD6F90">
        <w:pPr>
          <w:pStyle w:val="Footer"/>
          <w:rPr>
            <w:rStyle w:val="PageNumber"/>
          </w:rPr>
        </w:pPr>
        <w:r>
          <w:drawing>
            <wp:anchor distT="0" distB="0" distL="114300" distR="114300" simplePos="0" relativeHeight="251658241" behindDoc="1" locked="1" layoutInCell="1" allowOverlap="1" wp14:anchorId="2E251439" wp14:editId="5AF9692D">
              <wp:simplePos x="0" y="0"/>
              <wp:positionH relativeFrom="margin">
                <wp:align>left</wp:align>
              </wp:positionH>
              <wp:positionV relativeFrom="page">
                <wp:posOffset>6931025</wp:posOffset>
              </wp:positionV>
              <wp:extent cx="8892000" cy="244800"/>
              <wp:effectExtent l="0" t="0" r="0" b="3175"/>
              <wp:wrapNone/>
              <wp:docPr id="29" name="Picture 29" descr="This is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92000" cy="244800"/>
                      </a:xfrm>
                      <a:prstGeom prst="rect">
                        <a:avLst/>
                      </a:prstGeom>
                    </pic:spPr>
                  </pic:pic>
                </a:graphicData>
              </a:graphic>
              <wp14:sizeRelH relativeFrom="margin">
                <wp14:pctWidth>0</wp14:pctWidth>
              </wp14:sizeRelH>
              <wp14:sizeRelV relativeFrom="margin">
                <wp14:pctHeight>0</wp14:pctHeight>
              </wp14:sizeRelV>
            </wp:anchor>
          </w:drawing>
        </w:r>
        <w:r w:rsidRPr="001F3056">
          <w:rPr>
            <w:rStyle w:val="PageNumber"/>
          </w:rPr>
          <w:fldChar w:fldCharType="begin"/>
        </w:r>
        <w:r w:rsidRPr="001F3056">
          <w:rPr>
            <w:rStyle w:val="PageNumber"/>
          </w:rPr>
          <w:instrText xml:space="preserve"> PAGE   \* MERGEFORMAT </w:instrText>
        </w:r>
        <w:r w:rsidRPr="001F3056">
          <w:rPr>
            <w:rStyle w:val="PageNumber"/>
          </w:rPr>
          <w:fldChar w:fldCharType="separate"/>
        </w:r>
        <w:r w:rsidR="00DA7653">
          <w:rPr>
            <w:rStyle w:val="PageNumber"/>
          </w:rPr>
          <w:t>12</w:t>
        </w:r>
        <w:r w:rsidRPr="001F3056">
          <w:rPr>
            <w:rStyle w:val="PageNumber"/>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471792"/>
      <w:docPartObj>
        <w:docPartGallery w:val="Page Numbers (Bottom of Page)"/>
        <w:docPartUnique/>
      </w:docPartObj>
    </w:sdtPr>
    <w:sdtEndPr>
      <w:rPr>
        <w:rStyle w:val="PageNumber"/>
      </w:rPr>
    </w:sdtEndPr>
    <w:sdtContent>
      <w:p w14:paraId="78F76E34" w14:textId="055C47D1" w:rsidR="00BB5DB0" w:rsidRPr="001F3056" w:rsidRDefault="00BB5DB0" w:rsidP="00CD6F90">
        <w:pPr>
          <w:pStyle w:val="Footer"/>
          <w:rPr>
            <w:rStyle w:val="PageNumber"/>
          </w:rPr>
        </w:pPr>
        <w:r>
          <w:drawing>
            <wp:anchor distT="0" distB="0" distL="114300" distR="114300" simplePos="0" relativeHeight="251658248" behindDoc="1" locked="1" layoutInCell="1" allowOverlap="1" wp14:anchorId="3934B652" wp14:editId="0D155218">
              <wp:simplePos x="0" y="0"/>
              <wp:positionH relativeFrom="margin">
                <wp:align>left</wp:align>
              </wp:positionH>
              <wp:positionV relativeFrom="page">
                <wp:posOffset>6931025</wp:posOffset>
              </wp:positionV>
              <wp:extent cx="8892000" cy="244800"/>
              <wp:effectExtent l="0" t="0" r="0" b="3175"/>
              <wp:wrapNone/>
              <wp:docPr id="30" name="Picture 30" descr="This is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92000" cy="244800"/>
                      </a:xfrm>
                      <a:prstGeom prst="rect">
                        <a:avLst/>
                      </a:prstGeom>
                    </pic:spPr>
                  </pic:pic>
                </a:graphicData>
              </a:graphic>
              <wp14:sizeRelH relativeFrom="margin">
                <wp14:pctWidth>0</wp14:pctWidth>
              </wp14:sizeRelH>
              <wp14:sizeRelV relativeFrom="margin">
                <wp14:pctHeight>0</wp14:pctHeight>
              </wp14:sizeRelV>
            </wp:anchor>
          </w:drawing>
        </w:r>
        <w:r w:rsidRPr="001F3056">
          <w:rPr>
            <w:rStyle w:val="PageNumber"/>
          </w:rPr>
          <w:fldChar w:fldCharType="begin"/>
        </w:r>
        <w:r w:rsidRPr="001F3056">
          <w:rPr>
            <w:rStyle w:val="PageNumber"/>
          </w:rPr>
          <w:instrText xml:space="preserve"> PAGE   \* MERGEFORMAT </w:instrText>
        </w:r>
        <w:r w:rsidRPr="001F3056">
          <w:rPr>
            <w:rStyle w:val="PageNumber"/>
          </w:rPr>
          <w:fldChar w:fldCharType="separate"/>
        </w:r>
        <w:r w:rsidR="00DA7653">
          <w:rPr>
            <w:rStyle w:val="PageNumber"/>
          </w:rPr>
          <w:t>16</w:t>
        </w:r>
        <w:r w:rsidRPr="001F3056">
          <w:rPr>
            <w:rStyle w:val="PageNumber"/>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857130"/>
      <w:docPartObj>
        <w:docPartGallery w:val="Page Numbers (Bottom of Page)"/>
        <w:docPartUnique/>
      </w:docPartObj>
    </w:sdtPr>
    <w:sdtEndPr>
      <w:rPr>
        <w:rStyle w:val="PageNumber"/>
      </w:rPr>
    </w:sdtEndPr>
    <w:sdtContent>
      <w:p w14:paraId="1DDFE9D3" w14:textId="6A3E00CA" w:rsidR="00BB5DB0" w:rsidRPr="001F3056" w:rsidRDefault="00BB5DB0" w:rsidP="00CD6F90">
        <w:pPr>
          <w:pStyle w:val="Footer"/>
          <w:rPr>
            <w:rStyle w:val="PageNumber"/>
          </w:rPr>
        </w:pPr>
        <w:r>
          <w:drawing>
            <wp:anchor distT="0" distB="0" distL="114300" distR="114300" simplePos="0" relativeHeight="251658249" behindDoc="1" locked="1" layoutInCell="1" allowOverlap="1" wp14:anchorId="11131299" wp14:editId="6E1EB523">
              <wp:simplePos x="951230" y="6858000"/>
              <wp:positionH relativeFrom="margin">
                <wp:align>left</wp:align>
              </wp:positionH>
              <wp:positionV relativeFrom="page">
                <wp:posOffset>6931025</wp:posOffset>
              </wp:positionV>
              <wp:extent cx="8892000" cy="241200"/>
              <wp:effectExtent l="0" t="0" r="0" b="6985"/>
              <wp:wrapNone/>
              <wp:docPr id="31" name="Picture 31" descr="This is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92000" cy="241200"/>
                      </a:xfrm>
                      <a:prstGeom prst="rect">
                        <a:avLst/>
                      </a:prstGeom>
                    </pic:spPr>
                  </pic:pic>
                </a:graphicData>
              </a:graphic>
              <wp14:sizeRelH relativeFrom="margin">
                <wp14:pctWidth>0</wp14:pctWidth>
              </wp14:sizeRelH>
              <wp14:sizeRelV relativeFrom="margin">
                <wp14:pctHeight>0</wp14:pctHeight>
              </wp14:sizeRelV>
            </wp:anchor>
          </w:drawing>
        </w:r>
        <w:r w:rsidRPr="001F3056">
          <w:rPr>
            <w:rStyle w:val="PageNumber"/>
          </w:rPr>
          <w:fldChar w:fldCharType="begin"/>
        </w:r>
        <w:r w:rsidRPr="001F3056">
          <w:rPr>
            <w:rStyle w:val="PageNumber"/>
          </w:rPr>
          <w:instrText xml:space="preserve"> PAGE   \* MERGEFORMAT </w:instrText>
        </w:r>
        <w:r w:rsidRPr="001F3056">
          <w:rPr>
            <w:rStyle w:val="PageNumber"/>
          </w:rPr>
          <w:fldChar w:fldCharType="separate"/>
        </w:r>
        <w:r w:rsidR="00DA7653">
          <w:rPr>
            <w:rStyle w:val="PageNumber"/>
          </w:rPr>
          <w:t>19</w:t>
        </w:r>
        <w:r w:rsidRPr="001F3056">
          <w:rPr>
            <w:rStyle w:val="PageNumber"/>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024788"/>
      <w:docPartObj>
        <w:docPartGallery w:val="Page Numbers (Bottom of Page)"/>
        <w:docPartUnique/>
      </w:docPartObj>
    </w:sdtPr>
    <w:sdtEndPr>
      <w:rPr>
        <w:rStyle w:val="PageNumber"/>
      </w:rPr>
    </w:sdtEndPr>
    <w:sdtContent>
      <w:p w14:paraId="71E4CBC8" w14:textId="720603A3" w:rsidR="00BB5DB0" w:rsidRPr="001F3056" w:rsidRDefault="00BB5DB0" w:rsidP="00CD6F90">
        <w:pPr>
          <w:pStyle w:val="Footer"/>
          <w:rPr>
            <w:rStyle w:val="PageNumber"/>
          </w:rPr>
        </w:pPr>
        <w:r>
          <w:drawing>
            <wp:anchor distT="0" distB="0" distL="114300" distR="114300" simplePos="0" relativeHeight="251658242" behindDoc="1" locked="1" layoutInCell="1" allowOverlap="1" wp14:anchorId="716A98FC" wp14:editId="5929585E">
              <wp:simplePos x="0" y="0"/>
              <wp:positionH relativeFrom="margin">
                <wp:align>left</wp:align>
              </wp:positionH>
              <wp:positionV relativeFrom="page">
                <wp:posOffset>6932295</wp:posOffset>
              </wp:positionV>
              <wp:extent cx="8892000" cy="241200"/>
              <wp:effectExtent l="0" t="0" r="0" b="6985"/>
              <wp:wrapNone/>
              <wp:docPr id="101" name="Picture 101" descr="This is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92000" cy="241200"/>
                      </a:xfrm>
                      <a:prstGeom prst="rect">
                        <a:avLst/>
                      </a:prstGeom>
                    </pic:spPr>
                  </pic:pic>
                </a:graphicData>
              </a:graphic>
              <wp14:sizeRelH relativeFrom="margin">
                <wp14:pctWidth>0</wp14:pctWidth>
              </wp14:sizeRelH>
              <wp14:sizeRelV relativeFrom="margin">
                <wp14:pctHeight>0</wp14:pctHeight>
              </wp14:sizeRelV>
            </wp:anchor>
          </w:drawing>
        </w:r>
        <w:r w:rsidRPr="001F3056">
          <w:rPr>
            <w:rStyle w:val="PageNumber"/>
          </w:rPr>
          <w:fldChar w:fldCharType="begin"/>
        </w:r>
        <w:r w:rsidRPr="001F3056">
          <w:rPr>
            <w:rStyle w:val="PageNumber"/>
          </w:rPr>
          <w:instrText xml:space="preserve"> PAGE   \* MERGEFORMAT </w:instrText>
        </w:r>
        <w:r w:rsidRPr="001F3056">
          <w:rPr>
            <w:rStyle w:val="PageNumber"/>
          </w:rPr>
          <w:fldChar w:fldCharType="separate"/>
        </w:r>
        <w:r w:rsidR="00DA7653">
          <w:rPr>
            <w:rStyle w:val="PageNumber"/>
          </w:rPr>
          <w:t>22</w:t>
        </w:r>
        <w:r w:rsidRPr="001F3056">
          <w:rPr>
            <w:rStyle w:val="PageNumber"/>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850323"/>
      <w:docPartObj>
        <w:docPartGallery w:val="Page Numbers (Bottom of Page)"/>
        <w:docPartUnique/>
      </w:docPartObj>
    </w:sdtPr>
    <w:sdtEndPr>
      <w:rPr>
        <w:rStyle w:val="PageNumber"/>
      </w:rPr>
    </w:sdtEndPr>
    <w:sdtContent>
      <w:p w14:paraId="22CC8286" w14:textId="765AF1FC" w:rsidR="00BB5DB0" w:rsidRPr="001F3056" w:rsidRDefault="00BB5DB0" w:rsidP="00CD6F90">
        <w:pPr>
          <w:pStyle w:val="Footer"/>
          <w:rPr>
            <w:rStyle w:val="PageNumber"/>
          </w:rPr>
        </w:pPr>
        <w:r>
          <w:drawing>
            <wp:anchor distT="0" distB="0" distL="114300" distR="114300" simplePos="0" relativeHeight="251658243" behindDoc="1" locked="1" layoutInCell="1" allowOverlap="1" wp14:anchorId="1AB82680" wp14:editId="3304B603">
              <wp:simplePos x="0" y="0"/>
              <wp:positionH relativeFrom="margin">
                <wp:align>left</wp:align>
              </wp:positionH>
              <wp:positionV relativeFrom="page">
                <wp:posOffset>6932295</wp:posOffset>
              </wp:positionV>
              <wp:extent cx="8892000" cy="244800"/>
              <wp:effectExtent l="0" t="0" r="0" b="3175"/>
              <wp:wrapNone/>
              <wp:docPr id="36" name="Picture 36" descr="This is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92000" cy="244800"/>
                      </a:xfrm>
                      <a:prstGeom prst="rect">
                        <a:avLst/>
                      </a:prstGeom>
                    </pic:spPr>
                  </pic:pic>
                </a:graphicData>
              </a:graphic>
              <wp14:sizeRelH relativeFrom="margin">
                <wp14:pctWidth>0</wp14:pctWidth>
              </wp14:sizeRelH>
              <wp14:sizeRelV relativeFrom="margin">
                <wp14:pctHeight>0</wp14:pctHeight>
              </wp14:sizeRelV>
            </wp:anchor>
          </w:drawing>
        </w:r>
        <w:r w:rsidRPr="001F3056">
          <w:rPr>
            <w:rStyle w:val="PageNumber"/>
          </w:rPr>
          <w:fldChar w:fldCharType="begin"/>
        </w:r>
        <w:r w:rsidRPr="001F3056">
          <w:rPr>
            <w:rStyle w:val="PageNumber"/>
          </w:rPr>
          <w:instrText xml:space="preserve"> PAGE   \* MERGEFORMAT </w:instrText>
        </w:r>
        <w:r w:rsidRPr="001F3056">
          <w:rPr>
            <w:rStyle w:val="PageNumber"/>
          </w:rPr>
          <w:fldChar w:fldCharType="separate"/>
        </w:r>
        <w:r w:rsidR="00DA7653">
          <w:rPr>
            <w:rStyle w:val="PageNumber"/>
          </w:rPr>
          <w:t>25</w:t>
        </w:r>
        <w:r w:rsidRPr="001F3056">
          <w:rPr>
            <w:rStyle w:val="PageNumber"/>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1811137"/>
      <w:docPartObj>
        <w:docPartGallery w:val="Page Numbers (Bottom of Page)"/>
        <w:docPartUnique/>
      </w:docPartObj>
    </w:sdtPr>
    <w:sdtEndPr>
      <w:rPr>
        <w:rStyle w:val="PageNumber"/>
      </w:rPr>
    </w:sdtEndPr>
    <w:sdtContent>
      <w:p w14:paraId="33301184" w14:textId="4F82F1F7" w:rsidR="00BB5DB0" w:rsidRPr="001F3056" w:rsidRDefault="00BB5DB0" w:rsidP="00CD6F90">
        <w:pPr>
          <w:pStyle w:val="Footer"/>
          <w:rPr>
            <w:rStyle w:val="PageNumber"/>
          </w:rPr>
        </w:pPr>
        <w:r>
          <w:drawing>
            <wp:anchor distT="0" distB="0" distL="114300" distR="114300" simplePos="0" relativeHeight="251658244" behindDoc="1" locked="1" layoutInCell="1" allowOverlap="1" wp14:anchorId="561CB59D" wp14:editId="7AC12735">
              <wp:simplePos x="0" y="0"/>
              <wp:positionH relativeFrom="margin">
                <wp:align>left</wp:align>
              </wp:positionH>
              <wp:positionV relativeFrom="page">
                <wp:posOffset>6932295</wp:posOffset>
              </wp:positionV>
              <wp:extent cx="8892000" cy="252000"/>
              <wp:effectExtent l="0" t="0" r="0" b="0"/>
              <wp:wrapNone/>
              <wp:docPr id="2" name="Picture 2" descr="This is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92000" cy="252000"/>
                      </a:xfrm>
                      <a:prstGeom prst="rect">
                        <a:avLst/>
                      </a:prstGeom>
                    </pic:spPr>
                  </pic:pic>
                </a:graphicData>
              </a:graphic>
              <wp14:sizeRelH relativeFrom="margin">
                <wp14:pctWidth>0</wp14:pctWidth>
              </wp14:sizeRelH>
              <wp14:sizeRelV relativeFrom="margin">
                <wp14:pctHeight>0</wp14:pctHeight>
              </wp14:sizeRelV>
            </wp:anchor>
          </w:drawing>
        </w:r>
        <w:r w:rsidRPr="001F3056">
          <w:rPr>
            <w:rStyle w:val="PageNumber"/>
          </w:rPr>
          <w:fldChar w:fldCharType="begin"/>
        </w:r>
        <w:r w:rsidRPr="001F3056">
          <w:rPr>
            <w:rStyle w:val="PageNumber"/>
          </w:rPr>
          <w:instrText xml:space="preserve"> PAGE   \* MERGEFORMAT </w:instrText>
        </w:r>
        <w:r w:rsidRPr="001F3056">
          <w:rPr>
            <w:rStyle w:val="PageNumber"/>
          </w:rPr>
          <w:fldChar w:fldCharType="separate"/>
        </w:r>
        <w:r w:rsidR="00DA7653">
          <w:rPr>
            <w:rStyle w:val="PageNumber"/>
          </w:rPr>
          <w:t>29</w:t>
        </w:r>
        <w:r w:rsidRPr="001F3056">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A0398" w14:textId="77777777" w:rsidR="00B46214" w:rsidRDefault="00B46214" w:rsidP="00D16419">
      <w:pPr>
        <w:spacing w:after="0" w:line="240" w:lineRule="auto"/>
      </w:pPr>
      <w:r>
        <w:separator/>
      </w:r>
    </w:p>
  </w:footnote>
  <w:footnote w:type="continuationSeparator" w:id="0">
    <w:p w14:paraId="1C9B3D27" w14:textId="77777777" w:rsidR="00B46214" w:rsidRDefault="00B46214" w:rsidP="00D16419">
      <w:pPr>
        <w:spacing w:after="0" w:line="240" w:lineRule="auto"/>
      </w:pPr>
      <w:r>
        <w:continuationSeparator/>
      </w:r>
    </w:p>
  </w:footnote>
  <w:footnote w:type="continuationNotice" w:id="1">
    <w:p w14:paraId="4921D093" w14:textId="77777777" w:rsidR="00B46214" w:rsidRDefault="00B462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F050" w14:textId="763FDCE3" w:rsidR="00BB5DB0" w:rsidRDefault="00BB5DB0">
    <w:pPr>
      <w:pStyle w:val="Header"/>
    </w:pPr>
    <w:r>
      <w:rPr>
        <w:noProof/>
      </w:rPr>
      <w:drawing>
        <wp:anchor distT="0" distB="0" distL="114300" distR="114300" simplePos="0" relativeHeight="251658240" behindDoc="1" locked="1" layoutInCell="1" allowOverlap="1" wp14:anchorId="0B09EE20" wp14:editId="19C3415F">
          <wp:simplePos x="723900" y="600075"/>
          <wp:positionH relativeFrom="page">
            <wp:align>left</wp:align>
          </wp:positionH>
          <wp:positionV relativeFrom="page">
            <wp:align>top</wp:align>
          </wp:positionV>
          <wp:extent cx="10692000" cy="7560000"/>
          <wp:effectExtent l="0" t="0" r="0" b="3175"/>
          <wp:wrapNone/>
          <wp:docPr id="27" name="Picture 27" descr="This is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611F" w14:textId="77777777" w:rsidR="00BB5DB0" w:rsidRDefault="00BB5D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74351" w14:textId="6A03C205" w:rsidR="00BB5DB0" w:rsidRPr="001F3056" w:rsidRDefault="00BB5DB0" w:rsidP="00416BC2">
    <w:pPr>
      <w:pStyle w:val="Header"/>
    </w:pPr>
    <w:r w:rsidRPr="005B52A1">
      <w:rPr>
        <w:rStyle w:val="Strong"/>
      </w:rPr>
      <w:fldChar w:fldCharType="begin"/>
    </w:r>
    <w:r w:rsidRPr="005B52A1">
      <w:rPr>
        <w:rStyle w:val="Strong"/>
      </w:rPr>
      <w:instrText xml:space="preserve"> STYLEREF  "Heading Cover Page" </w:instrText>
    </w:r>
    <w:r w:rsidRPr="005B52A1">
      <w:rPr>
        <w:rStyle w:val="Strong"/>
      </w:rPr>
      <w:fldChar w:fldCharType="separate"/>
    </w:r>
    <w:r w:rsidR="003B135C">
      <w:rPr>
        <w:rStyle w:val="Strong"/>
        <w:noProof/>
      </w:rPr>
      <w:t>Australian Priority Investment Approach to Welfare</w:t>
    </w:r>
    <w:r w:rsidRPr="005B52A1">
      <w:rPr>
        <w:rStyle w:val="Strong"/>
      </w:rPr>
      <w:fldChar w:fldCharType="end"/>
    </w:r>
    <w:r>
      <w:rPr>
        <w:rStyle w:val="Strong"/>
      </w:rPr>
      <w:t xml:space="preserve"> | </w:t>
    </w:r>
    <w:r w:rsidRPr="001F3056">
      <w:rPr>
        <w:rStyle w:val="Strong"/>
        <w:b w:val="0"/>
        <w:bCs w:val="0"/>
      </w:rPr>
      <w:fldChar w:fldCharType="begin"/>
    </w:r>
    <w:r w:rsidRPr="001F3056">
      <w:rPr>
        <w:rStyle w:val="Strong"/>
        <w:b w:val="0"/>
        <w:bCs w:val="0"/>
      </w:rPr>
      <w:instrText xml:space="preserve"> STYLEREF  "Sub heading cover page" </w:instrText>
    </w:r>
    <w:r w:rsidRPr="001F3056">
      <w:rPr>
        <w:rStyle w:val="Strong"/>
        <w:b w:val="0"/>
        <w:bCs w:val="0"/>
      </w:rPr>
      <w:fldChar w:fldCharType="separate"/>
    </w:r>
    <w:r w:rsidR="003B135C">
      <w:rPr>
        <w:rStyle w:val="Strong"/>
        <w:b w:val="0"/>
        <w:bCs w:val="0"/>
        <w:noProof/>
      </w:rPr>
      <w:t>30 June 2022 Valuation Report</w:t>
    </w:r>
    <w:r w:rsidRPr="001F3056">
      <w:rPr>
        <w:rStyle w:val="Strong"/>
        <w:b w:val="0"/>
        <w:bCs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15E9"/>
    <w:multiLevelType w:val="multilevel"/>
    <w:tmpl w:val="0C70999A"/>
    <w:styleLink w:val="NormalWhiteBullet"/>
    <w:lvl w:ilvl="0">
      <w:start w:val="1"/>
      <w:numFmt w:val="bullet"/>
      <w:pStyle w:val="TableTextNormalWhiteBullet"/>
      <w:lvlText w:val=""/>
      <w:lvlJc w:val="left"/>
      <w:pPr>
        <w:ind w:left="284" w:hanging="284"/>
      </w:pPr>
      <w:rPr>
        <w:rFonts w:ascii="Symbol" w:hAnsi="Symbol"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112352"/>
    <w:multiLevelType w:val="multilevel"/>
    <w:tmpl w:val="A0E0581C"/>
    <w:styleLink w:val="Bullets"/>
    <w:lvl w:ilvl="0">
      <w:start w:val="1"/>
      <w:numFmt w:val="bullet"/>
      <w:lvlText w:val=""/>
      <w:lvlJc w:val="left"/>
      <w:pPr>
        <w:tabs>
          <w:tab w:val="num" w:pos="284"/>
        </w:tabs>
        <w:ind w:left="284" w:hanging="284"/>
      </w:pPr>
      <w:rPr>
        <w:rFonts w:ascii="Symbol" w:hAnsi="Symbol" w:hint="default"/>
        <w:color w:val="404040" w:themeColor="text1" w:themeTint="BF"/>
      </w:rPr>
    </w:lvl>
    <w:lvl w:ilvl="1">
      <w:start w:val="1"/>
      <w:numFmt w:val="bullet"/>
      <w:lvlText w:val="–"/>
      <w:lvlJc w:val="left"/>
      <w:pPr>
        <w:tabs>
          <w:tab w:val="num" w:pos="567"/>
        </w:tabs>
        <w:ind w:left="568" w:hanging="284"/>
      </w:pPr>
      <w:rPr>
        <w:rFonts w:ascii="Arial" w:hAnsi="Arial" w:cs="Times New Roman" w:hint="default"/>
        <w:color w:val="404040" w:themeColor="text1" w:themeTint="BF"/>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lvl>
    <w:lvl w:ilvl="5">
      <w:start w:val="1"/>
      <w:numFmt w:val="lowerRoman"/>
      <w:lvlText w:val="(%6)"/>
      <w:lvlJc w:val="left"/>
      <w:pPr>
        <w:tabs>
          <w:tab w:val="num" w:pos="1701"/>
        </w:tabs>
        <w:ind w:left="1701" w:hanging="281"/>
      </w:pPr>
    </w:lvl>
    <w:lvl w:ilvl="6">
      <w:start w:val="1"/>
      <w:numFmt w:val="decimal"/>
      <w:lvlText w:val="%7."/>
      <w:lvlJc w:val="left"/>
      <w:pPr>
        <w:tabs>
          <w:tab w:val="num" w:pos="1985"/>
        </w:tabs>
        <w:ind w:left="1985" w:hanging="284"/>
      </w:pPr>
    </w:lvl>
    <w:lvl w:ilvl="7">
      <w:start w:val="1"/>
      <w:numFmt w:val="lowerLetter"/>
      <w:lvlText w:val="%8."/>
      <w:lvlJc w:val="left"/>
      <w:pPr>
        <w:tabs>
          <w:tab w:val="num" w:pos="2268"/>
        </w:tabs>
        <w:ind w:left="2268" w:hanging="283"/>
      </w:pPr>
    </w:lvl>
    <w:lvl w:ilvl="8">
      <w:start w:val="1"/>
      <w:numFmt w:val="lowerRoman"/>
      <w:lvlText w:val="%9."/>
      <w:lvlJc w:val="left"/>
      <w:pPr>
        <w:tabs>
          <w:tab w:val="num" w:pos="2552"/>
        </w:tabs>
        <w:ind w:left="2552" w:hanging="284"/>
      </w:pPr>
    </w:lvl>
  </w:abstractNum>
  <w:abstractNum w:abstractNumId="2" w15:restartNumberingAfterBreak="0">
    <w:nsid w:val="12BA1656"/>
    <w:multiLevelType w:val="hybridMultilevel"/>
    <w:tmpl w:val="933CE378"/>
    <w:name w:val="StandardNumberedList222"/>
    <w:lvl w:ilvl="0" w:tplc="13BA2C4E">
      <w:start w:val="1"/>
      <w:numFmt w:val="decimal"/>
      <w:pStyle w:val="OutlineNumbered45"/>
      <w:lvlText w:val="4.5.%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8B0CE6"/>
    <w:multiLevelType w:val="multilevel"/>
    <w:tmpl w:val="FB4E7FFE"/>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9C960FD"/>
    <w:multiLevelType w:val="multilevel"/>
    <w:tmpl w:val="4D9CCDFA"/>
    <w:name w:val="OneLevelNumberedParagraphList"/>
    <w:lvl w:ilvl="0">
      <w:start w:val="1"/>
      <w:numFmt w:val="decimal"/>
      <w:lvlRestart w:val="0"/>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5" w15:restartNumberingAfterBreak="0">
    <w:nsid w:val="1C5E7D8E"/>
    <w:multiLevelType w:val="multilevel"/>
    <w:tmpl w:val="8084DF2A"/>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F0362CA"/>
    <w:multiLevelType w:val="hybridMultilevel"/>
    <w:tmpl w:val="47B686B0"/>
    <w:lvl w:ilvl="0" w:tplc="D6261A5A">
      <w:start w:val="1"/>
      <w:numFmt w:val="decimal"/>
      <w:pStyle w:val="OutlineNumbered46"/>
      <w:lvlText w:val="4.6.%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DD0F5A"/>
    <w:multiLevelType w:val="singleLevel"/>
    <w:tmpl w:val="6F14EA2A"/>
    <w:name w:val="StandardNumberedParagraphList"/>
    <w:lvl w:ilvl="0">
      <w:start w:val="2"/>
      <w:numFmt w:val="decimal"/>
      <w:lvlText w:val="%1"/>
      <w:lvlJc w:val="left"/>
      <w:pPr>
        <w:tabs>
          <w:tab w:val="num" w:pos="850"/>
        </w:tabs>
        <w:ind w:left="850" w:hanging="850"/>
      </w:pPr>
    </w:lvl>
  </w:abstractNum>
  <w:abstractNum w:abstractNumId="8" w15:restartNumberingAfterBreak="0">
    <w:nsid w:val="216D78AE"/>
    <w:multiLevelType w:val="hybridMultilevel"/>
    <w:tmpl w:val="067E5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B66DAE"/>
    <w:multiLevelType w:val="hybridMultilevel"/>
    <w:tmpl w:val="127EC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C201DF"/>
    <w:multiLevelType w:val="hybridMultilevel"/>
    <w:tmpl w:val="CE263AFC"/>
    <w:lvl w:ilvl="0" w:tplc="69A44884">
      <w:start w:val="1"/>
      <w:numFmt w:val="decimal"/>
      <w:pStyle w:val="OutlineNumbered373"/>
      <w:lvlText w:val="3.7.3.%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1" w15:restartNumberingAfterBreak="0">
    <w:nsid w:val="27440C8B"/>
    <w:multiLevelType w:val="multilevel"/>
    <w:tmpl w:val="D0222E32"/>
    <w:name w:val="StandardBulletedList_"/>
    <w:lvl w:ilvl="0">
      <w:start w:val="1"/>
      <w:numFmt w:val="bullet"/>
      <w:lvlRestart w:val="0"/>
      <w:pStyle w:val="Bullet"/>
      <w:lvlText w:val="•"/>
      <w:lvlJc w:val="left"/>
      <w:pPr>
        <w:tabs>
          <w:tab w:val="num" w:pos="992"/>
        </w:tabs>
        <w:ind w:left="992" w:hanging="283"/>
      </w:pPr>
      <w:rPr>
        <w:rFonts w:ascii="Times New Roman" w:hAnsi="Times New Roman" w:hint="default"/>
        <w:b w:val="0"/>
        <w:i w:val="0"/>
      </w:rPr>
    </w:lvl>
    <w:lvl w:ilvl="1">
      <w:start w:val="1"/>
      <w:numFmt w:val="bullet"/>
      <w:lvlText w:val="–"/>
      <w:lvlJc w:val="left"/>
      <w:pPr>
        <w:tabs>
          <w:tab w:val="num" w:pos="1276"/>
        </w:tabs>
        <w:ind w:left="1276" w:hanging="284"/>
      </w:pPr>
      <w:rPr>
        <w:rFonts w:ascii="Times New Roman" w:hAnsi="Times New Roman" w:cs="Times New Roman"/>
        <w:b w:val="0"/>
        <w:i w:val="0"/>
      </w:rPr>
    </w:lvl>
    <w:lvl w:ilvl="2">
      <w:start w:val="1"/>
      <w:numFmt w:val="bullet"/>
      <w:lvlText w:val=":"/>
      <w:lvlJc w:val="left"/>
      <w:pPr>
        <w:tabs>
          <w:tab w:val="num" w:pos="1559"/>
        </w:tabs>
        <w:ind w:left="1559"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274F46EA"/>
    <w:multiLevelType w:val="multilevel"/>
    <w:tmpl w:val="F0B286C2"/>
    <w:name w:val="StandardNumberedList"/>
    <w:lvl w:ilvl="0">
      <w:start w:val="1"/>
      <w:numFmt w:val="decimal"/>
      <w:lvlText w:val="%1."/>
      <w:lvlJc w:val="left"/>
      <w:pPr>
        <w:tabs>
          <w:tab w:val="num" w:pos="756"/>
        </w:tabs>
        <w:ind w:left="756" w:hanging="756"/>
      </w:pPr>
    </w:lvl>
    <w:lvl w:ilvl="1">
      <w:start w:val="1"/>
      <w:numFmt w:val="decimal"/>
      <w:lvlText w:val="%1.%2."/>
      <w:lvlJc w:val="left"/>
      <w:pPr>
        <w:tabs>
          <w:tab w:val="num" w:pos="1512"/>
        </w:tabs>
        <w:ind w:left="1512" w:hanging="756"/>
      </w:pPr>
    </w:lvl>
    <w:lvl w:ilvl="2">
      <w:start w:val="1"/>
      <w:numFmt w:val="decimal"/>
      <w:lvlText w:val="%1.%2.%3."/>
      <w:lvlJc w:val="left"/>
      <w:pPr>
        <w:tabs>
          <w:tab w:val="num" w:pos="2268"/>
        </w:tabs>
        <w:ind w:left="2268" w:hanging="756"/>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BBD1E40"/>
    <w:multiLevelType w:val="multilevel"/>
    <w:tmpl w:val="F2843F60"/>
    <w:name w:val="AppendixNumberedParagraphList"/>
    <w:lvl w:ilvl="0">
      <w:start w:val="1"/>
      <w:numFmt w:val="decimal"/>
      <w:lvlRestart w:val="0"/>
      <w:lvlText w:val=""/>
      <w:lvlJc w:val="left"/>
      <w:pPr>
        <w:tabs>
          <w:tab w:val="num" w:pos="0"/>
        </w:tabs>
        <w:ind w:left="0" w:firstLine="0"/>
      </w:pPr>
      <w:rPr>
        <w:b w:val="0"/>
        <w:i w:val="0"/>
        <w:color w:val="000000"/>
      </w:rPr>
    </w:lvl>
    <w:lvl w:ilvl="1">
      <w:start w:val="1"/>
      <w:numFmt w:val="decimal"/>
      <w:lvlText w:val="A.%1.%2"/>
      <w:lvlJc w:val="left"/>
      <w:pPr>
        <w:tabs>
          <w:tab w:val="num" w:pos="709"/>
        </w:tabs>
        <w:ind w:left="0" w:firstLine="0"/>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4" w15:restartNumberingAfterBreak="0">
    <w:nsid w:val="2D665DFA"/>
    <w:multiLevelType w:val="singleLevel"/>
    <w:tmpl w:val="66ECCB6A"/>
    <w:name w:val="OneLevelAlphaParagraphList"/>
    <w:lvl w:ilvl="0">
      <w:start w:val="1"/>
      <w:numFmt w:val="lowerLetter"/>
      <w:lvlRestart w:val="0"/>
      <w:lvlText w:val="(%1)"/>
      <w:lvlJc w:val="left"/>
      <w:pPr>
        <w:tabs>
          <w:tab w:val="num" w:pos="567"/>
        </w:tabs>
        <w:ind w:left="567" w:hanging="567"/>
      </w:pPr>
      <w:rPr>
        <w:rFonts w:ascii="Univers 55" w:hAnsi="Univers 55"/>
        <w:b w:val="0"/>
        <w:i w:val="0"/>
        <w:sz w:val="20"/>
      </w:rPr>
    </w:lvl>
  </w:abstractNum>
  <w:abstractNum w:abstractNumId="15" w15:restartNumberingAfterBreak="0">
    <w:nsid w:val="330D3051"/>
    <w:multiLevelType w:val="hybridMultilevel"/>
    <w:tmpl w:val="54A481BC"/>
    <w:lvl w:ilvl="0" w:tplc="99D05840">
      <w:start w:val="1"/>
      <w:numFmt w:val="upperRoman"/>
      <w:lvlText w:val="%1."/>
      <w:lvlJc w:val="right"/>
      <w:pPr>
        <w:ind w:left="360" w:hanging="360"/>
      </w:pPr>
      <w:rPr>
        <w:sz w:val="32"/>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354557A"/>
    <w:multiLevelType w:val="multilevel"/>
    <w:tmpl w:val="7B805900"/>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1C063C"/>
    <w:multiLevelType w:val="hybridMultilevel"/>
    <w:tmpl w:val="81CA99F8"/>
    <w:name w:val="StandardNumberedList2"/>
    <w:lvl w:ilvl="0" w:tplc="45A42832">
      <w:start w:val="1"/>
      <w:numFmt w:val="decimal"/>
      <w:pStyle w:val="OutlineNumbered43"/>
      <w:lvlText w:val="4.3.%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CB4923"/>
    <w:multiLevelType w:val="hybridMultilevel"/>
    <w:tmpl w:val="069277CC"/>
    <w:name w:val="StandardNumberedList22"/>
    <w:lvl w:ilvl="0" w:tplc="F38A94A8">
      <w:start w:val="1"/>
      <w:numFmt w:val="decimal"/>
      <w:pStyle w:val="OutlineNumbered44"/>
      <w:lvlText w:val="4.4.%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C20D28"/>
    <w:multiLevelType w:val="multilevel"/>
    <w:tmpl w:val="437C73E0"/>
    <w:lvl w:ilvl="0">
      <w:start w:val="9"/>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77E5F4D"/>
    <w:multiLevelType w:val="multilevel"/>
    <w:tmpl w:val="A3CEC064"/>
    <w:styleLink w:val="Numbers"/>
    <w:lvl w:ilvl="0">
      <w:start w:val="1"/>
      <w:numFmt w:val="decimal"/>
      <w:lvlRestart w:val="0"/>
      <w:lvlText w:val="%1."/>
      <w:lvlJc w:val="left"/>
      <w:pPr>
        <w:tabs>
          <w:tab w:val="num" w:pos="709"/>
        </w:tabs>
        <w:ind w:left="0" w:firstLine="0"/>
      </w:pPr>
      <w:rPr>
        <w:rFonts w:ascii="Arial" w:hAnsi="Arial" w:cs="Arial" w:hint="default"/>
        <w:b/>
        <w:i w:val="0"/>
      </w:rPr>
    </w:lvl>
    <w:lvl w:ilvl="1">
      <w:start w:val="1"/>
      <w:numFmt w:val="decimal"/>
      <w:lvlText w:val="%1.%2"/>
      <w:lvlJc w:val="left"/>
      <w:pPr>
        <w:tabs>
          <w:tab w:val="num" w:pos="709"/>
        </w:tabs>
        <w:ind w:left="0" w:firstLine="0"/>
      </w:pPr>
      <w:rPr>
        <w:rFonts w:ascii="Univers 55" w:hAnsi="Univers 55" w:hint="default"/>
        <w:b w:val="0"/>
        <w:i w:val="0"/>
      </w:rPr>
    </w:lvl>
    <w:lvl w:ilvl="2">
      <w:start w:val="1"/>
      <w:numFmt w:val="decimal"/>
      <w:lvlRestart w:val="1"/>
      <w:lvlText w:val="%1.%3"/>
      <w:lvlJc w:val="left"/>
      <w:pPr>
        <w:tabs>
          <w:tab w:val="num" w:pos="709"/>
        </w:tabs>
        <w:ind w:left="0" w:firstLine="0"/>
      </w:pPr>
      <w:rPr>
        <w:rFonts w:ascii="Arial" w:hAnsi="Arial" w:cs="Arial" w:hint="default"/>
        <w:b/>
        <w:i w:val="0"/>
      </w:rPr>
    </w:lvl>
    <w:lvl w:ilvl="3">
      <w:start w:val="1"/>
      <w:numFmt w:val="decimal"/>
      <w:lvlText w:val="%1.%2.%4"/>
      <w:lvlJc w:val="left"/>
      <w:pPr>
        <w:ind w:left="0" w:firstLine="0"/>
      </w:pPr>
      <w:rPr>
        <w:rFonts w:ascii="Univers 55" w:hAnsi="Univers 55"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1" w15:restartNumberingAfterBreak="0">
    <w:nsid w:val="4B6F2273"/>
    <w:multiLevelType w:val="multilevel"/>
    <w:tmpl w:val="4AD64C9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CE06931"/>
    <w:multiLevelType w:val="singleLevel"/>
    <w:tmpl w:val="47B08EB8"/>
    <w:name w:val="StandardNumberedList2222"/>
    <w:lvl w:ilvl="0">
      <w:start w:val="1"/>
      <w:numFmt w:val="lowerLetter"/>
      <w:lvlText w:val="(%1)"/>
      <w:lvlJc w:val="left"/>
      <w:pPr>
        <w:ind w:left="360" w:hanging="360"/>
      </w:pPr>
      <w:rPr>
        <w:rFonts w:hint="default"/>
        <w:b w:val="0"/>
        <w:i w:val="0"/>
        <w:sz w:val="16"/>
      </w:rPr>
    </w:lvl>
  </w:abstractNum>
  <w:abstractNum w:abstractNumId="23" w15:restartNumberingAfterBreak="0">
    <w:nsid w:val="504C3E6C"/>
    <w:multiLevelType w:val="multilevel"/>
    <w:tmpl w:val="9078E2FE"/>
    <w:lvl w:ilvl="0">
      <w:start w:val="1"/>
      <w:numFmt w:val="decimal"/>
      <w:suff w:val="nothing"/>
      <w:lvlText w:val="%1"/>
      <w:lvlJc w:val="left"/>
      <w:pPr>
        <w:ind w:left="0" w:firstLine="0"/>
      </w:pPr>
    </w:lvl>
    <w:lvl w:ilvl="1">
      <w:start w:val="1"/>
      <w:numFmt w:val="decimal"/>
      <w:pStyle w:val="Heading2ExecutiveSummary"/>
      <w:lvlText w:val="%2."/>
      <w:lvlJc w:val="left"/>
      <w:pPr>
        <w:tabs>
          <w:tab w:val="num" w:pos="851"/>
        </w:tabs>
        <w:ind w:left="851" w:hanging="851"/>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suff w:val="nothing"/>
      <w:lvlText w:val="Appendix %6"/>
      <w:lvlJc w:val="left"/>
      <w:pPr>
        <w:ind w:left="0" w:firstLine="0"/>
      </w:pPr>
    </w:lvl>
    <w:lvl w:ilvl="6">
      <w:start w:val="1"/>
      <w:numFmt w:val="decimal"/>
      <w:lvlText w:val="%7"/>
      <w:lvlJc w:val="left"/>
      <w:pPr>
        <w:tabs>
          <w:tab w:val="num" w:pos="567"/>
        </w:tabs>
        <w:ind w:left="567" w:hanging="567"/>
      </w:pPr>
      <w:rPr>
        <w:b/>
        <w:i/>
      </w:rPr>
    </w:lvl>
    <w:lvl w:ilvl="7">
      <w:start w:val="1"/>
      <w:numFmt w:val="decimal"/>
      <w:lvlText w:val="%8"/>
      <w:lvlJc w:val="left"/>
      <w:pPr>
        <w:tabs>
          <w:tab w:val="num" w:pos="567"/>
        </w:tabs>
        <w:ind w:left="567" w:hanging="567"/>
      </w:pPr>
      <w:rPr>
        <w:b w:val="0"/>
        <w:i w:val="0"/>
        <w:color w:val="auto"/>
      </w:rPr>
    </w:lvl>
    <w:lvl w:ilvl="8">
      <w:start w:val="1"/>
      <w:numFmt w:val="lowerLetter"/>
      <w:lvlText w:val="%9"/>
      <w:lvlJc w:val="left"/>
      <w:pPr>
        <w:tabs>
          <w:tab w:val="num" w:pos="1134"/>
        </w:tabs>
        <w:ind w:left="1134" w:hanging="567"/>
      </w:pPr>
      <w:rPr>
        <w:b w:val="0"/>
        <w:i w:val="0"/>
        <w:color w:val="auto"/>
      </w:rPr>
    </w:lvl>
  </w:abstractNum>
  <w:abstractNum w:abstractNumId="24" w15:restartNumberingAfterBreak="0">
    <w:nsid w:val="51295207"/>
    <w:multiLevelType w:val="multilevel"/>
    <w:tmpl w:val="EE76D17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OutlineNumbered1"/>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25" w15:restartNumberingAfterBreak="0">
    <w:nsid w:val="54F449D5"/>
    <w:multiLevelType w:val="hybridMultilevel"/>
    <w:tmpl w:val="21343252"/>
    <w:lvl w:ilvl="0" w:tplc="D9A8B0B2">
      <w:start w:val="1"/>
      <w:numFmt w:val="decimal"/>
      <w:pStyle w:val="OutlineNumbered372"/>
      <w:lvlText w:val="3.7.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101827"/>
    <w:multiLevelType w:val="multilevel"/>
    <w:tmpl w:val="072C6E52"/>
    <w:name w:val="BoxBulletedList"/>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7" w15:restartNumberingAfterBreak="0">
    <w:nsid w:val="5CF90BA2"/>
    <w:multiLevelType w:val="hybridMultilevel"/>
    <w:tmpl w:val="0B5C3A1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9" w15:restartNumberingAfterBreak="0">
    <w:nsid w:val="630F760C"/>
    <w:multiLevelType w:val="multilevel"/>
    <w:tmpl w:val="31C26B40"/>
    <w:lvl w:ilvl="0">
      <w:start w:val="5"/>
      <w:numFmt w:val="decimal"/>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0" w15:restartNumberingAfterBreak="0">
    <w:nsid w:val="6B1E25C3"/>
    <w:multiLevelType w:val="multilevel"/>
    <w:tmpl w:val="B142E2DC"/>
    <w:lvl w:ilvl="0">
      <w:start w:val="1"/>
      <w:numFmt w:val="decimal"/>
      <w:lvlText w:val="%1.2.1"/>
      <w:lvlJc w:val="left"/>
      <w:pPr>
        <w:ind w:left="502" w:hanging="360"/>
      </w:pPr>
      <w:rPr>
        <w:rFonts w:hint="default"/>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utlineNumbered2"/>
      <w:lvlText w:val="%1.%2."/>
      <w:lvlJc w:val="left"/>
      <w:pPr>
        <w:tabs>
          <w:tab w:val="num" w:pos="3875"/>
        </w:tabs>
        <w:ind w:left="3875" w:hanging="472"/>
      </w:pPr>
      <w:rPr>
        <w:rFonts w:hint="default"/>
        <w:i w:val="0"/>
      </w:rPr>
    </w:lvl>
    <w:lvl w:ilvl="2">
      <w:start w:val="1"/>
      <w:numFmt w:val="decimal"/>
      <w:pStyle w:val="OutlineNumbered3"/>
      <w:lvlText w:val="%1.%2.%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BEB684D"/>
    <w:multiLevelType w:val="multilevel"/>
    <w:tmpl w:val="755A8B90"/>
    <w:lvl w:ilvl="0">
      <w:start w:val="1"/>
      <w:numFmt w:val="decimal"/>
      <w:lvlText w:val="%1."/>
      <w:lvlJc w:val="left"/>
      <w:pPr>
        <w:tabs>
          <w:tab w:val="num" w:pos="472"/>
        </w:tabs>
        <w:ind w:left="472" w:hanging="472"/>
      </w:pPr>
      <w:rPr>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44"/>
        </w:tabs>
        <w:ind w:left="944" w:hanging="472"/>
      </w:pPr>
    </w:lvl>
    <w:lvl w:ilvl="2">
      <w:start w:val="1"/>
      <w:numFmt w:val="decimal"/>
      <w:pStyle w:val="OutlineNumbered37"/>
      <w:lvlText w:val="3.7.1.%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CA8342A"/>
    <w:multiLevelType w:val="hybridMultilevel"/>
    <w:tmpl w:val="BE4AA19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2548205">
    <w:abstractNumId w:val="8"/>
  </w:num>
  <w:num w:numId="2" w16cid:durableId="983195791">
    <w:abstractNumId w:val="21"/>
  </w:num>
  <w:num w:numId="3" w16cid:durableId="547956284">
    <w:abstractNumId w:val="16"/>
  </w:num>
  <w:num w:numId="4" w16cid:durableId="1193037878">
    <w:abstractNumId w:val="5"/>
  </w:num>
  <w:num w:numId="5" w16cid:durableId="1300570064">
    <w:abstractNumId w:val="29"/>
  </w:num>
  <w:num w:numId="6" w16cid:durableId="640624105">
    <w:abstractNumId w:val="3"/>
  </w:num>
  <w:num w:numId="7" w16cid:durableId="678578625">
    <w:abstractNumId w:val="19"/>
  </w:num>
  <w:num w:numId="8" w16cid:durableId="1048726281">
    <w:abstractNumId w:val="15"/>
  </w:num>
  <w:num w:numId="9" w16cid:durableId="1153908330">
    <w:abstractNumId w:val="9"/>
  </w:num>
  <w:num w:numId="10" w16cid:durableId="1712537238">
    <w:abstractNumId w:val="32"/>
  </w:num>
  <w:num w:numId="11" w16cid:durableId="1745105251">
    <w:abstractNumId w:val="27"/>
  </w:num>
  <w:num w:numId="12" w16cid:durableId="338505550">
    <w:abstractNumId w:val="11"/>
  </w:num>
  <w:num w:numId="13" w16cid:durableId="1451390219">
    <w:abstractNumId w:val="26"/>
  </w:num>
  <w:num w:numId="14" w16cid:durableId="435953340">
    <w:abstractNumId w:val="28"/>
  </w:num>
  <w:num w:numId="15" w16cid:durableId="953947009">
    <w:abstractNumId w:val="30"/>
  </w:num>
  <w:num w:numId="16" w16cid:durableId="1165392899">
    <w:abstractNumId w:val="20"/>
  </w:num>
  <w:num w:numId="17" w16cid:durableId="409818190">
    <w:abstractNumId w:val="31"/>
  </w:num>
  <w:num w:numId="18" w16cid:durableId="273824407">
    <w:abstractNumId w:val="25"/>
  </w:num>
  <w:num w:numId="19" w16cid:durableId="231552165">
    <w:abstractNumId w:val="10"/>
  </w:num>
  <w:num w:numId="20" w16cid:durableId="1155340890">
    <w:abstractNumId w:val="17"/>
  </w:num>
  <w:num w:numId="21" w16cid:durableId="1972323360">
    <w:abstractNumId w:val="18"/>
  </w:num>
  <w:num w:numId="22" w16cid:durableId="1695307314">
    <w:abstractNumId w:val="2"/>
  </w:num>
  <w:num w:numId="23" w16cid:durableId="2087068852">
    <w:abstractNumId w:val="6"/>
  </w:num>
  <w:num w:numId="24" w16cid:durableId="1797721701">
    <w:abstractNumId w:val="1"/>
  </w:num>
  <w:num w:numId="25" w16cid:durableId="6410377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4361997">
    <w:abstractNumId w:val="0"/>
  </w:num>
  <w:num w:numId="27" w16cid:durableId="181363500">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818"/>
    <w:rsid w:val="00000254"/>
    <w:rsid w:val="00000308"/>
    <w:rsid w:val="000005D2"/>
    <w:rsid w:val="00000EAA"/>
    <w:rsid w:val="000010BF"/>
    <w:rsid w:val="000012B9"/>
    <w:rsid w:val="0000156A"/>
    <w:rsid w:val="00001AA4"/>
    <w:rsid w:val="00001CB4"/>
    <w:rsid w:val="00001E93"/>
    <w:rsid w:val="00002237"/>
    <w:rsid w:val="000023D4"/>
    <w:rsid w:val="00002463"/>
    <w:rsid w:val="000025A4"/>
    <w:rsid w:val="000029E5"/>
    <w:rsid w:val="00002AD4"/>
    <w:rsid w:val="00002B21"/>
    <w:rsid w:val="00002B3E"/>
    <w:rsid w:val="00002E5D"/>
    <w:rsid w:val="0000316B"/>
    <w:rsid w:val="00003909"/>
    <w:rsid w:val="00003A91"/>
    <w:rsid w:val="00003ADD"/>
    <w:rsid w:val="00003C79"/>
    <w:rsid w:val="00003F83"/>
    <w:rsid w:val="000045EF"/>
    <w:rsid w:val="00004C43"/>
    <w:rsid w:val="00004C48"/>
    <w:rsid w:val="00004CA8"/>
    <w:rsid w:val="00005277"/>
    <w:rsid w:val="00005633"/>
    <w:rsid w:val="00005745"/>
    <w:rsid w:val="00005914"/>
    <w:rsid w:val="000060E0"/>
    <w:rsid w:val="000068C7"/>
    <w:rsid w:val="00007009"/>
    <w:rsid w:val="000079CF"/>
    <w:rsid w:val="000100DE"/>
    <w:rsid w:val="0001038E"/>
    <w:rsid w:val="00010841"/>
    <w:rsid w:val="00010942"/>
    <w:rsid w:val="00010DFD"/>
    <w:rsid w:val="00010EDC"/>
    <w:rsid w:val="000110ED"/>
    <w:rsid w:val="000114C6"/>
    <w:rsid w:val="00011754"/>
    <w:rsid w:val="00011958"/>
    <w:rsid w:val="0001203D"/>
    <w:rsid w:val="00012205"/>
    <w:rsid w:val="00012796"/>
    <w:rsid w:val="00012A4B"/>
    <w:rsid w:val="00012E11"/>
    <w:rsid w:val="00013128"/>
    <w:rsid w:val="000133A2"/>
    <w:rsid w:val="000139CE"/>
    <w:rsid w:val="00013B46"/>
    <w:rsid w:val="00014040"/>
    <w:rsid w:val="00014103"/>
    <w:rsid w:val="0001464B"/>
    <w:rsid w:val="000152D3"/>
    <w:rsid w:val="00015A21"/>
    <w:rsid w:val="00015C1D"/>
    <w:rsid w:val="00015C89"/>
    <w:rsid w:val="000166EE"/>
    <w:rsid w:val="000166F7"/>
    <w:rsid w:val="000168CA"/>
    <w:rsid w:val="00016CA9"/>
    <w:rsid w:val="000171B8"/>
    <w:rsid w:val="0001766D"/>
    <w:rsid w:val="00017C40"/>
    <w:rsid w:val="00017F19"/>
    <w:rsid w:val="0002027E"/>
    <w:rsid w:val="000204D5"/>
    <w:rsid w:val="00020AF6"/>
    <w:rsid w:val="00020EAE"/>
    <w:rsid w:val="00021913"/>
    <w:rsid w:val="00021AA5"/>
    <w:rsid w:val="00021ABE"/>
    <w:rsid w:val="00021F8A"/>
    <w:rsid w:val="00022165"/>
    <w:rsid w:val="000221DA"/>
    <w:rsid w:val="00022775"/>
    <w:rsid w:val="00022A6A"/>
    <w:rsid w:val="00022D9F"/>
    <w:rsid w:val="00022E1C"/>
    <w:rsid w:val="00022F2F"/>
    <w:rsid w:val="000235E2"/>
    <w:rsid w:val="00023D50"/>
    <w:rsid w:val="0002417C"/>
    <w:rsid w:val="0002438B"/>
    <w:rsid w:val="00024462"/>
    <w:rsid w:val="0002453A"/>
    <w:rsid w:val="0002453F"/>
    <w:rsid w:val="00024559"/>
    <w:rsid w:val="00024721"/>
    <w:rsid w:val="000248AD"/>
    <w:rsid w:val="00024AC6"/>
    <w:rsid w:val="00024CEB"/>
    <w:rsid w:val="00024FAE"/>
    <w:rsid w:val="000251FD"/>
    <w:rsid w:val="00025B68"/>
    <w:rsid w:val="00025B6A"/>
    <w:rsid w:val="000261D2"/>
    <w:rsid w:val="0002659A"/>
    <w:rsid w:val="000265F5"/>
    <w:rsid w:val="00026668"/>
    <w:rsid w:val="00026A32"/>
    <w:rsid w:val="00026CEE"/>
    <w:rsid w:val="00027093"/>
    <w:rsid w:val="00027540"/>
    <w:rsid w:val="00027605"/>
    <w:rsid w:val="00027DE0"/>
    <w:rsid w:val="00027FC2"/>
    <w:rsid w:val="0003001A"/>
    <w:rsid w:val="000300B8"/>
    <w:rsid w:val="0003027B"/>
    <w:rsid w:val="00030ABE"/>
    <w:rsid w:val="00030BEB"/>
    <w:rsid w:val="00030D83"/>
    <w:rsid w:val="00031162"/>
    <w:rsid w:val="00031218"/>
    <w:rsid w:val="00031882"/>
    <w:rsid w:val="00031D0F"/>
    <w:rsid w:val="00031ED6"/>
    <w:rsid w:val="000320C8"/>
    <w:rsid w:val="00032263"/>
    <w:rsid w:val="00032D29"/>
    <w:rsid w:val="00033422"/>
    <w:rsid w:val="00033A3A"/>
    <w:rsid w:val="00033D67"/>
    <w:rsid w:val="00034330"/>
    <w:rsid w:val="000346C3"/>
    <w:rsid w:val="000347B8"/>
    <w:rsid w:val="0003490C"/>
    <w:rsid w:val="00034A34"/>
    <w:rsid w:val="00034CD6"/>
    <w:rsid w:val="00034DF1"/>
    <w:rsid w:val="00034F5B"/>
    <w:rsid w:val="00035389"/>
    <w:rsid w:val="000355E9"/>
    <w:rsid w:val="00035E85"/>
    <w:rsid w:val="00035FBC"/>
    <w:rsid w:val="00036074"/>
    <w:rsid w:val="00036179"/>
    <w:rsid w:val="000361FF"/>
    <w:rsid w:val="00036724"/>
    <w:rsid w:val="00036992"/>
    <w:rsid w:val="00036F48"/>
    <w:rsid w:val="00036F79"/>
    <w:rsid w:val="000371BB"/>
    <w:rsid w:val="00040138"/>
    <w:rsid w:val="0004023E"/>
    <w:rsid w:val="00040441"/>
    <w:rsid w:val="00041256"/>
    <w:rsid w:val="00041334"/>
    <w:rsid w:val="0004146A"/>
    <w:rsid w:val="000414F0"/>
    <w:rsid w:val="000416DF"/>
    <w:rsid w:val="000417CE"/>
    <w:rsid w:val="00041F58"/>
    <w:rsid w:val="0004268D"/>
    <w:rsid w:val="00042AFD"/>
    <w:rsid w:val="00042BCE"/>
    <w:rsid w:val="00042ED7"/>
    <w:rsid w:val="00043435"/>
    <w:rsid w:val="0004363A"/>
    <w:rsid w:val="000440F3"/>
    <w:rsid w:val="00044713"/>
    <w:rsid w:val="00044793"/>
    <w:rsid w:val="000447B1"/>
    <w:rsid w:val="00045380"/>
    <w:rsid w:val="000457D1"/>
    <w:rsid w:val="00045E65"/>
    <w:rsid w:val="00045FEA"/>
    <w:rsid w:val="00046274"/>
    <w:rsid w:val="00046296"/>
    <w:rsid w:val="0004631A"/>
    <w:rsid w:val="00046ADA"/>
    <w:rsid w:val="00046B7E"/>
    <w:rsid w:val="00046F7B"/>
    <w:rsid w:val="00047800"/>
    <w:rsid w:val="000503C8"/>
    <w:rsid w:val="000505E7"/>
    <w:rsid w:val="00050A12"/>
    <w:rsid w:val="0005182B"/>
    <w:rsid w:val="000518C3"/>
    <w:rsid w:val="00051967"/>
    <w:rsid w:val="00051D42"/>
    <w:rsid w:val="00051FE5"/>
    <w:rsid w:val="0005210D"/>
    <w:rsid w:val="00052224"/>
    <w:rsid w:val="000523BF"/>
    <w:rsid w:val="000526BE"/>
    <w:rsid w:val="000527A9"/>
    <w:rsid w:val="00052CF8"/>
    <w:rsid w:val="00052FD3"/>
    <w:rsid w:val="00053738"/>
    <w:rsid w:val="00053766"/>
    <w:rsid w:val="000537CE"/>
    <w:rsid w:val="00053FCC"/>
    <w:rsid w:val="00054491"/>
    <w:rsid w:val="000545DE"/>
    <w:rsid w:val="00054710"/>
    <w:rsid w:val="0005494A"/>
    <w:rsid w:val="00054F30"/>
    <w:rsid w:val="0005548B"/>
    <w:rsid w:val="00055814"/>
    <w:rsid w:val="0005631A"/>
    <w:rsid w:val="000566F7"/>
    <w:rsid w:val="0005673A"/>
    <w:rsid w:val="00056A0D"/>
    <w:rsid w:val="00056A31"/>
    <w:rsid w:val="00056B49"/>
    <w:rsid w:val="00056E79"/>
    <w:rsid w:val="00056F1C"/>
    <w:rsid w:val="00056FF2"/>
    <w:rsid w:val="00057240"/>
    <w:rsid w:val="0005745C"/>
    <w:rsid w:val="00057A19"/>
    <w:rsid w:val="00057B17"/>
    <w:rsid w:val="00057D05"/>
    <w:rsid w:val="00060DED"/>
    <w:rsid w:val="0006141E"/>
    <w:rsid w:val="00061562"/>
    <w:rsid w:val="000616EC"/>
    <w:rsid w:val="00061749"/>
    <w:rsid w:val="0006184A"/>
    <w:rsid w:val="00062F94"/>
    <w:rsid w:val="0006315E"/>
    <w:rsid w:val="00063382"/>
    <w:rsid w:val="00063721"/>
    <w:rsid w:val="000639CE"/>
    <w:rsid w:val="000640A9"/>
    <w:rsid w:val="00064462"/>
    <w:rsid w:val="00064D81"/>
    <w:rsid w:val="00064E9C"/>
    <w:rsid w:val="000650E0"/>
    <w:rsid w:val="000652FC"/>
    <w:rsid w:val="00065463"/>
    <w:rsid w:val="000657D4"/>
    <w:rsid w:val="00065A86"/>
    <w:rsid w:val="000662BD"/>
    <w:rsid w:val="00066465"/>
    <w:rsid w:val="000667BD"/>
    <w:rsid w:val="00066DA5"/>
    <w:rsid w:val="00066EFF"/>
    <w:rsid w:val="00067047"/>
    <w:rsid w:val="000675D6"/>
    <w:rsid w:val="00067C5B"/>
    <w:rsid w:val="000707E8"/>
    <w:rsid w:val="00070E2F"/>
    <w:rsid w:val="0007109A"/>
    <w:rsid w:val="00071690"/>
    <w:rsid w:val="0007198D"/>
    <w:rsid w:val="00071CF4"/>
    <w:rsid w:val="00071EE5"/>
    <w:rsid w:val="00072197"/>
    <w:rsid w:val="00072395"/>
    <w:rsid w:val="00072B56"/>
    <w:rsid w:val="00072C19"/>
    <w:rsid w:val="000735C6"/>
    <w:rsid w:val="00073B68"/>
    <w:rsid w:val="000744CE"/>
    <w:rsid w:val="0007458D"/>
    <w:rsid w:val="00074809"/>
    <w:rsid w:val="00074B60"/>
    <w:rsid w:val="000752B0"/>
    <w:rsid w:val="00075B2F"/>
    <w:rsid w:val="00075C43"/>
    <w:rsid w:val="00075D7A"/>
    <w:rsid w:val="00075E59"/>
    <w:rsid w:val="00076DF9"/>
    <w:rsid w:val="00076FF8"/>
    <w:rsid w:val="000775ED"/>
    <w:rsid w:val="000779EC"/>
    <w:rsid w:val="00077A25"/>
    <w:rsid w:val="00077AD3"/>
    <w:rsid w:val="00077B4D"/>
    <w:rsid w:val="00077CA2"/>
    <w:rsid w:val="00077EA9"/>
    <w:rsid w:val="00080261"/>
    <w:rsid w:val="00080481"/>
    <w:rsid w:val="000807FF"/>
    <w:rsid w:val="00080BC1"/>
    <w:rsid w:val="00080DBD"/>
    <w:rsid w:val="00081828"/>
    <w:rsid w:val="0008189D"/>
    <w:rsid w:val="00081E7D"/>
    <w:rsid w:val="00081FA4"/>
    <w:rsid w:val="000822CC"/>
    <w:rsid w:val="00082395"/>
    <w:rsid w:val="00082913"/>
    <w:rsid w:val="00082C8A"/>
    <w:rsid w:val="00082D7B"/>
    <w:rsid w:val="00083A69"/>
    <w:rsid w:val="00084648"/>
    <w:rsid w:val="00084947"/>
    <w:rsid w:val="00084991"/>
    <w:rsid w:val="00084A56"/>
    <w:rsid w:val="00084AC4"/>
    <w:rsid w:val="00084B1B"/>
    <w:rsid w:val="00085A21"/>
    <w:rsid w:val="00085B82"/>
    <w:rsid w:val="00085D02"/>
    <w:rsid w:val="00086443"/>
    <w:rsid w:val="00086FAF"/>
    <w:rsid w:val="00087594"/>
    <w:rsid w:val="000876EB"/>
    <w:rsid w:val="00087A4C"/>
    <w:rsid w:val="00087F4D"/>
    <w:rsid w:val="00090235"/>
    <w:rsid w:val="00090462"/>
    <w:rsid w:val="00090848"/>
    <w:rsid w:val="0009087D"/>
    <w:rsid w:val="00090999"/>
    <w:rsid w:val="00090A06"/>
    <w:rsid w:val="00091021"/>
    <w:rsid w:val="000915E9"/>
    <w:rsid w:val="00091AAB"/>
    <w:rsid w:val="000923B5"/>
    <w:rsid w:val="0009242A"/>
    <w:rsid w:val="000927DE"/>
    <w:rsid w:val="00092925"/>
    <w:rsid w:val="00092FDB"/>
    <w:rsid w:val="000933F8"/>
    <w:rsid w:val="00093524"/>
    <w:rsid w:val="0009383B"/>
    <w:rsid w:val="00093BA7"/>
    <w:rsid w:val="00093C1A"/>
    <w:rsid w:val="00093F0D"/>
    <w:rsid w:val="00094083"/>
    <w:rsid w:val="00094183"/>
    <w:rsid w:val="00094278"/>
    <w:rsid w:val="0009435A"/>
    <w:rsid w:val="00094E56"/>
    <w:rsid w:val="0009533A"/>
    <w:rsid w:val="000959AD"/>
    <w:rsid w:val="00095A96"/>
    <w:rsid w:val="00095BD7"/>
    <w:rsid w:val="00095C46"/>
    <w:rsid w:val="000962FC"/>
    <w:rsid w:val="00096389"/>
    <w:rsid w:val="0009692D"/>
    <w:rsid w:val="000976C6"/>
    <w:rsid w:val="0009799F"/>
    <w:rsid w:val="000979E4"/>
    <w:rsid w:val="000979F8"/>
    <w:rsid w:val="00097FEB"/>
    <w:rsid w:val="000A00CC"/>
    <w:rsid w:val="000A0159"/>
    <w:rsid w:val="000A0CFE"/>
    <w:rsid w:val="000A1621"/>
    <w:rsid w:val="000A191B"/>
    <w:rsid w:val="000A1E15"/>
    <w:rsid w:val="000A1FCD"/>
    <w:rsid w:val="000A28EB"/>
    <w:rsid w:val="000A2900"/>
    <w:rsid w:val="000A303A"/>
    <w:rsid w:val="000A30D6"/>
    <w:rsid w:val="000A3434"/>
    <w:rsid w:val="000A355A"/>
    <w:rsid w:val="000A3714"/>
    <w:rsid w:val="000A4279"/>
    <w:rsid w:val="000A44B4"/>
    <w:rsid w:val="000A4543"/>
    <w:rsid w:val="000A48E1"/>
    <w:rsid w:val="000A48F6"/>
    <w:rsid w:val="000A50A4"/>
    <w:rsid w:val="000A549C"/>
    <w:rsid w:val="000A58F2"/>
    <w:rsid w:val="000A598F"/>
    <w:rsid w:val="000A5C9C"/>
    <w:rsid w:val="000A6172"/>
    <w:rsid w:val="000A6751"/>
    <w:rsid w:val="000A72EE"/>
    <w:rsid w:val="000A7317"/>
    <w:rsid w:val="000A7A63"/>
    <w:rsid w:val="000A7E0D"/>
    <w:rsid w:val="000A7E2E"/>
    <w:rsid w:val="000A7F54"/>
    <w:rsid w:val="000B0737"/>
    <w:rsid w:val="000B09E4"/>
    <w:rsid w:val="000B1790"/>
    <w:rsid w:val="000B20F9"/>
    <w:rsid w:val="000B2F9F"/>
    <w:rsid w:val="000B3289"/>
    <w:rsid w:val="000B3773"/>
    <w:rsid w:val="000B39CB"/>
    <w:rsid w:val="000B3AA1"/>
    <w:rsid w:val="000B3D85"/>
    <w:rsid w:val="000B3E12"/>
    <w:rsid w:val="000B4164"/>
    <w:rsid w:val="000B44EA"/>
    <w:rsid w:val="000B48AF"/>
    <w:rsid w:val="000B4910"/>
    <w:rsid w:val="000B49C9"/>
    <w:rsid w:val="000B4FA1"/>
    <w:rsid w:val="000B508E"/>
    <w:rsid w:val="000B57F2"/>
    <w:rsid w:val="000B58A4"/>
    <w:rsid w:val="000B5A33"/>
    <w:rsid w:val="000B5B87"/>
    <w:rsid w:val="000B610A"/>
    <w:rsid w:val="000B6AF6"/>
    <w:rsid w:val="000B6E12"/>
    <w:rsid w:val="000B6E31"/>
    <w:rsid w:val="000B6E67"/>
    <w:rsid w:val="000B6EE6"/>
    <w:rsid w:val="000B7B88"/>
    <w:rsid w:val="000B7DFE"/>
    <w:rsid w:val="000C0110"/>
    <w:rsid w:val="000C07A4"/>
    <w:rsid w:val="000C18A4"/>
    <w:rsid w:val="000C1AEB"/>
    <w:rsid w:val="000C1D47"/>
    <w:rsid w:val="000C20BC"/>
    <w:rsid w:val="000C28F7"/>
    <w:rsid w:val="000C3533"/>
    <w:rsid w:val="000C363E"/>
    <w:rsid w:val="000C38E7"/>
    <w:rsid w:val="000C3A24"/>
    <w:rsid w:val="000C3C4C"/>
    <w:rsid w:val="000C3D64"/>
    <w:rsid w:val="000C3E1F"/>
    <w:rsid w:val="000C3E31"/>
    <w:rsid w:val="000C4140"/>
    <w:rsid w:val="000C42C9"/>
    <w:rsid w:val="000C4738"/>
    <w:rsid w:val="000C4764"/>
    <w:rsid w:val="000C4911"/>
    <w:rsid w:val="000C4E70"/>
    <w:rsid w:val="000C4ED5"/>
    <w:rsid w:val="000C4EF8"/>
    <w:rsid w:val="000C50FB"/>
    <w:rsid w:val="000C5441"/>
    <w:rsid w:val="000C5B61"/>
    <w:rsid w:val="000C631A"/>
    <w:rsid w:val="000C642A"/>
    <w:rsid w:val="000C64EB"/>
    <w:rsid w:val="000C6E08"/>
    <w:rsid w:val="000C6E1C"/>
    <w:rsid w:val="000C70E4"/>
    <w:rsid w:val="000C719A"/>
    <w:rsid w:val="000D00EA"/>
    <w:rsid w:val="000D0395"/>
    <w:rsid w:val="000D0B65"/>
    <w:rsid w:val="000D1047"/>
    <w:rsid w:val="000D1186"/>
    <w:rsid w:val="000D124C"/>
    <w:rsid w:val="000D1522"/>
    <w:rsid w:val="000D1661"/>
    <w:rsid w:val="000D16D2"/>
    <w:rsid w:val="000D1D61"/>
    <w:rsid w:val="000D1DE9"/>
    <w:rsid w:val="000D1FEF"/>
    <w:rsid w:val="000D235A"/>
    <w:rsid w:val="000D2822"/>
    <w:rsid w:val="000D293A"/>
    <w:rsid w:val="000D2D5C"/>
    <w:rsid w:val="000D3084"/>
    <w:rsid w:val="000D33FB"/>
    <w:rsid w:val="000D3593"/>
    <w:rsid w:val="000D35E9"/>
    <w:rsid w:val="000D3B26"/>
    <w:rsid w:val="000D3B7F"/>
    <w:rsid w:val="000D3C5B"/>
    <w:rsid w:val="000D3EAC"/>
    <w:rsid w:val="000D3F35"/>
    <w:rsid w:val="000D45BE"/>
    <w:rsid w:val="000D4684"/>
    <w:rsid w:val="000D49F8"/>
    <w:rsid w:val="000D4DB7"/>
    <w:rsid w:val="000D50B6"/>
    <w:rsid w:val="000D580D"/>
    <w:rsid w:val="000D5915"/>
    <w:rsid w:val="000D60E5"/>
    <w:rsid w:val="000D6174"/>
    <w:rsid w:val="000D6732"/>
    <w:rsid w:val="000D69EF"/>
    <w:rsid w:val="000D6ED5"/>
    <w:rsid w:val="000D74A4"/>
    <w:rsid w:val="000D7DB2"/>
    <w:rsid w:val="000E0DE2"/>
    <w:rsid w:val="000E14EE"/>
    <w:rsid w:val="000E1C94"/>
    <w:rsid w:val="000E1D19"/>
    <w:rsid w:val="000E2377"/>
    <w:rsid w:val="000E2786"/>
    <w:rsid w:val="000E2A05"/>
    <w:rsid w:val="000E2FDB"/>
    <w:rsid w:val="000E303C"/>
    <w:rsid w:val="000E347A"/>
    <w:rsid w:val="000E35BC"/>
    <w:rsid w:val="000E37AE"/>
    <w:rsid w:val="000E3E52"/>
    <w:rsid w:val="000E4184"/>
    <w:rsid w:val="000E4780"/>
    <w:rsid w:val="000E47A4"/>
    <w:rsid w:val="000E48CC"/>
    <w:rsid w:val="000E5453"/>
    <w:rsid w:val="000E5975"/>
    <w:rsid w:val="000E5E03"/>
    <w:rsid w:val="000E64B1"/>
    <w:rsid w:val="000E64BD"/>
    <w:rsid w:val="000E673E"/>
    <w:rsid w:val="000E69B5"/>
    <w:rsid w:val="000E6A0D"/>
    <w:rsid w:val="000E6A85"/>
    <w:rsid w:val="000E6D23"/>
    <w:rsid w:val="000E7412"/>
    <w:rsid w:val="000E75E1"/>
    <w:rsid w:val="000E7CDF"/>
    <w:rsid w:val="000E7E81"/>
    <w:rsid w:val="000F007F"/>
    <w:rsid w:val="000F07A1"/>
    <w:rsid w:val="000F0B6C"/>
    <w:rsid w:val="000F0D0F"/>
    <w:rsid w:val="000F0D48"/>
    <w:rsid w:val="000F0E2D"/>
    <w:rsid w:val="000F13B9"/>
    <w:rsid w:val="000F1516"/>
    <w:rsid w:val="000F1B00"/>
    <w:rsid w:val="000F1C8C"/>
    <w:rsid w:val="000F2355"/>
    <w:rsid w:val="000F2475"/>
    <w:rsid w:val="000F2D3E"/>
    <w:rsid w:val="000F2DE6"/>
    <w:rsid w:val="000F3131"/>
    <w:rsid w:val="000F327A"/>
    <w:rsid w:val="000F35F9"/>
    <w:rsid w:val="000F38D3"/>
    <w:rsid w:val="000F3D81"/>
    <w:rsid w:val="000F3DB6"/>
    <w:rsid w:val="000F42B2"/>
    <w:rsid w:val="000F524C"/>
    <w:rsid w:val="000F5367"/>
    <w:rsid w:val="000F5DEC"/>
    <w:rsid w:val="000F658C"/>
    <w:rsid w:val="000F673F"/>
    <w:rsid w:val="000F6AC3"/>
    <w:rsid w:val="000F6B2A"/>
    <w:rsid w:val="000F6DCD"/>
    <w:rsid w:val="000F7615"/>
    <w:rsid w:val="000F7935"/>
    <w:rsid w:val="000F7BF5"/>
    <w:rsid w:val="000F7DB5"/>
    <w:rsid w:val="000F7F2B"/>
    <w:rsid w:val="0010007F"/>
    <w:rsid w:val="001000A9"/>
    <w:rsid w:val="0010075C"/>
    <w:rsid w:val="00100DE5"/>
    <w:rsid w:val="00100EA4"/>
    <w:rsid w:val="00101026"/>
    <w:rsid w:val="0010171C"/>
    <w:rsid w:val="00101A12"/>
    <w:rsid w:val="00101CB7"/>
    <w:rsid w:val="00101D3A"/>
    <w:rsid w:val="001022AC"/>
    <w:rsid w:val="0010232A"/>
    <w:rsid w:val="00102540"/>
    <w:rsid w:val="001029D1"/>
    <w:rsid w:val="00102FCD"/>
    <w:rsid w:val="00103647"/>
    <w:rsid w:val="00104524"/>
    <w:rsid w:val="0010482C"/>
    <w:rsid w:val="00104BDD"/>
    <w:rsid w:val="00104F5A"/>
    <w:rsid w:val="00105669"/>
    <w:rsid w:val="00105ABD"/>
    <w:rsid w:val="00105B35"/>
    <w:rsid w:val="00105DA9"/>
    <w:rsid w:val="001060AB"/>
    <w:rsid w:val="00106195"/>
    <w:rsid w:val="001065B9"/>
    <w:rsid w:val="00106918"/>
    <w:rsid w:val="00106B24"/>
    <w:rsid w:val="00106C2B"/>
    <w:rsid w:val="00106D09"/>
    <w:rsid w:val="00106EB2"/>
    <w:rsid w:val="0010710A"/>
    <w:rsid w:val="001077F9"/>
    <w:rsid w:val="00107C16"/>
    <w:rsid w:val="00107D7D"/>
    <w:rsid w:val="00110329"/>
    <w:rsid w:val="001103AB"/>
    <w:rsid w:val="0011051C"/>
    <w:rsid w:val="001109FB"/>
    <w:rsid w:val="00110C57"/>
    <w:rsid w:val="00110D7B"/>
    <w:rsid w:val="001117F1"/>
    <w:rsid w:val="00112006"/>
    <w:rsid w:val="001120F2"/>
    <w:rsid w:val="00112615"/>
    <w:rsid w:val="00112719"/>
    <w:rsid w:val="00112A11"/>
    <w:rsid w:val="0011359A"/>
    <w:rsid w:val="00113DBD"/>
    <w:rsid w:val="00113DE4"/>
    <w:rsid w:val="0011404D"/>
    <w:rsid w:val="001142FE"/>
    <w:rsid w:val="001148B7"/>
    <w:rsid w:val="00115768"/>
    <w:rsid w:val="00116BC0"/>
    <w:rsid w:val="00116CEB"/>
    <w:rsid w:val="00117588"/>
    <w:rsid w:val="00117754"/>
    <w:rsid w:val="00117A4F"/>
    <w:rsid w:val="00117D53"/>
    <w:rsid w:val="00117D54"/>
    <w:rsid w:val="00117EF1"/>
    <w:rsid w:val="00117FE2"/>
    <w:rsid w:val="00120393"/>
    <w:rsid w:val="0012075B"/>
    <w:rsid w:val="001208D7"/>
    <w:rsid w:val="00120C86"/>
    <w:rsid w:val="00121477"/>
    <w:rsid w:val="001215D2"/>
    <w:rsid w:val="001218F6"/>
    <w:rsid w:val="001219D6"/>
    <w:rsid w:val="00121CD5"/>
    <w:rsid w:val="00122016"/>
    <w:rsid w:val="00122559"/>
    <w:rsid w:val="001230A1"/>
    <w:rsid w:val="00123651"/>
    <w:rsid w:val="001236D1"/>
    <w:rsid w:val="0012376C"/>
    <w:rsid w:val="001239A5"/>
    <w:rsid w:val="00123BB0"/>
    <w:rsid w:val="00125037"/>
    <w:rsid w:val="00125120"/>
    <w:rsid w:val="00125371"/>
    <w:rsid w:val="001258D0"/>
    <w:rsid w:val="001259CF"/>
    <w:rsid w:val="00125A90"/>
    <w:rsid w:val="00125FA3"/>
    <w:rsid w:val="0012605E"/>
    <w:rsid w:val="00126292"/>
    <w:rsid w:val="00126485"/>
    <w:rsid w:val="0012683B"/>
    <w:rsid w:val="0012692C"/>
    <w:rsid w:val="00126D01"/>
    <w:rsid w:val="001270CB"/>
    <w:rsid w:val="00127105"/>
    <w:rsid w:val="0013058B"/>
    <w:rsid w:val="00130888"/>
    <w:rsid w:val="00130945"/>
    <w:rsid w:val="00130D43"/>
    <w:rsid w:val="0013107C"/>
    <w:rsid w:val="00131DA5"/>
    <w:rsid w:val="00132AC5"/>
    <w:rsid w:val="00132BE3"/>
    <w:rsid w:val="00132C57"/>
    <w:rsid w:val="00132E2E"/>
    <w:rsid w:val="00132E5E"/>
    <w:rsid w:val="00133007"/>
    <w:rsid w:val="0013304B"/>
    <w:rsid w:val="0013332E"/>
    <w:rsid w:val="001333C3"/>
    <w:rsid w:val="001337E7"/>
    <w:rsid w:val="001339D0"/>
    <w:rsid w:val="00133A49"/>
    <w:rsid w:val="00133D8D"/>
    <w:rsid w:val="00133EDE"/>
    <w:rsid w:val="00133F15"/>
    <w:rsid w:val="00134261"/>
    <w:rsid w:val="0013471F"/>
    <w:rsid w:val="00135D26"/>
    <w:rsid w:val="00136384"/>
    <w:rsid w:val="00136622"/>
    <w:rsid w:val="00136860"/>
    <w:rsid w:val="00136964"/>
    <w:rsid w:val="00136C8E"/>
    <w:rsid w:val="001373E6"/>
    <w:rsid w:val="00137AE7"/>
    <w:rsid w:val="00137BAD"/>
    <w:rsid w:val="00137E32"/>
    <w:rsid w:val="00140120"/>
    <w:rsid w:val="0014068B"/>
    <w:rsid w:val="00140AB1"/>
    <w:rsid w:val="00140D32"/>
    <w:rsid w:val="00140E47"/>
    <w:rsid w:val="001412C1"/>
    <w:rsid w:val="00141637"/>
    <w:rsid w:val="00141CB5"/>
    <w:rsid w:val="00141E41"/>
    <w:rsid w:val="00141EA4"/>
    <w:rsid w:val="00142A1B"/>
    <w:rsid w:val="00142B8F"/>
    <w:rsid w:val="00142BE6"/>
    <w:rsid w:val="00142D00"/>
    <w:rsid w:val="0014385E"/>
    <w:rsid w:val="00143B31"/>
    <w:rsid w:val="00143D86"/>
    <w:rsid w:val="00143FA0"/>
    <w:rsid w:val="00144B0F"/>
    <w:rsid w:val="00144BEF"/>
    <w:rsid w:val="00144BFF"/>
    <w:rsid w:val="00144CBB"/>
    <w:rsid w:val="0014539E"/>
    <w:rsid w:val="00146235"/>
    <w:rsid w:val="0014650A"/>
    <w:rsid w:val="0014687D"/>
    <w:rsid w:val="00146E56"/>
    <w:rsid w:val="00147B49"/>
    <w:rsid w:val="00147CC5"/>
    <w:rsid w:val="00151B78"/>
    <w:rsid w:val="00151C40"/>
    <w:rsid w:val="00151D56"/>
    <w:rsid w:val="00151EE6"/>
    <w:rsid w:val="001520C1"/>
    <w:rsid w:val="001521CF"/>
    <w:rsid w:val="00152253"/>
    <w:rsid w:val="001525FF"/>
    <w:rsid w:val="001528EB"/>
    <w:rsid w:val="00152922"/>
    <w:rsid w:val="00152F7C"/>
    <w:rsid w:val="00153336"/>
    <w:rsid w:val="001535FF"/>
    <w:rsid w:val="001538E6"/>
    <w:rsid w:val="00153D40"/>
    <w:rsid w:val="00153EE1"/>
    <w:rsid w:val="00154883"/>
    <w:rsid w:val="001548C8"/>
    <w:rsid w:val="00154AD1"/>
    <w:rsid w:val="00154EAB"/>
    <w:rsid w:val="00154F84"/>
    <w:rsid w:val="00154F99"/>
    <w:rsid w:val="00155152"/>
    <w:rsid w:val="001551AE"/>
    <w:rsid w:val="0015585A"/>
    <w:rsid w:val="00155BC4"/>
    <w:rsid w:val="00155D84"/>
    <w:rsid w:val="00155DAA"/>
    <w:rsid w:val="00155DFB"/>
    <w:rsid w:val="001562A6"/>
    <w:rsid w:val="001562C0"/>
    <w:rsid w:val="001566DA"/>
    <w:rsid w:val="00156B25"/>
    <w:rsid w:val="00156CDA"/>
    <w:rsid w:val="00156FE4"/>
    <w:rsid w:val="0015720F"/>
    <w:rsid w:val="00157678"/>
    <w:rsid w:val="001577E1"/>
    <w:rsid w:val="00157CCE"/>
    <w:rsid w:val="00157E46"/>
    <w:rsid w:val="001602E8"/>
    <w:rsid w:val="00160714"/>
    <w:rsid w:val="00160A48"/>
    <w:rsid w:val="00160CA4"/>
    <w:rsid w:val="00160DA9"/>
    <w:rsid w:val="00160F5C"/>
    <w:rsid w:val="00161141"/>
    <w:rsid w:val="00161678"/>
    <w:rsid w:val="00161983"/>
    <w:rsid w:val="00161B66"/>
    <w:rsid w:val="00162030"/>
    <w:rsid w:val="001621B7"/>
    <w:rsid w:val="001623C8"/>
    <w:rsid w:val="00162810"/>
    <w:rsid w:val="00162817"/>
    <w:rsid w:val="00162875"/>
    <w:rsid w:val="001629DF"/>
    <w:rsid w:val="00162BED"/>
    <w:rsid w:val="00162CC0"/>
    <w:rsid w:val="00162D2B"/>
    <w:rsid w:val="00162FAF"/>
    <w:rsid w:val="00163A9C"/>
    <w:rsid w:val="00163AC9"/>
    <w:rsid w:val="0016412E"/>
    <w:rsid w:val="001642BF"/>
    <w:rsid w:val="00164638"/>
    <w:rsid w:val="001648AC"/>
    <w:rsid w:val="00164CF9"/>
    <w:rsid w:val="0016510B"/>
    <w:rsid w:val="001652A8"/>
    <w:rsid w:val="001652DE"/>
    <w:rsid w:val="0016564E"/>
    <w:rsid w:val="001662DB"/>
    <w:rsid w:val="0016721B"/>
    <w:rsid w:val="001676C1"/>
    <w:rsid w:val="00167962"/>
    <w:rsid w:val="00167D84"/>
    <w:rsid w:val="0017058B"/>
    <w:rsid w:val="001705DE"/>
    <w:rsid w:val="001709E4"/>
    <w:rsid w:val="00170CA7"/>
    <w:rsid w:val="00171505"/>
    <w:rsid w:val="00171549"/>
    <w:rsid w:val="00172010"/>
    <w:rsid w:val="0017207E"/>
    <w:rsid w:val="00172314"/>
    <w:rsid w:val="00172348"/>
    <w:rsid w:val="001724C4"/>
    <w:rsid w:val="00172651"/>
    <w:rsid w:val="00173138"/>
    <w:rsid w:val="00173181"/>
    <w:rsid w:val="00173371"/>
    <w:rsid w:val="0017342F"/>
    <w:rsid w:val="00173601"/>
    <w:rsid w:val="00173914"/>
    <w:rsid w:val="001739AB"/>
    <w:rsid w:val="00173E30"/>
    <w:rsid w:val="00173FD9"/>
    <w:rsid w:val="001740F6"/>
    <w:rsid w:val="0017434D"/>
    <w:rsid w:val="00174DFE"/>
    <w:rsid w:val="00174EAC"/>
    <w:rsid w:val="001757B8"/>
    <w:rsid w:val="001758D3"/>
    <w:rsid w:val="0017638F"/>
    <w:rsid w:val="001767D9"/>
    <w:rsid w:val="00176949"/>
    <w:rsid w:val="00176AB3"/>
    <w:rsid w:val="00176AE5"/>
    <w:rsid w:val="00176B93"/>
    <w:rsid w:val="00176DCA"/>
    <w:rsid w:val="00176F30"/>
    <w:rsid w:val="00177BB5"/>
    <w:rsid w:val="00180340"/>
    <w:rsid w:val="00180564"/>
    <w:rsid w:val="0018086C"/>
    <w:rsid w:val="00180D2E"/>
    <w:rsid w:val="00181253"/>
    <w:rsid w:val="00181502"/>
    <w:rsid w:val="001815D1"/>
    <w:rsid w:val="00181E1F"/>
    <w:rsid w:val="001829C9"/>
    <w:rsid w:val="00182D7B"/>
    <w:rsid w:val="00182FFB"/>
    <w:rsid w:val="0018310D"/>
    <w:rsid w:val="00183599"/>
    <w:rsid w:val="0018370B"/>
    <w:rsid w:val="00183C1E"/>
    <w:rsid w:val="00183CA1"/>
    <w:rsid w:val="001842A1"/>
    <w:rsid w:val="001847F8"/>
    <w:rsid w:val="001849F0"/>
    <w:rsid w:val="00184AC7"/>
    <w:rsid w:val="00184C7D"/>
    <w:rsid w:val="00184C87"/>
    <w:rsid w:val="00184F5D"/>
    <w:rsid w:val="00185215"/>
    <w:rsid w:val="001855D6"/>
    <w:rsid w:val="00186978"/>
    <w:rsid w:val="001869A5"/>
    <w:rsid w:val="00187111"/>
    <w:rsid w:val="00187200"/>
    <w:rsid w:val="001872BD"/>
    <w:rsid w:val="00187A6E"/>
    <w:rsid w:val="00187C76"/>
    <w:rsid w:val="001900D7"/>
    <w:rsid w:val="001901F0"/>
    <w:rsid w:val="00190365"/>
    <w:rsid w:val="0019055E"/>
    <w:rsid w:val="00190BB1"/>
    <w:rsid w:val="00191A4D"/>
    <w:rsid w:val="00191AAC"/>
    <w:rsid w:val="00191B71"/>
    <w:rsid w:val="001921E8"/>
    <w:rsid w:val="0019268B"/>
    <w:rsid w:val="00192971"/>
    <w:rsid w:val="00192ADC"/>
    <w:rsid w:val="00192DB6"/>
    <w:rsid w:val="00193269"/>
    <w:rsid w:val="001933BE"/>
    <w:rsid w:val="0019397F"/>
    <w:rsid w:val="00193BA6"/>
    <w:rsid w:val="001942D4"/>
    <w:rsid w:val="001942EA"/>
    <w:rsid w:val="0019455C"/>
    <w:rsid w:val="00194670"/>
    <w:rsid w:val="001946F4"/>
    <w:rsid w:val="00194FE6"/>
    <w:rsid w:val="001951CE"/>
    <w:rsid w:val="00195DED"/>
    <w:rsid w:val="00196714"/>
    <w:rsid w:val="00196774"/>
    <w:rsid w:val="00196F69"/>
    <w:rsid w:val="00196FE9"/>
    <w:rsid w:val="0019736D"/>
    <w:rsid w:val="001974A0"/>
    <w:rsid w:val="00197528"/>
    <w:rsid w:val="001976B0"/>
    <w:rsid w:val="001A00FE"/>
    <w:rsid w:val="001A02B4"/>
    <w:rsid w:val="001A0B13"/>
    <w:rsid w:val="001A0E7F"/>
    <w:rsid w:val="001A1010"/>
    <w:rsid w:val="001A121D"/>
    <w:rsid w:val="001A14A3"/>
    <w:rsid w:val="001A1793"/>
    <w:rsid w:val="001A229B"/>
    <w:rsid w:val="001A2487"/>
    <w:rsid w:val="001A2766"/>
    <w:rsid w:val="001A289A"/>
    <w:rsid w:val="001A29EB"/>
    <w:rsid w:val="001A2A5A"/>
    <w:rsid w:val="001A30A5"/>
    <w:rsid w:val="001A38D5"/>
    <w:rsid w:val="001A3FF2"/>
    <w:rsid w:val="001A41C7"/>
    <w:rsid w:val="001A4243"/>
    <w:rsid w:val="001A46C7"/>
    <w:rsid w:val="001A4954"/>
    <w:rsid w:val="001A4CE1"/>
    <w:rsid w:val="001A54A0"/>
    <w:rsid w:val="001A575B"/>
    <w:rsid w:val="001A60B3"/>
    <w:rsid w:val="001A61CA"/>
    <w:rsid w:val="001A6638"/>
    <w:rsid w:val="001A6A64"/>
    <w:rsid w:val="001A6EE7"/>
    <w:rsid w:val="001A7078"/>
    <w:rsid w:val="001A7236"/>
    <w:rsid w:val="001A76D7"/>
    <w:rsid w:val="001A76FE"/>
    <w:rsid w:val="001B02B5"/>
    <w:rsid w:val="001B02E6"/>
    <w:rsid w:val="001B0B9B"/>
    <w:rsid w:val="001B0E14"/>
    <w:rsid w:val="001B115A"/>
    <w:rsid w:val="001B1521"/>
    <w:rsid w:val="001B1650"/>
    <w:rsid w:val="001B1970"/>
    <w:rsid w:val="001B1B71"/>
    <w:rsid w:val="001B1DA8"/>
    <w:rsid w:val="001B1E79"/>
    <w:rsid w:val="001B2811"/>
    <w:rsid w:val="001B347D"/>
    <w:rsid w:val="001B34C1"/>
    <w:rsid w:val="001B384E"/>
    <w:rsid w:val="001B3AC7"/>
    <w:rsid w:val="001B3C18"/>
    <w:rsid w:val="001B445C"/>
    <w:rsid w:val="001B4E2D"/>
    <w:rsid w:val="001B5536"/>
    <w:rsid w:val="001B605B"/>
    <w:rsid w:val="001B608D"/>
    <w:rsid w:val="001B609C"/>
    <w:rsid w:val="001B65B0"/>
    <w:rsid w:val="001B6676"/>
    <w:rsid w:val="001B6934"/>
    <w:rsid w:val="001B6B3A"/>
    <w:rsid w:val="001B6B5F"/>
    <w:rsid w:val="001B6D7C"/>
    <w:rsid w:val="001B75A2"/>
    <w:rsid w:val="001B7963"/>
    <w:rsid w:val="001B79AE"/>
    <w:rsid w:val="001B7EBE"/>
    <w:rsid w:val="001C0100"/>
    <w:rsid w:val="001C0210"/>
    <w:rsid w:val="001C02C8"/>
    <w:rsid w:val="001C0503"/>
    <w:rsid w:val="001C0545"/>
    <w:rsid w:val="001C0575"/>
    <w:rsid w:val="001C08D7"/>
    <w:rsid w:val="001C0A2C"/>
    <w:rsid w:val="001C0D87"/>
    <w:rsid w:val="001C172B"/>
    <w:rsid w:val="001C1857"/>
    <w:rsid w:val="001C1C6E"/>
    <w:rsid w:val="001C2463"/>
    <w:rsid w:val="001C25A6"/>
    <w:rsid w:val="001C292F"/>
    <w:rsid w:val="001C293D"/>
    <w:rsid w:val="001C2AB6"/>
    <w:rsid w:val="001C378D"/>
    <w:rsid w:val="001C3AB1"/>
    <w:rsid w:val="001C3B85"/>
    <w:rsid w:val="001C3C86"/>
    <w:rsid w:val="001C400D"/>
    <w:rsid w:val="001C4750"/>
    <w:rsid w:val="001C47BA"/>
    <w:rsid w:val="001C4CC8"/>
    <w:rsid w:val="001C4D1A"/>
    <w:rsid w:val="001C4FFA"/>
    <w:rsid w:val="001C51E2"/>
    <w:rsid w:val="001C5766"/>
    <w:rsid w:val="001C5927"/>
    <w:rsid w:val="001C5AB8"/>
    <w:rsid w:val="001C5CCF"/>
    <w:rsid w:val="001C664B"/>
    <w:rsid w:val="001C67C8"/>
    <w:rsid w:val="001C7105"/>
    <w:rsid w:val="001C71AC"/>
    <w:rsid w:val="001C7277"/>
    <w:rsid w:val="001C7618"/>
    <w:rsid w:val="001C767F"/>
    <w:rsid w:val="001D021A"/>
    <w:rsid w:val="001D0D63"/>
    <w:rsid w:val="001D112D"/>
    <w:rsid w:val="001D1160"/>
    <w:rsid w:val="001D1664"/>
    <w:rsid w:val="001D17FD"/>
    <w:rsid w:val="001D1DCF"/>
    <w:rsid w:val="001D2370"/>
    <w:rsid w:val="001D25CA"/>
    <w:rsid w:val="001D268E"/>
    <w:rsid w:val="001D29D5"/>
    <w:rsid w:val="001D2A4B"/>
    <w:rsid w:val="001D2A6D"/>
    <w:rsid w:val="001D2B12"/>
    <w:rsid w:val="001D2D22"/>
    <w:rsid w:val="001D3257"/>
    <w:rsid w:val="001D3439"/>
    <w:rsid w:val="001D3539"/>
    <w:rsid w:val="001D4082"/>
    <w:rsid w:val="001D47A7"/>
    <w:rsid w:val="001D4901"/>
    <w:rsid w:val="001D4A3A"/>
    <w:rsid w:val="001D4DBB"/>
    <w:rsid w:val="001D53D1"/>
    <w:rsid w:val="001D5898"/>
    <w:rsid w:val="001D5EB1"/>
    <w:rsid w:val="001D62CE"/>
    <w:rsid w:val="001D637E"/>
    <w:rsid w:val="001D676F"/>
    <w:rsid w:val="001D6800"/>
    <w:rsid w:val="001D757E"/>
    <w:rsid w:val="001D767B"/>
    <w:rsid w:val="001D7F3E"/>
    <w:rsid w:val="001D7F5C"/>
    <w:rsid w:val="001D7F87"/>
    <w:rsid w:val="001E0394"/>
    <w:rsid w:val="001E03D4"/>
    <w:rsid w:val="001E0434"/>
    <w:rsid w:val="001E05F4"/>
    <w:rsid w:val="001E066F"/>
    <w:rsid w:val="001E06BF"/>
    <w:rsid w:val="001E0950"/>
    <w:rsid w:val="001E1B5E"/>
    <w:rsid w:val="001E1BD1"/>
    <w:rsid w:val="001E2344"/>
    <w:rsid w:val="001E278D"/>
    <w:rsid w:val="001E2CF8"/>
    <w:rsid w:val="001E2EAF"/>
    <w:rsid w:val="001E3B76"/>
    <w:rsid w:val="001E47E3"/>
    <w:rsid w:val="001E4E34"/>
    <w:rsid w:val="001E4E45"/>
    <w:rsid w:val="001E4F29"/>
    <w:rsid w:val="001E4F95"/>
    <w:rsid w:val="001E5CB7"/>
    <w:rsid w:val="001E5D0B"/>
    <w:rsid w:val="001E5DC2"/>
    <w:rsid w:val="001E630D"/>
    <w:rsid w:val="001E667E"/>
    <w:rsid w:val="001E6853"/>
    <w:rsid w:val="001E7377"/>
    <w:rsid w:val="001E7520"/>
    <w:rsid w:val="001E7563"/>
    <w:rsid w:val="001E75F0"/>
    <w:rsid w:val="001E7810"/>
    <w:rsid w:val="001E7BDA"/>
    <w:rsid w:val="001E7C9B"/>
    <w:rsid w:val="001E7E48"/>
    <w:rsid w:val="001F0020"/>
    <w:rsid w:val="001F008E"/>
    <w:rsid w:val="001F0320"/>
    <w:rsid w:val="001F0787"/>
    <w:rsid w:val="001F10A0"/>
    <w:rsid w:val="001F110E"/>
    <w:rsid w:val="001F1230"/>
    <w:rsid w:val="001F12D6"/>
    <w:rsid w:val="001F1413"/>
    <w:rsid w:val="001F15BA"/>
    <w:rsid w:val="001F16D9"/>
    <w:rsid w:val="001F18D7"/>
    <w:rsid w:val="001F1CAD"/>
    <w:rsid w:val="001F216E"/>
    <w:rsid w:val="001F26A0"/>
    <w:rsid w:val="001F26AB"/>
    <w:rsid w:val="001F282F"/>
    <w:rsid w:val="001F3056"/>
    <w:rsid w:val="001F30B9"/>
    <w:rsid w:val="001F310C"/>
    <w:rsid w:val="001F3118"/>
    <w:rsid w:val="001F3127"/>
    <w:rsid w:val="001F316A"/>
    <w:rsid w:val="001F3E61"/>
    <w:rsid w:val="001F3E63"/>
    <w:rsid w:val="001F3F6D"/>
    <w:rsid w:val="001F40E7"/>
    <w:rsid w:val="001F4485"/>
    <w:rsid w:val="001F505B"/>
    <w:rsid w:val="001F5E54"/>
    <w:rsid w:val="001F6BC4"/>
    <w:rsid w:val="001F6CE8"/>
    <w:rsid w:val="001F6F80"/>
    <w:rsid w:val="001F707A"/>
    <w:rsid w:val="001F7092"/>
    <w:rsid w:val="001F71A2"/>
    <w:rsid w:val="001F72D7"/>
    <w:rsid w:val="001F7746"/>
    <w:rsid w:val="001F7A23"/>
    <w:rsid w:val="001F7B5F"/>
    <w:rsid w:val="001F7CBD"/>
    <w:rsid w:val="0020010B"/>
    <w:rsid w:val="002008CD"/>
    <w:rsid w:val="00200997"/>
    <w:rsid w:val="00200AE8"/>
    <w:rsid w:val="00200E52"/>
    <w:rsid w:val="002019BB"/>
    <w:rsid w:val="00202136"/>
    <w:rsid w:val="002023D3"/>
    <w:rsid w:val="00202445"/>
    <w:rsid w:val="00202502"/>
    <w:rsid w:val="00202923"/>
    <w:rsid w:val="00202AD6"/>
    <w:rsid w:val="00202F26"/>
    <w:rsid w:val="00202F9E"/>
    <w:rsid w:val="00202FD6"/>
    <w:rsid w:val="002030B8"/>
    <w:rsid w:val="00203596"/>
    <w:rsid w:val="002035B1"/>
    <w:rsid w:val="002035C9"/>
    <w:rsid w:val="0020363F"/>
    <w:rsid w:val="00203678"/>
    <w:rsid w:val="00203D7D"/>
    <w:rsid w:val="00204041"/>
    <w:rsid w:val="002040A3"/>
    <w:rsid w:val="002041EF"/>
    <w:rsid w:val="002043D2"/>
    <w:rsid w:val="00204535"/>
    <w:rsid w:val="002046FD"/>
    <w:rsid w:val="00204BA3"/>
    <w:rsid w:val="00204C0A"/>
    <w:rsid w:val="002056BF"/>
    <w:rsid w:val="002056F8"/>
    <w:rsid w:val="002059E5"/>
    <w:rsid w:val="00205E95"/>
    <w:rsid w:val="002061C4"/>
    <w:rsid w:val="002061DB"/>
    <w:rsid w:val="00206206"/>
    <w:rsid w:val="00206338"/>
    <w:rsid w:val="002066ED"/>
    <w:rsid w:val="00206A17"/>
    <w:rsid w:val="00206C90"/>
    <w:rsid w:val="00207A9A"/>
    <w:rsid w:val="00207AD0"/>
    <w:rsid w:val="00210385"/>
    <w:rsid w:val="002104E1"/>
    <w:rsid w:val="0021065A"/>
    <w:rsid w:val="00211A69"/>
    <w:rsid w:val="00211BD3"/>
    <w:rsid w:val="00211DE3"/>
    <w:rsid w:val="00211EE6"/>
    <w:rsid w:val="0021294D"/>
    <w:rsid w:val="00212A76"/>
    <w:rsid w:val="00212F80"/>
    <w:rsid w:val="0021360E"/>
    <w:rsid w:val="00213A4D"/>
    <w:rsid w:val="00213ADE"/>
    <w:rsid w:val="00213AFE"/>
    <w:rsid w:val="00213D9E"/>
    <w:rsid w:val="002140C5"/>
    <w:rsid w:val="00214386"/>
    <w:rsid w:val="0021461D"/>
    <w:rsid w:val="0021481A"/>
    <w:rsid w:val="002150BD"/>
    <w:rsid w:val="0021533B"/>
    <w:rsid w:val="00215392"/>
    <w:rsid w:val="002153A2"/>
    <w:rsid w:val="00215479"/>
    <w:rsid w:val="002155E0"/>
    <w:rsid w:val="002159DC"/>
    <w:rsid w:val="00215E1A"/>
    <w:rsid w:val="00215F1A"/>
    <w:rsid w:val="00216071"/>
    <w:rsid w:val="002160BA"/>
    <w:rsid w:val="002161A7"/>
    <w:rsid w:val="00216270"/>
    <w:rsid w:val="002166F6"/>
    <w:rsid w:val="0021696D"/>
    <w:rsid w:val="002169B9"/>
    <w:rsid w:val="00216BDA"/>
    <w:rsid w:val="00216BDC"/>
    <w:rsid w:val="00216DCE"/>
    <w:rsid w:val="00216E80"/>
    <w:rsid w:val="00216F38"/>
    <w:rsid w:val="0021724B"/>
    <w:rsid w:val="00217BC7"/>
    <w:rsid w:val="00220431"/>
    <w:rsid w:val="0022058F"/>
    <w:rsid w:val="00220DC6"/>
    <w:rsid w:val="0022114D"/>
    <w:rsid w:val="00221886"/>
    <w:rsid w:val="002218A9"/>
    <w:rsid w:val="002218F5"/>
    <w:rsid w:val="00221CC9"/>
    <w:rsid w:val="002220A4"/>
    <w:rsid w:val="002223A0"/>
    <w:rsid w:val="002229EE"/>
    <w:rsid w:val="00222B19"/>
    <w:rsid w:val="00222EE9"/>
    <w:rsid w:val="00223200"/>
    <w:rsid w:val="002234B4"/>
    <w:rsid w:val="00223C6E"/>
    <w:rsid w:val="00224084"/>
    <w:rsid w:val="00224114"/>
    <w:rsid w:val="0022453D"/>
    <w:rsid w:val="00224D10"/>
    <w:rsid w:val="00225D63"/>
    <w:rsid w:val="002262E1"/>
    <w:rsid w:val="00226539"/>
    <w:rsid w:val="00226712"/>
    <w:rsid w:val="00226F98"/>
    <w:rsid w:val="0022705A"/>
    <w:rsid w:val="00227B0B"/>
    <w:rsid w:val="00230148"/>
    <w:rsid w:val="0023037B"/>
    <w:rsid w:val="00230C20"/>
    <w:rsid w:val="00231122"/>
    <w:rsid w:val="00231473"/>
    <w:rsid w:val="00231476"/>
    <w:rsid w:val="00231661"/>
    <w:rsid w:val="002319D1"/>
    <w:rsid w:val="0023208E"/>
    <w:rsid w:val="002324A7"/>
    <w:rsid w:val="002328A6"/>
    <w:rsid w:val="002329F2"/>
    <w:rsid w:val="00232C93"/>
    <w:rsid w:val="00233139"/>
    <w:rsid w:val="0023383C"/>
    <w:rsid w:val="00233B18"/>
    <w:rsid w:val="00233C63"/>
    <w:rsid w:val="002346A5"/>
    <w:rsid w:val="00234A59"/>
    <w:rsid w:val="00234F62"/>
    <w:rsid w:val="00235D8B"/>
    <w:rsid w:val="00235EBF"/>
    <w:rsid w:val="00235F48"/>
    <w:rsid w:val="00236AFF"/>
    <w:rsid w:val="00237129"/>
    <w:rsid w:val="002372E0"/>
    <w:rsid w:val="002374AD"/>
    <w:rsid w:val="0023776F"/>
    <w:rsid w:val="0023784F"/>
    <w:rsid w:val="00240C77"/>
    <w:rsid w:val="0024127E"/>
    <w:rsid w:val="00241EF2"/>
    <w:rsid w:val="002421C7"/>
    <w:rsid w:val="002426FC"/>
    <w:rsid w:val="00242E8A"/>
    <w:rsid w:val="00242FBC"/>
    <w:rsid w:val="00242FFE"/>
    <w:rsid w:val="0024378B"/>
    <w:rsid w:val="00243B14"/>
    <w:rsid w:val="00243D7B"/>
    <w:rsid w:val="00244045"/>
    <w:rsid w:val="002448E8"/>
    <w:rsid w:val="00244EFF"/>
    <w:rsid w:val="00244FA7"/>
    <w:rsid w:val="0024516F"/>
    <w:rsid w:val="002456BC"/>
    <w:rsid w:val="002457BC"/>
    <w:rsid w:val="00246E43"/>
    <w:rsid w:val="00246F83"/>
    <w:rsid w:val="00247F30"/>
    <w:rsid w:val="002501F4"/>
    <w:rsid w:val="0025032F"/>
    <w:rsid w:val="002508B5"/>
    <w:rsid w:val="00250E11"/>
    <w:rsid w:val="00250F27"/>
    <w:rsid w:val="00251579"/>
    <w:rsid w:val="00251EEC"/>
    <w:rsid w:val="0025212E"/>
    <w:rsid w:val="00252199"/>
    <w:rsid w:val="00252A47"/>
    <w:rsid w:val="00252E87"/>
    <w:rsid w:val="00253032"/>
    <w:rsid w:val="002535BE"/>
    <w:rsid w:val="00253834"/>
    <w:rsid w:val="00253A99"/>
    <w:rsid w:val="00253B20"/>
    <w:rsid w:val="00253D09"/>
    <w:rsid w:val="00254808"/>
    <w:rsid w:val="0025581F"/>
    <w:rsid w:val="00255A50"/>
    <w:rsid w:val="00255DFA"/>
    <w:rsid w:val="00256164"/>
    <w:rsid w:val="0025618B"/>
    <w:rsid w:val="002564AD"/>
    <w:rsid w:val="002564F0"/>
    <w:rsid w:val="00256548"/>
    <w:rsid w:val="00256562"/>
    <w:rsid w:val="002565F7"/>
    <w:rsid w:val="002568D4"/>
    <w:rsid w:val="00256D6C"/>
    <w:rsid w:val="00256E64"/>
    <w:rsid w:val="00256EDA"/>
    <w:rsid w:val="00256F6D"/>
    <w:rsid w:val="00257103"/>
    <w:rsid w:val="00257701"/>
    <w:rsid w:val="00257EB9"/>
    <w:rsid w:val="00260318"/>
    <w:rsid w:val="00260444"/>
    <w:rsid w:val="00261139"/>
    <w:rsid w:val="0026117F"/>
    <w:rsid w:val="0026176A"/>
    <w:rsid w:val="00261867"/>
    <w:rsid w:val="00261886"/>
    <w:rsid w:val="00261CC3"/>
    <w:rsid w:val="002621D4"/>
    <w:rsid w:val="002622FB"/>
    <w:rsid w:val="002624DC"/>
    <w:rsid w:val="00262856"/>
    <w:rsid w:val="00262906"/>
    <w:rsid w:val="00263450"/>
    <w:rsid w:val="00263AA4"/>
    <w:rsid w:val="00263EA6"/>
    <w:rsid w:val="00263EDD"/>
    <w:rsid w:val="00263FFD"/>
    <w:rsid w:val="0026430C"/>
    <w:rsid w:val="002643DF"/>
    <w:rsid w:val="002644E4"/>
    <w:rsid w:val="002645CD"/>
    <w:rsid w:val="002648B5"/>
    <w:rsid w:val="00264E12"/>
    <w:rsid w:val="0026527C"/>
    <w:rsid w:val="00265580"/>
    <w:rsid w:val="002655DB"/>
    <w:rsid w:val="0026611C"/>
    <w:rsid w:val="002671FE"/>
    <w:rsid w:val="0026733E"/>
    <w:rsid w:val="002676B3"/>
    <w:rsid w:val="002677ED"/>
    <w:rsid w:val="002679D1"/>
    <w:rsid w:val="0027113B"/>
    <w:rsid w:val="00271484"/>
    <w:rsid w:val="002714BE"/>
    <w:rsid w:val="00271878"/>
    <w:rsid w:val="002719B2"/>
    <w:rsid w:val="00271B26"/>
    <w:rsid w:val="00271C66"/>
    <w:rsid w:val="00271F68"/>
    <w:rsid w:val="00271F84"/>
    <w:rsid w:val="00272444"/>
    <w:rsid w:val="00272A92"/>
    <w:rsid w:val="00272DC4"/>
    <w:rsid w:val="00272EFB"/>
    <w:rsid w:val="00272F85"/>
    <w:rsid w:val="00273279"/>
    <w:rsid w:val="00273375"/>
    <w:rsid w:val="00273453"/>
    <w:rsid w:val="00273AF4"/>
    <w:rsid w:val="00273E10"/>
    <w:rsid w:val="00273FC9"/>
    <w:rsid w:val="0027436B"/>
    <w:rsid w:val="00274BC5"/>
    <w:rsid w:val="00274CB0"/>
    <w:rsid w:val="00274E96"/>
    <w:rsid w:val="002751B1"/>
    <w:rsid w:val="0027537C"/>
    <w:rsid w:val="002757CF"/>
    <w:rsid w:val="00275ADE"/>
    <w:rsid w:val="00275E5C"/>
    <w:rsid w:val="00276F75"/>
    <w:rsid w:val="00277077"/>
    <w:rsid w:val="0027712B"/>
    <w:rsid w:val="00277C95"/>
    <w:rsid w:val="00277EBE"/>
    <w:rsid w:val="00277FD0"/>
    <w:rsid w:val="00280360"/>
    <w:rsid w:val="00280A78"/>
    <w:rsid w:val="00280FCC"/>
    <w:rsid w:val="0028112B"/>
    <w:rsid w:val="00281244"/>
    <w:rsid w:val="00281286"/>
    <w:rsid w:val="002814E1"/>
    <w:rsid w:val="00281A26"/>
    <w:rsid w:val="00281A8A"/>
    <w:rsid w:val="00281AE3"/>
    <w:rsid w:val="0028200C"/>
    <w:rsid w:val="00282206"/>
    <w:rsid w:val="0028290E"/>
    <w:rsid w:val="00283463"/>
    <w:rsid w:val="00283BFE"/>
    <w:rsid w:val="00283C6C"/>
    <w:rsid w:val="0028440A"/>
    <w:rsid w:val="00284C53"/>
    <w:rsid w:val="00284DC9"/>
    <w:rsid w:val="00285508"/>
    <w:rsid w:val="0028581D"/>
    <w:rsid w:val="002859C4"/>
    <w:rsid w:val="002859DE"/>
    <w:rsid w:val="00285CF2"/>
    <w:rsid w:val="00286201"/>
    <w:rsid w:val="0028633B"/>
    <w:rsid w:val="0028640E"/>
    <w:rsid w:val="0028640F"/>
    <w:rsid w:val="00286415"/>
    <w:rsid w:val="00286625"/>
    <w:rsid w:val="002867C2"/>
    <w:rsid w:val="00286808"/>
    <w:rsid w:val="00286C96"/>
    <w:rsid w:val="002872AA"/>
    <w:rsid w:val="0028749C"/>
    <w:rsid w:val="0028783A"/>
    <w:rsid w:val="00287E38"/>
    <w:rsid w:val="00290DFA"/>
    <w:rsid w:val="00290E26"/>
    <w:rsid w:val="00291042"/>
    <w:rsid w:val="0029127B"/>
    <w:rsid w:val="002914EC"/>
    <w:rsid w:val="002917FA"/>
    <w:rsid w:val="0029184E"/>
    <w:rsid w:val="00291DB6"/>
    <w:rsid w:val="002920B3"/>
    <w:rsid w:val="0029240B"/>
    <w:rsid w:val="002924AB"/>
    <w:rsid w:val="00292558"/>
    <w:rsid w:val="002925CB"/>
    <w:rsid w:val="002925F0"/>
    <w:rsid w:val="00292613"/>
    <w:rsid w:val="0029264B"/>
    <w:rsid w:val="002927E1"/>
    <w:rsid w:val="00292E73"/>
    <w:rsid w:val="00292FB0"/>
    <w:rsid w:val="0029359F"/>
    <w:rsid w:val="002935B2"/>
    <w:rsid w:val="00293855"/>
    <w:rsid w:val="00293A2A"/>
    <w:rsid w:val="00293AA9"/>
    <w:rsid w:val="00293B09"/>
    <w:rsid w:val="00293D70"/>
    <w:rsid w:val="002943ED"/>
    <w:rsid w:val="002949A1"/>
    <w:rsid w:val="00294C53"/>
    <w:rsid w:val="00294E15"/>
    <w:rsid w:val="00294E79"/>
    <w:rsid w:val="00295034"/>
    <w:rsid w:val="0029560C"/>
    <w:rsid w:val="00295CF0"/>
    <w:rsid w:val="00296CBC"/>
    <w:rsid w:val="00296D0C"/>
    <w:rsid w:val="002970F4"/>
    <w:rsid w:val="002975DE"/>
    <w:rsid w:val="00297784"/>
    <w:rsid w:val="002A007A"/>
    <w:rsid w:val="002A0478"/>
    <w:rsid w:val="002A058A"/>
    <w:rsid w:val="002A0853"/>
    <w:rsid w:val="002A08EC"/>
    <w:rsid w:val="002A0D6B"/>
    <w:rsid w:val="002A1486"/>
    <w:rsid w:val="002A16D4"/>
    <w:rsid w:val="002A183F"/>
    <w:rsid w:val="002A1B75"/>
    <w:rsid w:val="002A1E5D"/>
    <w:rsid w:val="002A2018"/>
    <w:rsid w:val="002A286D"/>
    <w:rsid w:val="002A2B52"/>
    <w:rsid w:val="002A2BF3"/>
    <w:rsid w:val="002A2CA0"/>
    <w:rsid w:val="002A32E1"/>
    <w:rsid w:val="002A34F7"/>
    <w:rsid w:val="002A3708"/>
    <w:rsid w:val="002A3ECE"/>
    <w:rsid w:val="002A3FE2"/>
    <w:rsid w:val="002A42C0"/>
    <w:rsid w:val="002A43E5"/>
    <w:rsid w:val="002A44D4"/>
    <w:rsid w:val="002A4B5C"/>
    <w:rsid w:val="002A51E2"/>
    <w:rsid w:val="002A51EA"/>
    <w:rsid w:val="002A538F"/>
    <w:rsid w:val="002A65E3"/>
    <w:rsid w:val="002A6695"/>
    <w:rsid w:val="002A68BA"/>
    <w:rsid w:val="002A6FC0"/>
    <w:rsid w:val="002A7402"/>
    <w:rsid w:val="002A750B"/>
    <w:rsid w:val="002A7731"/>
    <w:rsid w:val="002A7E47"/>
    <w:rsid w:val="002A7E4F"/>
    <w:rsid w:val="002B0950"/>
    <w:rsid w:val="002B0B44"/>
    <w:rsid w:val="002B1D66"/>
    <w:rsid w:val="002B2049"/>
    <w:rsid w:val="002B2186"/>
    <w:rsid w:val="002B226F"/>
    <w:rsid w:val="002B2DB1"/>
    <w:rsid w:val="002B2F10"/>
    <w:rsid w:val="002B2F99"/>
    <w:rsid w:val="002B3352"/>
    <w:rsid w:val="002B43AA"/>
    <w:rsid w:val="002B4436"/>
    <w:rsid w:val="002B47BE"/>
    <w:rsid w:val="002B4981"/>
    <w:rsid w:val="002B4ED5"/>
    <w:rsid w:val="002B50B8"/>
    <w:rsid w:val="002B528B"/>
    <w:rsid w:val="002B54DC"/>
    <w:rsid w:val="002B560D"/>
    <w:rsid w:val="002B586A"/>
    <w:rsid w:val="002B59DD"/>
    <w:rsid w:val="002B5E04"/>
    <w:rsid w:val="002B6A05"/>
    <w:rsid w:val="002B6B06"/>
    <w:rsid w:val="002B6EF2"/>
    <w:rsid w:val="002B6F7D"/>
    <w:rsid w:val="002B7127"/>
    <w:rsid w:val="002B7AD5"/>
    <w:rsid w:val="002B7CCC"/>
    <w:rsid w:val="002C0DDA"/>
    <w:rsid w:val="002C0F58"/>
    <w:rsid w:val="002C1270"/>
    <w:rsid w:val="002C1289"/>
    <w:rsid w:val="002C1339"/>
    <w:rsid w:val="002C1345"/>
    <w:rsid w:val="002C1994"/>
    <w:rsid w:val="002C19FE"/>
    <w:rsid w:val="002C1C97"/>
    <w:rsid w:val="002C1F90"/>
    <w:rsid w:val="002C23A6"/>
    <w:rsid w:val="002C24A8"/>
    <w:rsid w:val="002C29E6"/>
    <w:rsid w:val="002C2D84"/>
    <w:rsid w:val="002C30DC"/>
    <w:rsid w:val="002C32C6"/>
    <w:rsid w:val="002C417F"/>
    <w:rsid w:val="002C4676"/>
    <w:rsid w:val="002C4B1F"/>
    <w:rsid w:val="002C4C2A"/>
    <w:rsid w:val="002C50F3"/>
    <w:rsid w:val="002C57DD"/>
    <w:rsid w:val="002C5E25"/>
    <w:rsid w:val="002C6243"/>
    <w:rsid w:val="002C6A5E"/>
    <w:rsid w:val="002C72A4"/>
    <w:rsid w:val="002C7965"/>
    <w:rsid w:val="002C7A46"/>
    <w:rsid w:val="002D02FF"/>
    <w:rsid w:val="002D047B"/>
    <w:rsid w:val="002D0596"/>
    <w:rsid w:val="002D0A00"/>
    <w:rsid w:val="002D0A86"/>
    <w:rsid w:val="002D0C79"/>
    <w:rsid w:val="002D0F8E"/>
    <w:rsid w:val="002D10C6"/>
    <w:rsid w:val="002D1169"/>
    <w:rsid w:val="002D1DE7"/>
    <w:rsid w:val="002D2A73"/>
    <w:rsid w:val="002D2FD9"/>
    <w:rsid w:val="002D3062"/>
    <w:rsid w:val="002D318B"/>
    <w:rsid w:val="002D3441"/>
    <w:rsid w:val="002D3C9B"/>
    <w:rsid w:val="002D3E12"/>
    <w:rsid w:val="002D4049"/>
    <w:rsid w:val="002D42D6"/>
    <w:rsid w:val="002D45A3"/>
    <w:rsid w:val="002D45C3"/>
    <w:rsid w:val="002D477F"/>
    <w:rsid w:val="002D49E8"/>
    <w:rsid w:val="002D5106"/>
    <w:rsid w:val="002D51E9"/>
    <w:rsid w:val="002D5582"/>
    <w:rsid w:val="002D60B6"/>
    <w:rsid w:val="002D6662"/>
    <w:rsid w:val="002D6C6C"/>
    <w:rsid w:val="002D72C3"/>
    <w:rsid w:val="002D7379"/>
    <w:rsid w:val="002D79EC"/>
    <w:rsid w:val="002D7AB2"/>
    <w:rsid w:val="002D7EC9"/>
    <w:rsid w:val="002E0B8B"/>
    <w:rsid w:val="002E0D38"/>
    <w:rsid w:val="002E0F4F"/>
    <w:rsid w:val="002E0FCC"/>
    <w:rsid w:val="002E12D1"/>
    <w:rsid w:val="002E12EA"/>
    <w:rsid w:val="002E132F"/>
    <w:rsid w:val="002E17FC"/>
    <w:rsid w:val="002E1D16"/>
    <w:rsid w:val="002E2194"/>
    <w:rsid w:val="002E25FD"/>
    <w:rsid w:val="002E263E"/>
    <w:rsid w:val="002E2F64"/>
    <w:rsid w:val="002E330F"/>
    <w:rsid w:val="002E3F66"/>
    <w:rsid w:val="002E45DC"/>
    <w:rsid w:val="002E490E"/>
    <w:rsid w:val="002E4ADA"/>
    <w:rsid w:val="002E4B55"/>
    <w:rsid w:val="002E4F11"/>
    <w:rsid w:val="002E509B"/>
    <w:rsid w:val="002E50A2"/>
    <w:rsid w:val="002E553E"/>
    <w:rsid w:val="002E5738"/>
    <w:rsid w:val="002E5BE8"/>
    <w:rsid w:val="002E5E40"/>
    <w:rsid w:val="002E683D"/>
    <w:rsid w:val="002E6D01"/>
    <w:rsid w:val="002E6DD2"/>
    <w:rsid w:val="002E6DEA"/>
    <w:rsid w:val="002E751E"/>
    <w:rsid w:val="002E7544"/>
    <w:rsid w:val="002E7A4C"/>
    <w:rsid w:val="002E7BA6"/>
    <w:rsid w:val="002E7C2F"/>
    <w:rsid w:val="002F08E5"/>
    <w:rsid w:val="002F140D"/>
    <w:rsid w:val="002F1699"/>
    <w:rsid w:val="002F19B8"/>
    <w:rsid w:val="002F1B06"/>
    <w:rsid w:val="002F1CC0"/>
    <w:rsid w:val="002F1DCD"/>
    <w:rsid w:val="002F1E46"/>
    <w:rsid w:val="002F2026"/>
    <w:rsid w:val="002F22D0"/>
    <w:rsid w:val="002F2391"/>
    <w:rsid w:val="002F2399"/>
    <w:rsid w:val="002F23D6"/>
    <w:rsid w:val="002F2A9E"/>
    <w:rsid w:val="002F2BB7"/>
    <w:rsid w:val="002F30D0"/>
    <w:rsid w:val="002F3330"/>
    <w:rsid w:val="002F3522"/>
    <w:rsid w:val="002F397A"/>
    <w:rsid w:val="002F3A43"/>
    <w:rsid w:val="002F3C20"/>
    <w:rsid w:val="002F3E1A"/>
    <w:rsid w:val="002F444B"/>
    <w:rsid w:val="002F4BA3"/>
    <w:rsid w:val="002F4CA0"/>
    <w:rsid w:val="002F5020"/>
    <w:rsid w:val="002F52AF"/>
    <w:rsid w:val="002F5753"/>
    <w:rsid w:val="002F575D"/>
    <w:rsid w:val="002F5C21"/>
    <w:rsid w:val="002F5CC5"/>
    <w:rsid w:val="002F6118"/>
    <w:rsid w:val="002F615B"/>
    <w:rsid w:val="002F6165"/>
    <w:rsid w:val="002F68D9"/>
    <w:rsid w:val="002F6D5A"/>
    <w:rsid w:val="002F6DC6"/>
    <w:rsid w:val="002F6F3D"/>
    <w:rsid w:val="002F7B3D"/>
    <w:rsid w:val="002F7BFD"/>
    <w:rsid w:val="002F7E27"/>
    <w:rsid w:val="00300092"/>
    <w:rsid w:val="0030038C"/>
    <w:rsid w:val="00300446"/>
    <w:rsid w:val="003005B3"/>
    <w:rsid w:val="003005FC"/>
    <w:rsid w:val="00300704"/>
    <w:rsid w:val="00301395"/>
    <w:rsid w:val="003018B7"/>
    <w:rsid w:val="0030196D"/>
    <w:rsid w:val="00301A39"/>
    <w:rsid w:val="00301DB6"/>
    <w:rsid w:val="00302339"/>
    <w:rsid w:val="003028D1"/>
    <w:rsid w:val="00302AD8"/>
    <w:rsid w:val="00302C9B"/>
    <w:rsid w:val="00302E9D"/>
    <w:rsid w:val="00302F08"/>
    <w:rsid w:val="00303217"/>
    <w:rsid w:val="00303233"/>
    <w:rsid w:val="00303234"/>
    <w:rsid w:val="00303542"/>
    <w:rsid w:val="00303639"/>
    <w:rsid w:val="00303BA6"/>
    <w:rsid w:val="00303C7E"/>
    <w:rsid w:val="00303DE2"/>
    <w:rsid w:val="003041BB"/>
    <w:rsid w:val="0030423C"/>
    <w:rsid w:val="003044B4"/>
    <w:rsid w:val="003047A9"/>
    <w:rsid w:val="00305448"/>
    <w:rsid w:val="003054C5"/>
    <w:rsid w:val="0030552B"/>
    <w:rsid w:val="00305653"/>
    <w:rsid w:val="00305B9F"/>
    <w:rsid w:val="00305D7D"/>
    <w:rsid w:val="00305DE4"/>
    <w:rsid w:val="00305E28"/>
    <w:rsid w:val="00305EAC"/>
    <w:rsid w:val="00306FB5"/>
    <w:rsid w:val="00306FE2"/>
    <w:rsid w:val="00307023"/>
    <w:rsid w:val="003070D1"/>
    <w:rsid w:val="0030775D"/>
    <w:rsid w:val="00307825"/>
    <w:rsid w:val="00310354"/>
    <w:rsid w:val="00310866"/>
    <w:rsid w:val="00310CAE"/>
    <w:rsid w:val="00310EE9"/>
    <w:rsid w:val="0031104A"/>
    <w:rsid w:val="00311172"/>
    <w:rsid w:val="003114A0"/>
    <w:rsid w:val="00311786"/>
    <w:rsid w:val="00311F64"/>
    <w:rsid w:val="003127AC"/>
    <w:rsid w:val="0031281E"/>
    <w:rsid w:val="0031290D"/>
    <w:rsid w:val="0031297D"/>
    <w:rsid w:val="00312AEF"/>
    <w:rsid w:val="00313776"/>
    <w:rsid w:val="003141A8"/>
    <w:rsid w:val="0031466B"/>
    <w:rsid w:val="003148B4"/>
    <w:rsid w:val="003148F8"/>
    <w:rsid w:val="00314EB6"/>
    <w:rsid w:val="00315F39"/>
    <w:rsid w:val="003161DB"/>
    <w:rsid w:val="003165BA"/>
    <w:rsid w:val="00316697"/>
    <w:rsid w:val="003168BB"/>
    <w:rsid w:val="00316EF5"/>
    <w:rsid w:val="0031777B"/>
    <w:rsid w:val="00317955"/>
    <w:rsid w:val="00317A03"/>
    <w:rsid w:val="00317DCB"/>
    <w:rsid w:val="003205BC"/>
    <w:rsid w:val="00320DF6"/>
    <w:rsid w:val="00320F59"/>
    <w:rsid w:val="00321153"/>
    <w:rsid w:val="003212A6"/>
    <w:rsid w:val="00321F74"/>
    <w:rsid w:val="0032249E"/>
    <w:rsid w:val="003229E0"/>
    <w:rsid w:val="003230FD"/>
    <w:rsid w:val="003242D0"/>
    <w:rsid w:val="00324709"/>
    <w:rsid w:val="00324721"/>
    <w:rsid w:val="003247C4"/>
    <w:rsid w:val="0032492A"/>
    <w:rsid w:val="00324A1D"/>
    <w:rsid w:val="00324C14"/>
    <w:rsid w:val="00324F3C"/>
    <w:rsid w:val="00325166"/>
    <w:rsid w:val="00325207"/>
    <w:rsid w:val="003255D4"/>
    <w:rsid w:val="00325BCA"/>
    <w:rsid w:val="0032603E"/>
    <w:rsid w:val="00326770"/>
    <w:rsid w:val="00327146"/>
    <w:rsid w:val="0032720F"/>
    <w:rsid w:val="003279A2"/>
    <w:rsid w:val="0033051D"/>
    <w:rsid w:val="00330835"/>
    <w:rsid w:val="00330B64"/>
    <w:rsid w:val="00330CFB"/>
    <w:rsid w:val="00330CFF"/>
    <w:rsid w:val="00330DE6"/>
    <w:rsid w:val="00331015"/>
    <w:rsid w:val="003313A8"/>
    <w:rsid w:val="0033188B"/>
    <w:rsid w:val="00331B99"/>
    <w:rsid w:val="00332430"/>
    <w:rsid w:val="00332447"/>
    <w:rsid w:val="003326C0"/>
    <w:rsid w:val="003327D8"/>
    <w:rsid w:val="00332971"/>
    <w:rsid w:val="00333238"/>
    <w:rsid w:val="003336ED"/>
    <w:rsid w:val="0033372E"/>
    <w:rsid w:val="00333AB2"/>
    <w:rsid w:val="003341A3"/>
    <w:rsid w:val="00334427"/>
    <w:rsid w:val="00334473"/>
    <w:rsid w:val="00334A1D"/>
    <w:rsid w:val="00334F5E"/>
    <w:rsid w:val="003354C5"/>
    <w:rsid w:val="003354C6"/>
    <w:rsid w:val="00335A2E"/>
    <w:rsid w:val="00336402"/>
    <w:rsid w:val="003368E8"/>
    <w:rsid w:val="00336A21"/>
    <w:rsid w:val="00336C17"/>
    <w:rsid w:val="00336D57"/>
    <w:rsid w:val="00337291"/>
    <w:rsid w:val="0033795B"/>
    <w:rsid w:val="00337BA3"/>
    <w:rsid w:val="00337D44"/>
    <w:rsid w:val="00337EC0"/>
    <w:rsid w:val="00340321"/>
    <w:rsid w:val="0034032E"/>
    <w:rsid w:val="00340ACE"/>
    <w:rsid w:val="00340F3E"/>
    <w:rsid w:val="00340FAD"/>
    <w:rsid w:val="00341110"/>
    <w:rsid w:val="003417AD"/>
    <w:rsid w:val="003418CA"/>
    <w:rsid w:val="00341E22"/>
    <w:rsid w:val="00341E2C"/>
    <w:rsid w:val="003423C7"/>
    <w:rsid w:val="003424D6"/>
    <w:rsid w:val="003428CE"/>
    <w:rsid w:val="00342934"/>
    <w:rsid w:val="00343D63"/>
    <w:rsid w:val="003440E9"/>
    <w:rsid w:val="0034421D"/>
    <w:rsid w:val="0034452F"/>
    <w:rsid w:val="00344BF7"/>
    <w:rsid w:val="00344C14"/>
    <w:rsid w:val="00345059"/>
    <w:rsid w:val="003451C5"/>
    <w:rsid w:val="003451CA"/>
    <w:rsid w:val="00345335"/>
    <w:rsid w:val="00345CE0"/>
    <w:rsid w:val="00345D5C"/>
    <w:rsid w:val="00345F88"/>
    <w:rsid w:val="00346247"/>
    <w:rsid w:val="0034631C"/>
    <w:rsid w:val="003471D2"/>
    <w:rsid w:val="003473D8"/>
    <w:rsid w:val="003474CF"/>
    <w:rsid w:val="00347944"/>
    <w:rsid w:val="00347BD6"/>
    <w:rsid w:val="00347EAC"/>
    <w:rsid w:val="00350365"/>
    <w:rsid w:val="0035037B"/>
    <w:rsid w:val="003506E2"/>
    <w:rsid w:val="00350716"/>
    <w:rsid w:val="00350907"/>
    <w:rsid w:val="00350B41"/>
    <w:rsid w:val="00350C5D"/>
    <w:rsid w:val="00351254"/>
    <w:rsid w:val="00351674"/>
    <w:rsid w:val="00351BE3"/>
    <w:rsid w:val="00351DA5"/>
    <w:rsid w:val="00351F5A"/>
    <w:rsid w:val="003524A6"/>
    <w:rsid w:val="003525FA"/>
    <w:rsid w:val="00352940"/>
    <w:rsid w:val="00352B79"/>
    <w:rsid w:val="00352BC4"/>
    <w:rsid w:val="00352E13"/>
    <w:rsid w:val="003533BB"/>
    <w:rsid w:val="003533CD"/>
    <w:rsid w:val="003537D8"/>
    <w:rsid w:val="00353811"/>
    <w:rsid w:val="00353891"/>
    <w:rsid w:val="00353A35"/>
    <w:rsid w:val="0035458C"/>
    <w:rsid w:val="00354693"/>
    <w:rsid w:val="003546BA"/>
    <w:rsid w:val="0035517D"/>
    <w:rsid w:val="0035553E"/>
    <w:rsid w:val="00355643"/>
    <w:rsid w:val="00355807"/>
    <w:rsid w:val="003559FC"/>
    <w:rsid w:val="0035618D"/>
    <w:rsid w:val="00356552"/>
    <w:rsid w:val="003567D2"/>
    <w:rsid w:val="003568F7"/>
    <w:rsid w:val="00356E55"/>
    <w:rsid w:val="00356E74"/>
    <w:rsid w:val="0035737B"/>
    <w:rsid w:val="003574B5"/>
    <w:rsid w:val="003578BA"/>
    <w:rsid w:val="00357DC6"/>
    <w:rsid w:val="003603F5"/>
    <w:rsid w:val="003607D8"/>
    <w:rsid w:val="0036085D"/>
    <w:rsid w:val="003609DE"/>
    <w:rsid w:val="00360D70"/>
    <w:rsid w:val="0036112A"/>
    <w:rsid w:val="00361C71"/>
    <w:rsid w:val="00361CA7"/>
    <w:rsid w:val="00361CE8"/>
    <w:rsid w:val="00361F7C"/>
    <w:rsid w:val="003630CE"/>
    <w:rsid w:val="00363427"/>
    <w:rsid w:val="00363819"/>
    <w:rsid w:val="00363DEA"/>
    <w:rsid w:val="00363EC5"/>
    <w:rsid w:val="003643AB"/>
    <w:rsid w:val="00364844"/>
    <w:rsid w:val="0036570E"/>
    <w:rsid w:val="00365FF8"/>
    <w:rsid w:val="003662A8"/>
    <w:rsid w:val="003666C1"/>
    <w:rsid w:val="003669DA"/>
    <w:rsid w:val="00366BAA"/>
    <w:rsid w:val="00366BAC"/>
    <w:rsid w:val="00366BE6"/>
    <w:rsid w:val="00366E32"/>
    <w:rsid w:val="00367179"/>
    <w:rsid w:val="003675F6"/>
    <w:rsid w:val="00367EF8"/>
    <w:rsid w:val="003702B7"/>
    <w:rsid w:val="00370577"/>
    <w:rsid w:val="003706A9"/>
    <w:rsid w:val="00371185"/>
    <w:rsid w:val="003717EA"/>
    <w:rsid w:val="00371F78"/>
    <w:rsid w:val="003720E9"/>
    <w:rsid w:val="00372138"/>
    <w:rsid w:val="0037269B"/>
    <w:rsid w:val="0037316A"/>
    <w:rsid w:val="003731AD"/>
    <w:rsid w:val="00373A3E"/>
    <w:rsid w:val="00373B4F"/>
    <w:rsid w:val="00373C40"/>
    <w:rsid w:val="003742A0"/>
    <w:rsid w:val="003744E4"/>
    <w:rsid w:val="003745F5"/>
    <w:rsid w:val="003747C0"/>
    <w:rsid w:val="00374AA7"/>
    <w:rsid w:val="00374AC8"/>
    <w:rsid w:val="00374BE0"/>
    <w:rsid w:val="00375763"/>
    <w:rsid w:val="0037591D"/>
    <w:rsid w:val="00375CFB"/>
    <w:rsid w:val="00375D8B"/>
    <w:rsid w:val="00375FC0"/>
    <w:rsid w:val="00376178"/>
    <w:rsid w:val="003765DF"/>
    <w:rsid w:val="00376860"/>
    <w:rsid w:val="00376951"/>
    <w:rsid w:val="0037696A"/>
    <w:rsid w:val="00376B2C"/>
    <w:rsid w:val="00376C2C"/>
    <w:rsid w:val="00376F37"/>
    <w:rsid w:val="0037774D"/>
    <w:rsid w:val="00377AE9"/>
    <w:rsid w:val="00377B0E"/>
    <w:rsid w:val="00377EFA"/>
    <w:rsid w:val="00377F24"/>
    <w:rsid w:val="00380217"/>
    <w:rsid w:val="003802BA"/>
    <w:rsid w:val="003809BC"/>
    <w:rsid w:val="00380C7C"/>
    <w:rsid w:val="00381432"/>
    <w:rsid w:val="0038194B"/>
    <w:rsid w:val="00381B6C"/>
    <w:rsid w:val="00381B76"/>
    <w:rsid w:val="00381E62"/>
    <w:rsid w:val="00382711"/>
    <w:rsid w:val="00382999"/>
    <w:rsid w:val="00382EFA"/>
    <w:rsid w:val="00383111"/>
    <w:rsid w:val="00383A82"/>
    <w:rsid w:val="0038414B"/>
    <w:rsid w:val="003842C7"/>
    <w:rsid w:val="003845E0"/>
    <w:rsid w:val="00384ADA"/>
    <w:rsid w:val="00384CC8"/>
    <w:rsid w:val="003850DA"/>
    <w:rsid w:val="003851E0"/>
    <w:rsid w:val="003854BF"/>
    <w:rsid w:val="00385671"/>
    <w:rsid w:val="0038574F"/>
    <w:rsid w:val="00385824"/>
    <w:rsid w:val="003869BD"/>
    <w:rsid w:val="00386CCB"/>
    <w:rsid w:val="00386F4D"/>
    <w:rsid w:val="00387589"/>
    <w:rsid w:val="00390974"/>
    <w:rsid w:val="00391F02"/>
    <w:rsid w:val="003922EE"/>
    <w:rsid w:val="003929F3"/>
    <w:rsid w:val="00392E5B"/>
    <w:rsid w:val="00393519"/>
    <w:rsid w:val="0039382B"/>
    <w:rsid w:val="00393837"/>
    <w:rsid w:val="00393E07"/>
    <w:rsid w:val="00393F63"/>
    <w:rsid w:val="00394148"/>
    <w:rsid w:val="0039416B"/>
    <w:rsid w:val="0039459A"/>
    <w:rsid w:val="00394928"/>
    <w:rsid w:val="00394986"/>
    <w:rsid w:val="00394BC7"/>
    <w:rsid w:val="00394F6A"/>
    <w:rsid w:val="00395831"/>
    <w:rsid w:val="00395922"/>
    <w:rsid w:val="00395B63"/>
    <w:rsid w:val="00395D68"/>
    <w:rsid w:val="00395FB9"/>
    <w:rsid w:val="00396A54"/>
    <w:rsid w:val="00396B80"/>
    <w:rsid w:val="00396C25"/>
    <w:rsid w:val="0039724A"/>
    <w:rsid w:val="003975FF"/>
    <w:rsid w:val="00397699"/>
    <w:rsid w:val="00397999"/>
    <w:rsid w:val="00397F28"/>
    <w:rsid w:val="003A0094"/>
    <w:rsid w:val="003A078F"/>
    <w:rsid w:val="003A0A98"/>
    <w:rsid w:val="003A14D9"/>
    <w:rsid w:val="003A154E"/>
    <w:rsid w:val="003A18D0"/>
    <w:rsid w:val="003A221E"/>
    <w:rsid w:val="003A2387"/>
    <w:rsid w:val="003A2617"/>
    <w:rsid w:val="003A26A2"/>
    <w:rsid w:val="003A2825"/>
    <w:rsid w:val="003A2E76"/>
    <w:rsid w:val="003A34B5"/>
    <w:rsid w:val="003A3A40"/>
    <w:rsid w:val="003A3F48"/>
    <w:rsid w:val="003A40EC"/>
    <w:rsid w:val="003A46C4"/>
    <w:rsid w:val="003A4DDE"/>
    <w:rsid w:val="003A5200"/>
    <w:rsid w:val="003A537C"/>
    <w:rsid w:val="003A592B"/>
    <w:rsid w:val="003A598A"/>
    <w:rsid w:val="003A5B33"/>
    <w:rsid w:val="003A5BB0"/>
    <w:rsid w:val="003A630E"/>
    <w:rsid w:val="003A6421"/>
    <w:rsid w:val="003A65A7"/>
    <w:rsid w:val="003A6FD0"/>
    <w:rsid w:val="003A71F0"/>
    <w:rsid w:val="003A7608"/>
    <w:rsid w:val="003A7BEE"/>
    <w:rsid w:val="003A7D2D"/>
    <w:rsid w:val="003B014C"/>
    <w:rsid w:val="003B035B"/>
    <w:rsid w:val="003B037B"/>
    <w:rsid w:val="003B06D2"/>
    <w:rsid w:val="003B0773"/>
    <w:rsid w:val="003B078C"/>
    <w:rsid w:val="003B0C08"/>
    <w:rsid w:val="003B135C"/>
    <w:rsid w:val="003B196C"/>
    <w:rsid w:val="003B1DC6"/>
    <w:rsid w:val="003B241C"/>
    <w:rsid w:val="003B25C0"/>
    <w:rsid w:val="003B2BB8"/>
    <w:rsid w:val="003B3842"/>
    <w:rsid w:val="003B4547"/>
    <w:rsid w:val="003B4DA6"/>
    <w:rsid w:val="003B606B"/>
    <w:rsid w:val="003B637C"/>
    <w:rsid w:val="003B6A3E"/>
    <w:rsid w:val="003B6D7F"/>
    <w:rsid w:val="003B7267"/>
    <w:rsid w:val="003B76F1"/>
    <w:rsid w:val="003B7835"/>
    <w:rsid w:val="003C032D"/>
    <w:rsid w:val="003C043F"/>
    <w:rsid w:val="003C0836"/>
    <w:rsid w:val="003C0BA7"/>
    <w:rsid w:val="003C0D97"/>
    <w:rsid w:val="003C102B"/>
    <w:rsid w:val="003C1C00"/>
    <w:rsid w:val="003C1DAB"/>
    <w:rsid w:val="003C1FF1"/>
    <w:rsid w:val="003C2537"/>
    <w:rsid w:val="003C2A89"/>
    <w:rsid w:val="003C3647"/>
    <w:rsid w:val="003C379F"/>
    <w:rsid w:val="003C37A6"/>
    <w:rsid w:val="003C3831"/>
    <w:rsid w:val="003C4869"/>
    <w:rsid w:val="003C4925"/>
    <w:rsid w:val="003C4C7D"/>
    <w:rsid w:val="003C4D36"/>
    <w:rsid w:val="003C4D5F"/>
    <w:rsid w:val="003C5D4E"/>
    <w:rsid w:val="003C63FB"/>
    <w:rsid w:val="003C646D"/>
    <w:rsid w:val="003C6506"/>
    <w:rsid w:val="003C66DC"/>
    <w:rsid w:val="003C719A"/>
    <w:rsid w:val="003C754D"/>
    <w:rsid w:val="003C785A"/>
    <w:rsid w:val="003C7B45"/>
    <w:rsid w:val="003C7D93"/>
    <w:rsid w:val="003D04DE"/>
    <w:rsid w:val="003D04F9"/>
    <w:rsid w:val="003D075A"/>
    <w:rsid w:val="003D0BFE"/>
    <w:rsid w:val="003D0D6D"/>
    <w:rsid w:val="003D12CE"/>
    <w:rsid w:val="003D1315"/>
    <w:rsid w:val="003D14CC"/>
    <w:rsid w:val="003D17BA"/>
    <w:rsid w:val="003D1909"/>
    <w:rsid w:val="003D1B54"/>
    <w:rsid w:val="003D217D"/>
    <w:rsid w:val="003D2337"/>
    <w:rsid w:val="003D26A3"/>
    <w:rsid w:val="003D2B87"/>
    <w:rsid w:val="003D2F9D"/>
    <w:rsid w:val="003D34FF"/>
    <w:rsid w:val="003D3A45"/>
    <w:rsid w:val="003D3A4A"/>
    <w:rsid w:val="003D416C"/>
    <w:rsid w:val="003D4A44"/>
    <w:rsid w:val="003D4A71"/>
    <w:rsid w:val="003D4DE0"/>
    <w:rsid w:val="003D4F83"/>
    <w:rsid w:val="003D55AA"/>
    <w:rsid w:val="003D591E"/>
    <w:rsid w:val="003D5A59"/>
    <w:rsid w:val="003D5F16"/>
    <w:rsid w:val="003D670F"/>
    <w:rsid w:val="003D690F"/>
    <w:rsid w:val="003D6A08"/>
    <w:rsid w:val="003D6E36"/>
    <w:rsid w:val="003D6F8C"/>
    <w:rsid w:val="003D7447"/>
    <w:rsid w:val="003D7499"/>
    <w:rsid w:val="003D77FF"/>
    <w:rsid w:val="003D79F8"/>
    <w:rsid w:val="003D7CAF"/>
    <w:rsid w:val="003D7F69"/>
    <w:rsid w:val="003E0212"/>
    <w:rsid w:val="003E0A44"/>
    <w:rsid w:val="003E16EF"/>
    <w:rsid w:val="003E177A"/>
    <w:rsid w:val="003E1CFA"/>
    <w:rsid w:val="003E20EE"/>
    <w:rsid w:val="003E21C2"/>
    <w:rsid w:val="003E3119"/>
    <w:rsid w:val="003E336F"/>
    <w:rsid w:val="003E360A"/>
    <w:rsid w:val="003E365F"/>
    <w:rsid w:val="003E3D74"/>
    <w:rsid w:val="003E442E"/>
    <w:rsid w:val="003E4A60"/>
    <w:rsid w:val="003E4C85"/>
    <w:rsid w:val="003E4C94"/>
    <w:rsid w:val="003E542D"/>
    <w:rsid w:val="003E5D09"/>
    <w:rsid w:val="003E5E20"/>
    <w:rsid w:val="003E61A4"/>
    <w:rsid w:val="003E6BC3"/>
    <w:rsid w:val="003E6D4F"/>
    <w:rsid w:val="003E6E5B"/>
    <w:rsid w:val="003E7BAC"/>
    <w:rsid w:val="003E7C05"/>
    <w:rsid w:val="003E7E51"/>
    <w:rsid w:val="003F0155"/>
    <w:rsid w:val="003F06A7"/>
    <w:rsid w:val="003F0B17"/>
    <w:rsid w:val="003F0F16"/>
    <w:rsid w:val="003F120F"/>
    <w:rsid w:val="003F14AB"/>
    <w:rsid w:val="003F17CB"/>
    <w:rsid w:val="003F1A0D"/>
    <w:rsid w:val="003F2306"/>
    <w:rsid w:val="003F283C"/>
    <w:rsid w:val="003F2F5A"/>
    <w:rsid w:val="003F3175"/>
    <w:rsid w:val="003F33DB"/>
    <w:rsid w:val="003F340C"/>
    <w:rsid w:val="003F355E"/>
    <w:rsid w:val="003F3606"/>
    <w:rsid w:val="003F3CA8"/>
    <w:rsid w:val="003F3E50"/>
    <w:rsid w:val="003F43E1"/>
    <w:rsid w:val="003F498A"/>
    <w:rsid w:val="003F55A0"/>
    <w:rsid w:val="003F55F4"/>
    <w:rsid w:val="003F59A2"/>
    <w:rsid w:val="003F5ABB"/>
    <w:rsid w:val="003F5C27"/>
    <w:rsid w:val="003F5C3E"/>
    <w:rsid w:val="003F6A3D"/>
    <w:rsid w:val="003F7E18"/>
    <w:rsid w:val="00400060"/>
    <w:rsid w:val="0040048F"/>
    <w:rsid w:val="00400575"/>
    <w:rsid w:val="004005B9"/>
    <w:rsid w:val="00400769"/>
    <w:rsid w:val="00400A9C"/>
    <w:rsid w:val="00401080"/>
    <w:rsid w:val="0040135F"/>
    <w:rsid w:val="004017EE"/>
    <w:rsid w:val="00401981"/>
    <w:rsid w:val="0040198B"/>
    <w:rsid w:val="00402524"/>
    <w:rsid w:val="00402756"/>
    <w:rsid w:val="004028E8"/>
    <w:rsid w:val="0040299D"/>
    <w:rsid w:val="00402BD0"/>
    <w:rsid w:val="00402C7D"/>
    <w:rsid w:val="00402C85"/>
    <w:rsid w:val="00402E6A"/>
    <w:rsid w:val="0040345A"/>
    <w:rsid w:val="00403873"/>
    <w:rsid w:val="00403B1D"/>
    <w:rsid w:val="00403B95"/>
    <w:rsid w:val="00404792"/>
    <w:rsid w:val="0040584D"/>
    <w:rsid w:val="00405D90"/>
    <w:rsid w:val="00405F28"/>
    <w:rsid w:val="00405FE0"/>
    <w:rsid w:val="00406140"/>
    <w:rsid w:val="00406261"/>
    <w:rsid w:val="00406279"/>
    <w:rsid w:val="004062CD"/>
    <w:rsid w:val="004072A7"/>
    <w:rsid w:val="00407B34"/>
    <w:rsid w:val="00410F50"/>
    <w:rsid w:val="004111B0"/>
    <w:rsid w:val="0041151B"/>
    <w:rsid w:val="00411E6E"/>
    <w:rsid w:val="00412097"/>
    <w:rsid w:val="004124C0"/>
    <w:rsid w:val="00412974"/>
    <w:rsid w:val="00412A3C"/>
    <w:rsid w:val="00412C04"/>
    <w:rsid w:val="00412FBA"/>
    <w:rsid w:val="00413128"/>
    <w:rsid w:val="0041318C"/>
    <w:rsid w:val="004134EA"/>
    <w:rsid w:val="00413BB6"/>
    <w:rsid w:val="00414144"/>
    <w:rsid w:val="00414284"/>
    <w:rsid w:val="004144C5"/>
    <w:rsid w:val="0041500D"/>
    <w:rsid w:val="00415246"/>
    <w:rsid w:val="00415310"/>
    <w:rsid w:val="00415395"/>
    <w:rsid w:val="004153D9"/>
    <w:rsid w:val="0041548C"/>
    <w:rsid w:val="004154BD"/>
    <w:rsid w:val="00415644"/>
    <w:rsid w:val="0041565C"/>
    <w:rsid w:val="00415B67"/>
    <w:rsid w:val="00415F0A"/>
    <w:rsid w:val="004163EB"/>
    <w:rsid w:val="00416549"/>
    <w:rsid w:val="0041661F"/>
    <w:rsid w:val="00416BC2"/>
    <w:rsid w:val="00416EAE"/>
    <w:rsid w:val="00416EF6"/>
    <w:rsid w:val="0041706A"/>
    <w:rsid w:val="00417BA9"/>
    <w:rsid w:val="0042000D"/>
    <w:rsid w:val="004204FE"/>
    <w:rsid w:val="004207F6"/>
    <w:rsid w:val="00420B56"/>
    <w:rsid w:val="00420C76"/>
    <w:rsid w:val="004212CE"/>
    <w:rsid w:val="0042155B"/>
    <w:rsid w:val="00421850"/>
    <w:rsid w:val="00422495"/>
    <w:rsid w:val="00422C1D"/>
    <w:rsid w:val="00423077"/>
    <w:rsid w:val="004230C7"/>
    <w:rsid w:val="00423116"/>
    <w:rsid w:val="00423567"/>
    <w:rsid w:val="004239C5"/>
    <w:rsid w:val="00423CDB"/>
    <w:rsid w:val="00423EEB"/>
    <w:rsid w:val="004240EB"/>
    <w:rsid w:val="0042432B"/>
    <w:rsid w:val="00424536"/>
    <w:rsid w:val="004247AF"/>
    <w:rsid w:val="0042496E"/>
    <w:rsid w:val="00424A20"/>
    <w:rsid w:val="00424EC3"/>
    <w:rsid w:val="0042509D"/>
    <w:rsid w:val="00425207"/>
    <w:rsid w:val="0042547C"/>
    <w:rsid w:val="00425E86"/>
    <w:rsid w:val="00426138"/>
    <w:rsid w:val="004269D8"/>
    <w:rsid w:val="00426A19"/>
    <w:rsid w:val="00426DF2"/>
    <w:rsid w:val="00426F2E"/>
    <w:rsid w:val="004274A3"/>
    <w:rsid w:val="00427607"/>
    <w:rsid w:val="0042768E"/>
    <w:rsid w:val="004278B1"/>
    <w:rsid w:val="00427D3B"/>
    <w:rsid w:val="00427F7C"/>
    <w:rsid w:val="0043000C"/>
    <w:rsid w:val="00430784"/>
    <w:rsid w:val="00430894"/>
    <w:rsid w:val="00430905"/>
    <w:rsid w:val="004309BE"/>
    <w:rsid w:val="00430AC5"/>
    <w:rsid w:val="004316E0"/>
    <w:rsid w:val="004318D8"/>
    <w:rsid w:val="00431B64"/>
    <w:rsid w:val="00431DF6"/>
    <w:rsid w:val="0043216B"/>
    <w:rsid w:val="0043225F"/>
    <w:rsid w:val="004328B0"/>
    <w:rsid w:val="00432DF7"/>
    <w:rsid w:val="00433982"/>
    <w:rsid w:val="00433C07"/>
    <w:rsid w:val="00433CA0"/>
    <w:rsid w:val="00433D76"/>
    <w:rsid w:val="0043450A"/>
    <w:rsid w:val="00435495"/>
    <w:rsid w:val="004354E9"/>
    <w:rsid w:val="0043584E"/>
    <w:rsid w:val="004358C8"/>
    <w:rsid w:val="00435B78"/>
    <w:rsid w:val="00435DA4"/>
    <w:rsid w:val="00435E2A"/>
    <w:rsid w:val="00436257"/>
    <w:rsid w:val="0043639F"/>
    <w:rsid w:val="00436940"/>
    <w:rsid w:val="00436A8D"/>
    <w:rsid w:val="00436B22"/>
    <w:rsid w:val="00436C30"/>
    <w:rsid w:val="00436C60"/>
    <w:rsid w:val="00436CEB"/>
    <w:rsid w:val="00436F0F"/>
    <w:rsid w:val="004373AB"/>
    <w:rsid w:val="00437963"/>
    <w:rsid w:val="00440557"/>
    <w:rsid w:val="004408D4"/>
    <w:rsid w:val="00440916"/>
    <w:rsid w:val="00440D83"/>
    <w:rsid w:val="00441AD1"/>
    <w:rsid w:val="00441CDD"/>
    <w:rsid w:val="004422C2"/>
    <w:rsid w:val="00442576"/>
    <w:rsid w:val="00442937"/>
    <w:rsid w:val="00442954"/>
    <w:rsid w:val="00442F18"/>
    <w:rsid w:val="00444075"/>
    <w:rsid w:val="00444524"/>
    <w:rsid w:val="00444907"/>
    <w:rsid w:val="00444932"/>
    <w:rsid w:val="00444AAB"/>
    <w:rsid w:val="00444B87"/>
    <w:rsid w:val="00444DA4"/>
    <w:rsid w:val="00444E32"/>
    <w:rsid w:val="004457F0"/>
    <w:rsid w:val="00445C65"/>
    <w:rsid w:val="00445CEE"/>
    <w:rsid w:val="00445D1F"/>
    <w:rsid w:val="004460EE"/>
    <w:rsid w:val="0044670C"/>
    <w:rsid w:val="00446F16"/>
    <w:rsid w:val="00447114"/>
    <w:rsid w:val="00447AB3"/>
    <w:rsid w:val="00447C53"/>
    <w:rsid w:val="0045062D"/>
    <w:rsid w:val="00450EB0"/>
    <w:rsid w:val="00450ECE"/>
    <w:rsid w:val="004510A5"/>
    <w:rsid w:val="00451311"/>
    <w:rsid w:val="004513CF"/>
    <w:rsid w:val="0045151D"/>
    <w:rsid w:val="00451DA6"/>
    <w:rsid w:val="00451FE0"/>
    <w:rsid w:val="004521AF"/>
    <w:rsid w:val="0045278F"/>
    <w:rsid w:val="0045300D"/>
    <w:rsid w:val="004538BB"/>
    <w:rsid w:val="00453B37"/>
    <w:rsid w:val="00454361"/>
    <w:rsid w:val="00454783"/>
    <w:rsid w:val="0045481F"/>
    <w:rsid w:val="00454B14"/>
    <w:rsid w:val="00454C23"/>
    <w:rsid w:val="00454F14"/>
    <w:rsid w:val="00455001"/>
    <w:rsid w:val="0045558E"/>
    <w:rsid w:val="004558D5"/>
    <w:rsid w:val="00455D5A"/>
    <w:rsid w:val="0045620B"/>
    <w:rsid w:val="00456BA2"/>
    <w:rsid w:val="00456D0E"/>
    <w:rsid w:val="004579CB"/>
    <w:rsid w:val="00457AA6"/>
    <w:rsid w:val="00460172"/>
    <w:rsid w:val="0046031A"/>
    <w:rsid w:val="00460426"/>
    <w:rsid w:val="0046063B"/>
    <w:rsid w:val="00460995"/>
    <w:rsid w:val="00460A8E"/>
    <w:rsid w:val="00460F29"/>
    <w:rsid w:val="004610E9"/>
    <w:rsid w:val="0046187B"/>
    <w:rsid w:val="00461EAC"/>
    <w:rsid w:val="00462236"/>
    <w:rsid w:val="0046232E"/>
    <w:rsid w:val="004624B7"/>
    <w:rsid w:val="004624F8"/>
    <w:rsid w:val="00462AE4"/>
    <w:rsid w:val="00462EFE"/>
    <w:rsid w:val="00463015"/>
    <w:rsid w:val="004639F7"/>
    <w:rsid w:val="00463C6E"/>
    <w:rsid w:val="00463E33"/>
    <w:rsid w:val="00463EEA"/>
    <w:rsid w:val="004641F8"/>
    <w:rsid w:val="00464528"/>
    <w:rsid w:val="00464575"/>
    <w:rsid w:val="004645AF"/>
    <w:rsid w:val="00464650"/>
    <w:rsid w:val="0046493B"/>
    <w:rsid w:val="00464CB6"/>
    <w:rsid w:val="00464EBA"/>
    <w:rsid w:val="00465295"/>
    <w:rsid w:val="004654AF"/>
    <w:rsid w:val="00465561"/>
    <w:rsid w:val="004656D3"/>
    <w:rsid w:val="00466344"/>
    <w:rsid w:val="004667D0"/>
    <w:rsid w:val="00466F75"/>
    <w:rsid w:val="00467BE2"/>
    <w:rsid w:val="00470758"/>
    <w:rsid w:val="00470995"/>
    <w:rsid w:val="00470E21"/>
    <w:rsid w:val="004713F5"/>
    <w:rsid w:val="00471A3F"/>
    <w:rsid w:val="00471E84"/>
    <w:rsid w:val="0047206E"/>
    <w:rsid w:val="00472099"/>
    <w:rsid w:val="0047246E"/>
    <w:rsid w:val="00473050"/>
    <w:rsid w:val="004739B9"/>
    <w:rsid w:val="00473A38"/>
    <w:rsid w:val="00473BAB"/>
    <w:rsid w:val="0047409E"/>
    <w:rsid w:val="004741C2"/>
    <w:rsid w:val="00474303"/>
    <w:rsid w:val="00475BD0"/>
    <w:rsid w:val="00475D36"/>
    <w:rsid w:val="00475F4C"/>
    <w:rsid w:val="00475F77"/>
    <w:rsid w:val="00476255"/>
    <w:rsid w:val="0047659B"/>
    <w:rsid w:val="00476A57"/>
    <w:rsid w:val="00476B45"/>
    <w:rsid w:val="00476CEB"/>
    <w:rsid w:val="00476D2A"/>
    <w:rsid w:val="00477047"/>
    <w:rsid w:val="004776E1"/>
    <w:rsid w:val="00477827"/>
    <w:rsid w:val="00477955"/>
    <w:rsid w:val="00477AAA"/>
    <w:rsid w:val="00480134"/>
    <w:rsid w:val="00480624"/>
    <w:rsid w:val="0048076E"/>
    <w:rsid w:val="004808DC"/>
    <w:rsid w:val="00481046"/>
    <w:rsid w:val="00481201"/>
    <w:rsid w:val="00481336"/>
    <w:rsid w:val="004813C3"/>
    <w:rsid w:val="004818DA"/>
    <w:rsid w:val="0048205E"/>
    <w:rsid w:val="0048263B"/>
    <w:rsid w:val="00482FA0"/>
    <w:rsid w:val="004831D8"/>
    <w:rsid w:val="00483801"/>
    <w:rsid w:val="00483DA4"/>
    <w:rsid w:val="004843D8"/>
    <w:rsid w:val="004850EA"/>
    <w:rsid w:val="0048539F"/>
    <w:rsid w:val="00485724"/>
    <w:rsid w:val="0048586F"/>
    <w:rsid w:val="00486594"/>
    <w:rsid w:val="0048678C"/>
    <w:rsid w:val="0048682C"/>
    <w:rsid w:val="00486869"/>
    <w:rsid w:val="004868D6"/>
    <w:rsid w:val="00486CC4"/>
    <w:rsid w:val="00487107"/>
    <w:rsid w:val="004872CB"/>
    <w:rsid w:val="004873EB"/>
    <w:rsid w:val="00487E8E"/>
    <w:rsid w:val="00487FF1"/>
    <w:rsid w:val="00490113"/>
    <w:rsid w:val="004903D4"/>
    <w:rsid w:val="00490419"/>
    <w:rsid w:val="0049091F"/>
    <w:rsid w:val="00490C80"/>
    <w:rsid w:val="00490DF1"/>
    <w:rsid w:val="00491034"/>
    <w:rsid w:val="004911E7"/>
    <w:rsid w:val="0049131B"/>
    <w:rsid w:val="00492155"/>
    <w:rsid w:val="00492F78"/>
    <w:rsid w:val="00493085"/>
    <w:rsid w:val="004931D6"/>
    <w:rsid w:val="00493C46"/>
    <w:rsid w:val="00493F40"/>
    <w:rsid w:val="00494644"/>
    <w:rsid w:val="00494743"/>
    <w:rsid w:val="00494AE3"/>
    <w:rsid w:val="0049506A"/>
    <w:rsid w:val="00495208"/>
    <w:rsid w:val="004958EB"/>
    <w:rsid w:val="004958FC"/>
    <w:rsid w:val="00495F6F"/>
    <w:rsid w:val="00496263"/>
    <w:rsid w:val="004962F1"/>
    <w:rsid w:val="00496B97"/>
    <w:rsid w:val="00496C78"/>
    <w:rsid w:val="00496C93"/>
    <w:rsid w:val="00496EDD"/>
    <w:rsid w:val="00496FC7"/>
    <w:rsid w:val="00497259"/>
    <w:rsid w:val="004979E4"/>
    <w:rsid w:val="00497AB8"/>
    <w:rsid w:val="00497B35"/>
    <w:rsid w:val="00497C40"/>
    <w:rsid w:val="004A00A8"/>
    <w:rsid w:val="004A03DA"/>
    <w:rsid w:val="004A060F"/>
    <w:rsid w:val="004A07A3"/>
    <w:rsid w:val="004A083D"/>
    <w:rsid w:val="004A0A20"/>
    <w:rsid w:val="004A19BE"/>
    <w:rsid w:val="004A2924"/>
    <w:rsid w:val="004A31C9"/>
    <w:rsid w:val="004A3562"/>
    <w:rsid w:val="004A3642"/>
    <w:rsid w:val="004A3B3A"/>
    <w:rsid w:val="004A3FC0"/>
    <w:rsid w:val="004A46F0"/>
    <w:rsid w:val="004A47D8"/>
    <w:rsid w:val="004A4A09"/>
    <w:rsid w:val="004A4CD9"/>
    <w:rsid w:val="004A4F6D"/>
    <w:rsid w:val="004A583A"/>
    <w:rsid w:val="004A6012"/>
    <w:rsid w:val="004A6183"/>
    <w:rsid w:val="004A6342"/>
    <w:rsid w:val="004A64B3"/>
    <w:rsid w:val="004A64D3"/>
    <w:rsid w:val="004A6616"/>
    <w:rsid w:val="004A6C6A"/>
    <w:rsid w:val="004A6DE5"/>
    <w:rsid w:val="004A6FE0"/>
    <w:rsid w:val="004A719A"/>
    <w:rsid w:val="004A75F3"/>
    <w:rsid w:val="004A7633"/>
    <w:rsid w:val="004A779D"/>
    <w:rsid w:val="004A7B26"/>
    <w:rsid w:val="004B0846"/>
    <w:rsid w:val="004B0E9C"/>
    <w:rsid w:val="004B14F2"/>
    <w:rsid w:val="004B1DFB"/>
    <w:rsid w:val="004B1F19"/>
    <w:rsid w:val="004B2696"/>
    <w:rsid w:val="004B278D"/>
    <w:rsid w:val="004B28BF"/>
    <w:rsid w:val="004B298A"/>
    <w:rsid w:val="004B2A57"/>
    <w:rsid w:val="004B2E16"/>
    <w:rsid w:val="004B3396"/>
    <w:rsid w:val="004B3CA1"/>
    <w:rsid w:val="004B3F1F"/>
    <w:rsid w:val="004B4699"/>
    <w:rsid w:val="004B4C80"/>
    <w:rsid w:val="004B50E0"/>
    <w:rsid w:val="004B54CA"/>
    <w:rsid w:val="004B560A"/>
    <w:rsid w:val="004B5CFA"/>
    <w:rsid w:val="004B6A5B"/>
    <w:rsid w:val="004B721D"/>
    <w:rsid w:val="004B78E9"/>
    <w:rsid w:val="004B79D9"/>
    <w:rsid w:val="004B7B85"/>
    <w:rsid w:val="004C003D"/>
    <w:rsid w:val="004C00FF"/>
    <w:rsid w:val="004C06EF"/>
    <w:rsid w:val="004C0812"/>
    <w:rsid w:val="004C0F4A"/>
    <w:rsid w:val="004C16BD"/>
    <w:rsid w:val="004C18DF"/>
    <w:rsid w:val="004C18E1"/>
    <w:rsid w:val="004C2361"/>
    <w:rsid w:val="004C2523"/>
    <w:rsid w:val="004C2BAA"/>
    <w:rsid w:val="004C3765"/>
    <w:rsid w:val="004C3CF2"/>
    <w:rsid w:val="004C3E0D"/>
    <w:rsid w:val="004C3E84"/>
    <w:rsid w:val="004C4480"/>
    <w:rsid w:val="004C4595"/>
    <w:rsid w:val="004C46CD"/>
    <w:rsid w:val="004C47F1"/>
    <w:rsid w:val="004C4A0D"/>
    <w:rsid w:val="004C5163"/>
    <w:rsid w:val="004C55F7"/>
    <w:rsid w:val="004C56F6"/>
    <w:rsid w:val="004C581A"/>
    <w:rsid w:val="004C587E"/>
    <w:rsid w:val="004C6013"/>
    <w:rsid w:val="004C6018"/>
    <w:rsid w:val="004C66CD"/>
    <w:rsid w:val="004C6A08"/>
    <w:rsid w:val="004C6A28"/>
    <w:rsid w:val="004C6C4C"/>
    <w:rsid w:val="004C6CE6"/>
    <w:rsid w:val="004C753A"/>
    <w:rsid w:val="004C7831"/>
    <w:rsid w:val="004C799E"/>
    <w:rsid w:val="004C7D29"/>
    <w:rsid w:val="004D0063"/>
    <w:rsid w:val="004D02F4"/>
    <w:rsid w:val="004D0416"/>
    <w:rsid w:val="004D042A"/>
    <w:rsid w:val="004D0783"/>
    <w:rsid w:val="004D104D"/>
    <w:rsid w:val="004D1082"/>
    <w:rsid w:val="004D11D8"/>
    <w:rsid w:val="004D12CF"/>
    <w:rsid w:val="004D1493"/>
    <w:rsid w:val="004D14BB"/>
    <w:rsid w:val="004D155E"/>
    <w:rsid w:val="004D15E8"/>
    <w:rsid w:val="004D203D"/>
    <w:rsid w:val="004D213D"/>
    <w:rsid w:val="004D2931"/>
    <w:rsid w:val="004D3097"/>
    <w:rsid w:val="004D324A"/>
    <w:rsid w:val="004D3499"/>
    <w:rsid w:val="004D36FD"/>
    <w:rsid w:val="004D4022"/>
    <w:rsid w:val="004D42E3"/>
    <w:rsid w:val="004D4497"/>
    <w:rsid w:val="004D449B"/>
    <w:rsid w:val="004D44A8"/>
    <w:rsid w:val="004D5186"/>
    <w:rsid w:val="004D5474"/>
    <w:rsid w:val="004D5F82"/>
    <w:rsid w:val="004D6002"/>
    <w:rsid w:val="004D681C"/>
    <w:rsid w:val="004D6BF5"/>
    <w:rsid w:val="004D72BB"/>
    <w:rsid w:val="004D7A31"/>
    <w:rsid w:val="004D7AD7"/>
    <w:rsid w:val="004D7B72"/>
    <w:rsid w:val="004D7C44"/>
    <w:rsid w:val="004D7D11"/>
    <w:rsid w:val="004D7D33"/>
    <w:rsid w:val="004E0069"/>
    <w:rsid w:val="004E040D"/>
    <w:rsid w:val="004E094B"/>
    <w:rsid w:val="004E0B92"/>
    <w:rsid w:val="004E0D21"/>
    <w:rsid w:val="004E0FA1"/>
    <w:rsid w:val="004E1ACA"/>
    <w:rsid w:val="004E21A2"/>
    <w:rsid w:val="004E2AE9"/>
    <w:rsid w:val="004E2FAC"/>
    <w:rsid w:val="004E35D0"/>
    <w:rsid w:val="004E367F"/>
    <w:rsid w:val="004E3C78"/>
    <w:rsid w:val="004E3E6A"/>
    <w:rsid w:val="004E3F83"/>
    <w:rsid w:val="004E41E8"/>
    <w:rsid w:val="004E44E4"/>
    <w:rsid w:val="004E476E"/>
    <w:rsid w:val="004E4E8B"/>
    <w:rsid w:val="004E4FB2"/>
    <w:rsid w:val="004E5596"/>
    <w:rsid w:val="004E55B5"/>
    <w:rsid w:val="004E5640"/>
    <w:rsid w:val="004E5CBF"/>
    <w:rsid w:val="004E5E0A"/>
    <w:rsid w:val="004E684A"/>
    <w:rsid w:val="004E6CB5"/>
    <w:rsid w:val="004E6CD9"/>
    <w:rsid w:val="004E6E42"/>
    <w:rsid w:val="004E7058"/>
    <w:rsid w:val="004E7501"/>
    <w:rsid w:val="004E7942"/>
    <w:rsid w:val="004F0078"/>
    <w:rsid w:val="004F04A8"/>
    <w:rsid w:val="004F0956"/>
    <w:rsid w:val="004F09C0"/>
    <w:rsid w:val="004F11CB"/>
    <w:rsid w:val="004F12F8"/>
    <w:rsid w:val="004F1467"/>
    <w:rsid w:val="004F1552"/>
    <w:rsid w:val="004F1ACE"/>
    <w:rsid w:val="004F1B33"/>
    <w:rsid w:val="004F1E16"/>
    <w:rsid w:val="004F1EC0"/>
    <w:rsid w:val="004F248C"/>
    <w:rsid w:val="004F29E2"/>
    <w:rsid w:val="004F2A68"/>
    <w:rsid w:val="004F2EB8"/>
    <w:rsid w:val="004F3A90"/>
    <w:rsid w:val="004F425A"/>
    <w:rsid w:val="004F43E2"/>
    <w:rsid w:val="004F46B4"/>
    <w:rsid w:val="004F4A4D"/>
    <w:rsid w:val="004F57E9"/>
    <w:rsid w:val="004F5A64"/>
    <w:rsid w:val="004F5C01"/>
    <w:rsid w:val="004F5FA5"/>
    <w:rsid w:val="004F6A9A"/>
    <w:rsid w:val="004F715A"/>
    <w:rsid w:val="004F7298"/>
    <w:rsid w:val="004F74AA"/>
    <w:rsid w:val="005002AB"/>
    <w:rsid w:val="005003D1"/>
    <w:rsid w:val="005007A1"/>
    <w:rsid w:val="00500AEC"/>
    <w:rsid w:val="00500C6B"/>
    <w:rsid w:val="00500E40"/>
    <w:rsid w:val="00500F12"/>
    <w:rsid w:val="005014CA"/>
    <w:rsid w:val="00501772"/>
    <w:rsid w:val="005017D5"/>
    <w:rsid w:val="00501A9E"/>
    <w:rsid w:val="00501AD8"/>
    <w:rsid w:val="00501E7A"/>
    <w:rsid w:val="005025B9"/>
    <w:rsid w:val="005025C1"/>
    <w:rsid w:val="00502804"/>
    <w:rsid w:val="00502885"/>
    <w:rsid w:val="0050298B"/>
    <w:rsid w:val="00502A53"/>
    <w:rsid w:val="00502DD6"/>
    <w:rsid w:val="00503342"/>
    <w:rsid w:val="005038F3"/>
    <w:rsid w:val="00503932"/>
    <w:rsid w:val="00503AE5"/>
    <w:rsid w:val="00503BAB"/>
    <w:rsid w:val="00503BF6"/>
    <w:rsid w:val="00503D2E"/>
    <w:rsid w:val="00504111"/>
    <w:rsid w:val="00504A8E"/>
    <w:rsid w:val="0050524C"/>
    <w:rsid w:val="005054CA"/>
    <w:rsid w:val="00505526"/>
    <w:rsid w:val="0050627D"/>
    <w:rsid w:val="0050630C"/>
    <w:rsid w:val="00506813"/>
    <w:rsid w:val="0050737F"/>
    <w:rsid w:val="005076B2"/>
    <w:rsid w:val="00507B07"/>
    <w:rsid w:val="00507F74"/>
    <w:rsid w:val="0051004C"/>
    <w:rsid w:val="005106E3"/>
    <w:rsid w:val="005107D4"/>
    <w:rsid w:val="005109B7"/>
    <w:rsid w:val="00510ED1"/>
    <w:rsid w:val="005111A2"/>
    <w:rsid w:val="005114DB"/>
    <w:rsid w:val="005115E0"/>
    <w:rsid w:val="005117D9"/>
    <w:rsid w:val="005118B5"/>
    <w:rsid w:val="00511DC0"/>
    <w:rsid w:val="00511FF5"/>
    <w:rsid w:val="005120A4"/>
    <w:rsid w:val="0051243A"/>
    <w:rsid w:val="00512C5E"/>
    <w:rsid w:val="00512D6E"/>
    <w:rsid w:val="0051404A"/>
    <w:rsid w:val="005141E0"/>
    <w:rsid w:val="00514511"/>
    <w:rsid w:val="005147AA"/>
    <w:rsid w:val="00515889"/>
    <w:rsid w:val="00515A2C"/>
    <w:rsid w:val="00515B9B"/>
    <w:rsid w:val="00515E14"/>
    <w:rsid w:val="00516CC1"/>
    <w:rsid w:val="00516EEB"/>
    <w:rsid w:val="005174F9"/>
    <w:rsid w:val="00517550"/>
    <w:rsid w:val="005175DB"/>
    <w:rsid w:val="00517A78"/>
    <w:rsid w:val="00517A7A"/>
    <w:rsid w:val="00517D50"/>
    <w:rsid w:val="00520029"/>
    <w:rsid w:val="00520153"/>
    <w:rsid w:val="005202D0"/>
    <w:rsid w:val="00520806"/>
    <w:rsid w:val="00520A89"/>
    <w:rsid w:val="005227AD"/>
    <w:rsid w:val="00523394"/>
    <w:rsid w:val="00523522"/>
    <w:rsid w:val="00523C23"/>
    <w:rsid w:val="00523C94"/>
    <w:rsid w:val="00523CD6"/>
    <w:rsid w:val="0052400F"/>
    <w:rsid w:val="0052412E"/>
    <w:rsid w:val="005244FA"/>
    <w:rsid w:val="00524DF1"/>
    <w:rsid w:val="00525024"/>
    <w:rsid w:val="00525ACD"/>
    <w:rsid w:val="00525B63"/>
    <w:rsid w:val="00525BB2"/>
    <w:rsid w:val="00526299"/>
    <w:rsid w:val="00526382"/>
    <w:rsid w:val="00526485"/>
    <w:rsid w:val="0052777A"/>
    <w:rsid w:val="005278A6"/>
    <w:rsid w:val="00531155"/>
    <w:rsid w:val="0053139A"/>
    <w:rsid w:val="005318DE"/>
    <w:rsid w:val="00531A83"/>
    <w:rsid w:val="0053247A"/>
    <w:rsid w:val="00532EDA"/>
    <w:rsid w:val="0053394F"/>
    <w:rsid w:val="0053399A"/>
    <w:rsid w:val="005339B0"/>
    <w:rsid w:val="00533D18"/>
    <w:rsid w:val="00533D86"/>
    <w:rsid w:val="00533E47"/>
    <w:rsid w:val="00533FB6"/>
    <w:rsid w:val="005341C6"/>
    <w:rsid w:val="00534983"/>
    <w:rsid w:val="005349B9"/>
    <w:rsid w:val="005349C1"/>
    <w:rsid w:val="00534B1A"/>
    <w:rsid w:val="00534C95"/>
    <w:rsid w:val="00534CF7"/>
    <w:rsid w:val="0053561F"/>
    <w:rsid w:val="00535CB1"/>
    <w:rsid w:val="00536638"/>
    <w:rsid w:val="0053676D"/>
    <w:rsid w:val="00536878"/>
    <w:rsid w:val="005373E2"/>
    <w:rsid w:val="0053784A"/>
    <w:rsid w:val="00537A6B"/>
    <w:rsid w:val="0054039E"/>
    <w:rsid w:val="00540859"/>
    <w:rsid w:val="00540908"/>
    <w:rsid w:val="0054105C"/>
    <w:rsid w:val="0054115B"/>
    <w:rsid w:val="005416F3"/>
    <w:rsid w:val="00541926"/>
    <w:rsid w:val="00541B3A"/>
    <w:rsid w:val="00541CA6"/>
    <w:rsid w:val="00541CEA"/>
    <w:rsid w:val="00541E93"/>
    <w:rsid w:val="00542025"/>
    <w:rsid w:val="00542266"/>
    <w:rsid w:val="00542342"/>
    <w:rsid w:val="00542866"/>
    <w:rsid w:val="005428F2"/>
    <w:rsid w:val="0054324D"/>
    <w:rsid w:val="005435A9"/>
    <w:rsid w:val="00543C27"/>
    <w:rsid w:val="00544118"/>
    <w:rsid w:val="005443A1"/>
    <w:rsid w:val="00544874"/>
    <w:rsid w:val="005448EC"/>
    <w:rsid w:val="00544C54"/>
    <w:rsid w:val="00544DF6"/>
    <w:rsid w:val="00544F2B"/>
    <w:rsid w:val="005456DD"/>
    <w:rsid w:val="00545737"/>
    <w:rsid w:val="00545AB5"/>
    <w:rsid w:val="00545F4D"/>
    <w:rsid w:val="00546616"/>
    <w:rsid w:val="00546D4F"/>
    <w:rsid w:val="00546E07"/>
    <w:rsid w:val="00547371"/>
    <w:rsid w:val="005473C3"/>
    <w:rsid w:val="00547918"/>
    <w:rsid w:val="00547AEB"/>
    <w:rsid w:val="00547F21"/>
    <w:rsid w:val="00550037"/>
    <w:rsid w:val="005501AC"/>
    <w:rsid w:val="00550A05"/>
    <w:rsid w:val="00550D3D"/>
    <w:rsid w:val="0055126A"/>
    <w:rsid w:val="0055149F"/>
    <w:rsid w:val="00551847"/>
    <w:rsid w:val="00551D94"/>
    <w:rsid w:val="00551DAE"/>
    <w:rsid w:val="00552FEB"/>
    <w:rsid w:val="0055336D"/>
    <w:rsid w:val="005537E1"/>
    <w:rsid w:val="00553963"/>
    <w:rsid w:val="00553C56"/>
    <w:rsid w:val="00553D49"/>
    <w:rsid w:val="00553F84"/>
    <w:rsid w:val="00554159"/>
    <w:rsid w:val="00554748"/>
    <w:rsid w:val="005548D6"/>
    <w:rsid w:val="00555026"/>
    <w:rsid w:val="005553DD"/>
    <w:rsid w:val="005555C6"/>
    <w:rsid w:val="00555676"/>
    <w:rsid w:val="0055571F"/>
    <w:rsid w:val="00555ADB"/>
    <w:rsid w:val="00555CB9"/>
    <w:rsid w:val="00555CDA"/>
    <w:rsid w:val="00555DE5"/>
    <w:rsid w:val="00555E1D"/>
    <w:rsid w:val="00555E6F"/>
    <w:rsid w:val="00556155"/>
    <w:rsid w:val="00556DD1"/>
    <w:rsid w:val="00556E78"/>
    <w:rsid w:val="00557BF6"/>
    <w:rsid w:val="00557C45"/>
    <w:rsid w:val="00560197"/>
    <w:rsid w:val="0056114E"/>
    <w:rsid w:val="005612D0"/>
    <w:rsid w:val="0056145F"/>
    <w:rsid w:val="00561547"/>
    <w:rsid w:val="0056183B"/>
    <w:rsid w:val="00561B68"/>
    <w:rsid w:val="00561F6F"/>
    <w:rsid w:val="00562AF8"/>
    <w:rsid w:val="00562F2F"/>
    <w:rsid w:val="0056309C"/>
    <w:rsid w:val="005635A0"/>
    <w:rsid w:val="00563A00"/>
    <w:rsid w:val="00563D3C"/>
    <w:rsid w:val="00563EB9"/>
    <w:rsid w:val="00564229"/>
    <w:rsid w:val="00564426"/>
    <w:rsid w:val="00564F14"/>
    <w:rsid w:val="00565A8A"/>
    <w:rsid w:val="00565CEA"/>
    <w:rsid w:val="00565DE7"/>
    <w:rsid w:val="00566309"/>
    <w:rsid w:val="005669D5"/>
    <w:rsid w:val="00566F1D"/>
    <w:rsid w:val="005671DC"/>
    <w:rsid w:val="005674F9"/>
    <w:rsid w:val="005676D7"/>
    <w:rsid w:val="005700BE"/>
    <w:rsid w:val="00570254"/>
    <w:rsid w:val="005702DE"/>
    <w:rsid w:val="00570362"/>
    <w:rsid w:val="00570721"/>
    <w:rsid w:val="00570947"/>
    <w:rsid w:val="00570B87"/>
    <w:rsid w:val="00570E78"/>
    <w:rsid w:val="00571028"/>
    <w:rsid w:val="00571053"/>
    <w:rsid w:val="0057177E"/>
    <w:rsid w:val="00571B0D"/>
    <w:rsid w:val="00571CFD"/>
    <w:rsid w:val="00571E04"/>
    <w:rsid w:val="00572140"/>
    <w:rsid w:val="005721BC"/>
    <w:rsid w:val="00572295"/>
    <w:rsid w:val="00572B0D"/>
    <w:rsid w:val="00572B82"/>
    <w:rsid w:val="00572DE9"/>
    <w:rsid w:val="00572F8B"/>
    <w:rsid w:val="005730A8"/>
    <w:rsid w:val="005730DB"/>
    <w:rsid w:val="00573487"/>
    <w:rsid w:val="005734C0"/>
    <w:rsid w:val="0057372B"/>
    <w:rsid w:val="00573753"/>
    <w:rsid w:val="00573944"/>
    <w:rsid w:val="00573F11"/>
    <w:rsid w:val="00573FEF"/>
    <w:rsid w:val="0057426A"/>
    <w:rsid w:val="0057436B"/>
    <w:rsid w:val="00574781"/>
    <w:rsid w:val="005747FC"/>
    <w:rsid w:val="00574938"/>
    <w:rsid w:val="0057502F"/>
    <w:rsid w:val="005751D7"/>
    <w:rsid w:val="005754F8"/>
    <w:rsid w:val="005756CE"/>
    <w:rsid w:val="00575815"/>
    <w:rsid w:val="00575E43"/>
    <w:rsid w:val="00576011"/>
    <w:rsid w:val="0057621A"/>
    <w:rsid w:val="00576526"/>
    <w:rsid w:val="00576677"/>
    <w:rsid w:val="005766E3"/>
    <w:rsid w:val="00576846"/>
    <w:rsid w:val="00576BF5"/>
    <w:rsid w:val="00577506"/>
    <w:rsid w:val="00577BAE"/>
    <w:rsid w:val="00577BDA"/>
    <w:rsid w:val="005809A1"/>
    <w:rsid w:val="00580A8F"/>
    <w:rsid w:val="00580BF3"/>
    <w:rsid w:val="00580FFE"/>
    <w:rsid w:val="00581F2D"/>
    <w:rsid w:val="00581F98"/>
    <w:rsid w:val="00582170"/>
    <w:rsid w:val="005821D8"/>
    <w:rsid w:val="00582260"/>
    <w:rsid w:val="005822B0"/>
    <w:rsid w:val="00582401"/>
    <w:rsid w:val="00582711"/>
    <w:rsid w:val="0058321C"/>
    <w:rsid w:val="00583348"/>
    <w:rsid w:val="005833EA"/>
    <w:rsid w:val="005835E0"/>
    <w:rsid w:val="00583B01"/>
    <w:rsid w:val="0058411B"/>
    <w:rsid w:val="005843DB"/>
    <w:rsid w:val="00584485"/>
    <w:rsid w:val="0058448D"/>
    <w:rsid w:val="00584A46"/>
    <w:rsid w:val="00584B3A"/>
    <w:rsid w:val="00585C10"/>
    <w:rsid w:val="00586288"/>
    <w:rsid w:val="0058696C"/>
    <w:rsid w:val="005869D4"/>
    <w:rsid w:val="005903EA"/>
    <w:rsid w:val="005907F4"/>
    <w:rsid w:val="00591548"/>
    <w:rsid w:val="00591901"/>
    <w:rsid w:val="00591E69"/>
    <w:rsid w:val="0059210B"/>
    <w:rsid w:val="00592567"/>
    <w:rsid w:val="00592908"/>
    <w:rsid w:val="00593566"/>
    <w:rsid w:val="00593DC8"/>
    <w:rsid w:val="0059422D"/>
    <w:rsid w:val="00594918"/>
    <w:rsid w:val="00595282"/>
    <w:rsid w:val="00595697"/>
    <w:rsid w:val="00595871"/>
    <w:rsid w:val="005967D2"/>
    <w:rsid w:val="00596810"/>
    <w:rsid w:val="0059685D"/>
    <w:rsid w:val="00596EE5"/>
    <w:rsid w:val="005975DB"/>
    <w:rsid w:val="005978FD"/>
    <w:rsid w:val="00597AA0"/>
    <w:rsid w:val="00597C87"/>
    <w:rsid w:val="00597C9C"/>
    <w:rsid w:val="00597F53"/>
    <w:rsid w:val="005A023D"/>
    <w:rsid w:val="005A0264"/>
    <w:rsid w:val="005A0B5C"/>
    <w:rsid w:val="005A0BAA"/>
    <w:rsid w:val="005A115E"/>
    <w:rsid w:val="005A14B5"/>
    <w:rsid w:val="005A243A"/>
    <w:rsid w:val="005A2DB1"/>
    <w:rsid w:val="005A2DE4"/>
    <w:rsid w:val="005A3512"/>
    <w:rsid w:val="005A383E"/>
    <w:rsid w:val="005A3E68"/>
    <w:rsid w:val="005A4291"/>
    <w:rsid w:val="005A46B5"/>
    <w:rsid w:val="005A50DB"/>
    <w:rsid w:val="005A5BE5"/>
    <w:rsid w:val="005A6103"/>
    <w:rsid w:val="005A6500"/>
    <w:rsid w:val="005A6CFB"/>
    <w:rsid w:val="005A6DF9"/>
    <w:rsid w:val="005A710C"/>
    <w:rsid w:val="005A72E5"/>
    <w:rsid w:val="005A7664"/>
    <w:rsid w:val="005A78E6"/>
    <w:rsid w:val="005A7E68"/>
    <w:rsid w:val="005B01C1"/>
    <w:rsid w:val="005B097F"/>
    <w:rsid w:val="005B15D5"/>
    <w:rsid w:val="005B1866"/>
    <w:rsid w:val="005B18B8"/>
    <w:rsid w:val="005B1904"/>
    <w:rsid w:val="005B1A58"/>
    <w:rsid w:val="005B1DD0"/>
    <w:rsid w:val="005B220C"/>
    <w:rsid w:val="005B24EA"/>
    <w:rsid w:val="005B26BA"/>
    <w:rsid w:val="005B3488"/>
    <w:rsid w:val="005B35F9"/>
    <w:rsid w:val="005B39EA"/>
    <w:rsid w:val="005B3A25"/>
    <w:rsid w:val="005B3B03"/>
    <w:rsid w:val="005B3DF3"/>
    <w:rsid w:val="005B3FB4"/>
    <w:rsid w:val="005B43B1"/>
    <w:rsid w:val="005B4626"/>
    <w:rsid w:val="005B4673"/>
    <w:rsid w:val="005B475F"/>
    <w:rsid w:val="005B484A"/>
    <w:rsid w:val="005B52A1"/>
    <w:rsid w:val="005B5624"/>
    <w:rsid w:val="005B5786"/>
    <w:rsid w:val="005B5C52"/>
    <w:rsid w:val="005B6044"/>
    <w:rsid w:val="005B624F"/>
    <w:rsid w:val="005B629E"/>
    <w:rsid w:val="005B6A03"/>
    <w:rsid w:val="005B6CCF"/>
    <w:rsid w:val="005B6E93"/>
    <w:rsid w:val="005B6EB2"/>
    <w:rsid w:val="005B7330"/>
    <w:rsid w:val="005B7BA9"/>
    <w:rsid w:val="005C01F4"/>
    <w:rsid w:val="005C0322"/>
    <w:rsid w:val="005C036A"/>
    <w:rsid w:val="005C0A12"/>
    <w:rsid w:val="005C0AFE"/>
    <w:rsid w:val="005C11F9"/>
    <w:rsid w:val="005C16B0"/>
    <w:rsid w:val="005C17CA"/>
    <w:rsid w:val="005C19F2"/>
    <w:rsid w:val="005C2337"/>
    <w:rsid w:val="005C271A"/>
    <w:rsid w:val="005C2A2A"/>
    <w:rsid w:val="005C362E"/>
    <w:rsid w:val="005C3AA9"/>
    <w:rsid w:val="005C3CAC"/>
    <w:rsid w:val="005C3D78"/>
    <w:rsid w:val="005C3D9C"/>
    <w:rsid w:val="005C40C3"/>
    <w:rsid w:val="005C40E1"/>
    <w:rsid w:val="005C4203"/>
    <w:rsid w:val="005C48A0"/>
    <w:rsid w:val="005C539A"/>
    <w:rsid w:val="005C5527"/>
    <w:rsid w:val="005C5913"/>
    <w:rsid w:val="005C5A60"/>
    <w:rsid w:val="005C5D96"/>
    <w:rsid w:val="005C5DC1"/>
    <w:rsid w:val="005C6E4E"/>
    <w:rsid w:val="005C6FD2"/>
    <w:rsid w:val="005C7402"/>
    <w:rsid w:val="005C7EA4"/>
    <w:rsid w:val="005D02CD"/>
    <w:rsid w:val="005D1715"/>
    <w:rsid w:val="005D1880"/>
    <w:rsid w:val="005D1B11"/>
    <w:rsid w:val="005D1B63"/>
    <w:rsid w:val="005D244B"/>
    <w:rsid w:val="005D2867"/>
    <w:rsid w:val="005D29A4"/>
    <w:rsid w:val="005D2B03"/>
    <w:rsid w:val="005D2E5B"/>
    <w:rsid w:val="005D3067"/>
    <w:rsid w:val="005D3315"/>
    <w:rsid w:val="005D34B1"/>
    <w:rsid w:val="005D4031"/>
    <w:rsid w:val="005D439A"/>
    <w:rsid w:val="005D4659"/>
    <w:rsid w:val="005D4B31"/>
    <w:rsid w:val="005D4CD5"/>
    <w:rsid w:val="005D5023"/>
    <w:rsid w:val="005D513F"/>
    <w:rsid w:val="005D5162"/>
    <w:rsid w:val="005D5581"/>
    <w:rsid w:val="005D5C4F"/>
    <w:rsid w:val="005D64BF"/>
    <w:rsid w:val="005D65FC"/>
    <w:rsid w:val="005D7110"/>
    <w:rsid w:val="005D73C1"/>
    <w:rsid w:val="005D7881"/>
    <w:rsid w:val="005D7A38"/>
    <w:rsid w:val="005D7CF4"/>
    <w:rsid w:val="005E0463"/>
    <w:rsid w:val="005E04E1"/>
    <w:rsid w:val="005E0658"/>
    <w:rsid w:val="005E0DA0"/>
    <w:rsid w:val="005E0FED"/>
    <w:rsid w:val="005E10FC"/>
    <w:rsid w:val="005E159B"/>
    <w:rsid w:val="005E16A5"/>
    <w:rsid w:val="005E1C6D"/>
    <w:rsid w:val="005E2A91"/>
    <w:rsid w:val="005E2AEC"/>
    <w:rsid w:val="005E2DF0"/>
    <w:rsid w:val="005E332C"/>
    <w:rsid w:val="005E35A6"/>
    <w:rsid w:val="005E3B1C"/>
    <w:rsid w:val="005E3C56"/>
    <w:rsid w:val="005E3D58"/>
    <w:rsid w:val="005E3E8F"/>
    <w:rsid w:val="005E3ECD"/>
    <w:rsid w:val="005E41D2"/>
    <w:rsid w:val="005E447B"/>
    <w:rsid w:val="005E4693"/>
    <w:rsid w:val="005E4780"/>
    <w:rsid w:val="005E48A0"/>
    <w:rsid w:val="005E4ED6"/>
    <w:rsid w:val="005E4F79"/>
    <w:rsid w:val="005E5244"/>
    <w:rsid w:val="005E534A"/>
    <w:rsid w:val="005E55BB"/>
    <w:rsid w:val="005E5DAA"/>
    <w:rsid w:val="005E5E2A"/>
    <w:rsid w:val="005E6037"/>
    <w:rsid w:val="005E61FD"/>
    <w:rsid w:val="005E674E"/>
    <w:rsid w:val="005E6E1B"/>
    <w:rsid w:val="005E73CF"/>
    <w:rsid w:val="005E7675"/>
    <w:rsid w:val="005E785B"/>
    <w:rsid w:val="005E7895"/>
    <w:rsid w:val="005E7CEB"/>
    <w:rsid w:val="005E7F56"/>
    <w:rsid w:val="005F0AAD"/>
    <w:rsid w:val="005F0CE9"/>
    <w:rsid w:val="005F0E6A"/>
    <w:rsid w:val="005F0EB9"/>
    <w:rsid w:val="005F1711"/>
    <w:rsid w:val="005F1762"/>
    <w:rsid w:val="005F1AA6"/>
    <w:rsid w:val="005F1B5A"/>
    <w:rsid w:val="005F1DBC"/>
    <w:rsid w:val="005F2324"/>
    <w:rsid w:val="005F29C2"/>
    <w:rsid w:val="005F305D"/>
    <w:rsid w:val="005F3382"/>
    <w:rsid w:val="005F39D3"/>
    <w:rsid w:val="005F3CA9"/>
    <w:rsid w:val="005F43F0"/>
    <w:rsid w:val="005F49E1"/>
    <w:rsid w:val="005F531C"/>
    <w:rsid w:val="005F5435"/>
    <w:rsid w:val="005F54DB"/>
    <w:rsid w:val="005F5C5B"/>
    <w:rsid w:val="005F5E0B"/>
    <w:rsid w:val="005F6428"/>
    <w:rsid w:val="005F6850"/>
    <w:rsid w:val="005F6DC0"/>
    <w:rsid w:val="005F70DD"/>
    <w:rsid w:val="005F7374"/>
    <w:rsid w:val="005F77CC"/>
    <w:rsid w:val="005F7AA4"/>
    <w:rsid w:val="005F7E06"/>
    <w:rsid w:val="005F7F10"/>
    <w:rsid w:val="006009B0"/>
    <w:rsid w:val="00600A22"/>
    <w:rsid w:val="00601509"/>
    <w:rsid w:val="006015FA"/>
    <w:rsid w:val="0060174B"/>
    <w:rsid w:val="00602B2E"/>
    <w:rsid w:val="006034ED"/>
    <w:rsid w:val="00603B39"/>
    <w:rsid w:val="00603B66"/>
    <w:rsid w:val="00603D05"/>
    <w:rsid w:val="00603DA1"/>
    <w:rsid w:val="00603DF4"/>
    <w:rsid w:val="006048B2"/>
    <w:rsid w:val="006050A0"/>
    <w:rsid w:val="0060516F"/>
    <w:rsid w:val="006054E6"/>
    <w:rsid w:val="00605583"/>
    <w:rsid w:val="00605E71"/>
    <w:rsid w:val="00605F76"/>
    <w:rsid w:val="006061B9"/>
    <w:rsid w:val="006062E3"/>
    <w:rsid w:val="00606322"/>
    <w:rsid w:val="006065EE"/>
    <w:rsid w:val="00606A3F"/>
    <w:rsid w:val="00606E2A"/>
    <w:rsid w:val="0060721C"/>
    <w:rsid w:val="00607B1E"/>
    <w:rsid w:val="00610130"/>
    <w:rsid w:val="006110BC"/>
    <w:rsid w:val="006112A1"/>
    <w:rsid w:val="006112D2"/>
    <w:rsid w:val="0061139B"/>
    <w:rsid w:val="0061197A"/>
    <w:rsid w:val="00611DE6"/>
    <w:rsid w:val="00612023"/>
    <w:rsid w:val="006120A0"/>
    <w:rsid w:val="00612310"/>
    <w:rsid w:val="0061234C"/>
    <w:rsid w:val="006123AD"/>
    <w:rsid w:val="00613035"/>
    <w:rsid w:val="00613267"/>
    <w:rsid w:val="0061326D"/>
    <w:rsid w:val="00613337"/>
    <w:rsid w:val="00613736"/>
    <w:rsid w:val="00613C39"/>
    <w:rsid w:val="00613D77"/>
    <w:rsid w:val="006144A7"/>
    <w:rsid w:val="006145D2"/>
    <w:rsid w:val="006146D4"/>
    <w:rsid w:val="00614779"/>
    <w:rsid w:val="00614860"/>
    <w:rsid w:val="00614E98"/>
    <w:rsid w:val="00614EDF"/>
    <w:rsid w:val="006152BF"/>
    <w:rsid w:val="006153E7"/>
    <w:rsid w:val="006155AD"/>
    <w:rsid w:val="00615D07"/>
    <w:rsid w:val="00615D42"/>
    <w:rsid w:val="0061630E"/>
    <w:rsid w:val="00616D9D"/>
    <w:rsid w:val="0061712A"/>
    <w:rsid w:val="00617B9C"/>
    <w:rsid w:val="00617FC5"/>
    <w:rsid w:val="006202AD"/>
    <w:rsid w:val="00620369"/>
    <w:rsid w:val="00620420"/>
    <w:rsid w:val="00620676"/>
    <w:rsid w:val="00620763"/>
    <w:rsid w:val="00620CD8"/>
    <w:rsid w:val="00620EE3"/>
    <w:rsid w:val="006210C5"/>
    <w:rsid w:val="0062175B"/>
    <w:rsid w:val="00621BAF"/>
    <w:rsid w:val="00621C89"/>
    <w:rsid w:val="00621E11"/>
    <w:rsid w:val="00621FC5"/>
    <w:rsid w:val="006220DE"/>
    <w:rsid w:val="0062242B"/>
    <w:rsid w:val="00622B7C"/>
    <w:rsid w:val="00622F7E"/>
    <w:rsid w:val="00623039"/>
    <w:rsid w:val="0062363B"/>
    <w:rsid w:val="00623917"/>
    <w:rsid w:val="0062420D"/>
    <w:rsid w:val="00624300"/>
    <w:rsid w:val="006244B7"/>
    <w:rsid w:val="00624753"/>
    <w:rsid w:val="00624C56"/>
    <w:rsid w:val="006252CF"/>
    <w:rsid w:val="0062534B"/>
    <w:rsid w:val="006253C1"/>
    <w:rsid w:val="00625599"/>
    <w:rsid w:val="00626A04"/>
    <w:rsid w:val="00627426"/>
    <w:rsid w:val="0062799D"/>
    <w:rsid w:val="0063022D"/>
    <w:rsid w:val="006305CB"/>
    <w:rsid w:val="0063088D"/>
    <w:rsid w:val="0063090C"/>
    <w:rsid w:val="0063091D"/>
    <w:rsid w:val="00630E58"/>
    <w:rsid w:val="006316DC"/>
    <w:rsid w:val="00631BB5"/>
    <w:rsid w:val="0063203F"/>
    <w:rsid w:val="006323E0"/>
    <w:rsid w:val="006325FC"/>
    <w:rsid w:val="00632F9F"/>
    <w:rsid w:val="006335C2"/>
    <w:rsid w:val="006336B7"/>
    <w:rsid w:val="00633731"/>
    <w:rsid w:val="006338B3"/>
    <w:rsid w:val="00633D99"/>
    <w:rsid w:val="00633EBC"/>
    <w:rsid w:val="00634146"/>
    <w:rsid w:val="006342B8"/>
    <w:rsid w:val="00634481"/>
    <w:rsid w:val="00634590"/>
    <w:rsid w:val="00634CDB"/>
    <w:rsid w:val="00634F89"/>
    <w:rsid w:val="0063532A"/>
    <w:rsid w:val="006353FC"/>
    <w:rsid w:val="00635845"/>
    <w:rsid w:val="00635A76"/>
    <w:rsid w:val="00635D8A"/>
    <w:rsid w:val="006364FD"/>
    <w:rsid w:val="00636F7B"/>
    <w:rsid w:val="00637257"/>
    <w:rsid w:val="00637934"/>
    <w:rsid w:val="00637B02"/>
    <w:rsid w:val="00637BA5"/>
    <w:rsid w:val="00637DC4"/>
    <w:rsid w:val="00637E1A"/>
    <w:rsid w:val="00637F9A"/>
    <w:rsid w:val="00640234"/>
    <w:rsid w:val="006402EC"/>
    <w:rsid w:val="0064146F"/>
    <w:rsid w:val="00641A9B"/>
    <w:rsid w:val="006421D4"/>
    <w:rsid w:val="0064256A"/>
    <w:rsid w:val="006425D6"/>
    <w:rsid w:val="006426E3"/>
    <w:rsid w:val="00642B0F"/>
    <w:rsid w:val="00642F63"/>
    <w:rsid w:val="006430E6"/>
    <w:rsid w:val="00643106"/>
    <w:rsid w:val="00643134"/>
    <w:rsid w:val="006436C9"/>
    <w:rsid w:val="006439B2"/>
    <w:rsid w:val="00643AFF"/>
    <w:rsid w:val="0064447C"/>
    <w:rsid w:val="00644767"/>
    <w:rsid w:val="00644914"/>
    <w:rsid w:val="00644A04"/>
    <w:rsid w:val="00644B4D"/>
    <w:rsid w:val="00645C8C"/>
    <w:rsid w:val="0064645B"/>
    <w:rsid w:val="006464BE"/>
    <w:rsid w:val="00646508"/>
    <w:rsid w:val="00646574"/>
    <w:rsid w:val="006466C2"/>
    <w:rsid w:val="006467D1"/>
    <w:rsid w:val="0064696D"/>
    <w:rsid w:val="00646B3E"/>
    <w:rsid w:val="00646B7C"/>
    <w:rsid w:val="00646DFD"/>
    <w:rsid w:val="0064769E"/>
    <w:rsid w:val="0064778B"/>
    <w:rsid w:val="00647863"/>
    <w:rsid w:val="006479CA"/>
    <w:rsid w:val="00647CAE"/>
    <w:rsid w:val="00647CF2"/>
    <w:rsid w:val="00647D47"/>
    <w:rsid w:val="00647F56"/>
    <w:rsid w:val="00650077"/>
    <w:rsid w:val="00650233"/>
    <w:rsid w:val="006502DA"/>
    <w:rsid w:val="0065078F"/>
    <w:rsid w:val="00650F16"/>
    <w:rsid w:val="00650FA3"/>
    <w:rsid w:val="00650FC7"/>
    <w:rsid w:val="006513AC"/>
    <w:rsid w:val="006513BE"/>
    <w:rsid w:val="0065167A"/>
    <w:rsid w:val="00651717"/>
    <w:rsid w:val="00652032"/>
    <w:rsid w:val="006524E8"/>
    <w:rsid w:val="006527DB"/>
    <w:rsid w:val="00652819"/>
    <w:rsid w:val="00652977"/>
    <w:rsid w:val="00652B31"/>
    <w:rsid w:val="00652C2A"/>
    <w:rsid w:val="00652C57"/>
    <w:rsid w:val="006530D9"/>
    <w:rsid w:val="00653721"/>
    <w:rsid w:val="00653744"/>
    <w:rsid w:val="006540D7"/>
    <w:rsid w:val="006543E6"/>
    <w:rsid w:val="00654A17"/>
    <w:rsid w:val="00654E02"/>
    <w:rsid w:val="0065568B"/>
    <w:rsid w:val="0065573C"/>
    <w:rsid w:val="0065575F"/>
    <w:rsid w:val="00655843"/>
    <w:rsid w:val="00655936"/>
    <w:rsid w:val="006561D6"/>
    <w:rsid w:val="006563F5"/>
    <w:rsid w:val="00656B3C"/>
    <w:rsid w:val="00657274"/>
    <w:rsid w:val="006574D2"/>
    <w:rsid w:val="0065776C"/>
    <w:rsid w:val="00657F98"/>
    <w:rsid w:val="006602F2"/>
    <w:rsid w:val="00660769"/>
    <w:rsid w:val="00660E0C"/>
    <w:rsid w:val="00660E8F"/>
    <w:rsid w:val="0066114D"/>
    <w:rsid w:val="00661242"/>
    <w:rsid w:val="00661287"/>
    <w:rsid w:val="00661334"/>
    <w:rsid w:val="00661343"/>
    <w:rsid w:val="00661E14"/>
    <w:rsid w:val="00661EC1"/>
    <w:rsid w:val="0066278C"/>
    <w:rsid w:val="006627D8"/>
    <w:rsid w:val="00662A17"/>
    <w:rsid w:val="00662DBC"/>
    <w:rsid w:val="00662F1B"/>
    <w:rsid w:val="0066387C"/>
    <w:rsid w:val="006639E4"/>
    <w:rsid w:val="00663E94"/>
    <w:rsid w:val="00663F65"/>
    <w:rsid w:val="006645FB"/>
    <w:rsid w:val="00664FA2"/>
    <w:rsid w:val="006651EF"/>
    <w:rsid w:val="00665A4F"/>
    <w:rsid w:val="00665D0A"/>
    <w:rsid w:val="006669F4"/>
    <w:rsid w:val="006672F8"/>
    <w:rsid w:val="00667410"/>
    <w:rsid w:val="006674C0"/>
    <w:rsid w:val="00667C7C"/>
    <w:rsid w:val="00667DE9"/>
    <w:rsid w:val="00667E38"/>
    <w:rsid w:val="00670060"/>
    <w:rsid w:val="006700D2"/>
    <w:rsid w:val="00670283"/>
    <w:rsid w:val="006705CD"/>
    <w:rsid w:val="006708FF"/>
    <w:rsid w:val="00670AB6"/>
    <w:rsid w:val="00670E49"/>
    <w:rsid w:val="0067116F"/>
    <w:rsid w:val="006713A1"/>
    <w:rsid w:val="00671EF9"/>
    <w:rsid w:val="00672792"/>
    <w:rsid w:val="00672AB7"/>
    <w:rsid w:val="00672BC9"/>
    <w:rsid w:val="006733B5"/>
    <w:rsid w:val="0067372B"/>
    <w:rsid w:val="00674383"/>
    <w:rsid w:val="00674574"/>
    <w:rsid w:val="0067458E"/>
    <w:rsid w:val="00674750"/>
    <w:rsid w:val="006747B3"/>
    <w:rsid w:val="006748D6"/>
    <w:rsid w:val="006749F5"/>
    <w:rsid w:val="0067551A"/>
    <w:rsid w:val="00675CE1"/>
    <w:rsid w:val="006760FD"/>
    <w:rsid w:val="0067615A"/>
    <w:rsid w:val="00676393"/>
    <w:rsid w:val="006765B1"/>
    <w:rsid w:val="006767DB"/>
    <w:rsid w:val="00676865"/>
    <w:rsid w:val="00676A2F"/>
    <w:rsid w:val="00676C6A"/>
    <w:rsid w:val="006773BD"/>
    <w:rsid w:val="0067754D"/>
    <w:rsid w:val="00677E31"/>
    <w:rsid w:val="00680442"/>
    <w:rsid w:val="006809A7"/>
    <w:rsid w:val="00680A23"/>
    <w:rsid w:val="00680C7C"/>
    <w:rsid w:val="00680DE2"/>
    <w:rsid w:val="006815A3"/>
    <w:rsid w:val="006819D6"/>
    <w:rsid w:val="0068258A"/>
    <w:rsid w:val="0068295F"/>
    <w:rsid w:val="00682B5E"/>
    <w:rsid w:val="00682F71"/>
    <w:rsid w:val="0068314C"/>
    <w:rsid w:val="00683169"/>
    <w:rsid w:val="00683D15"/>
    <w:rsid w:val="0068452A"/>
    <w:rsid w:val="00684584"/>
    <w:rsid w:val="00684ACB"/>
    <w:rsid w:val="00684B27"/>
    <w:rsid w:val="00684E5A"/>
    <w:rsid w:val="00685486"/>
    <w:rsid w:val="00685915"/>
    <w:rsid w:val="00685D72"/>
    <w:rsid w:val="00686104"/>
    <w:rsid w:val="0068672E"/>
    <w:rsid w:val="00686813"/>
    <w:rsid w:val="00686874"/>
    <w:rsid w:val="006868C3"/>
    <w:rsid w:val="00687039"/>
    <w:rsid w:val="0068732B"/>
    <w:rsid w:val="0068787A"/>
    <w:rsid w:val="006878EB"/>
    <w:rsid w:val="00687F31"/>
    <w:rsid w:val="006909E0"/>
    <w:rsid w:val="006918A1"/>
    <w:rsid w:val="00691B1B"/>
    <w:rsid w:val="00692090"/>
    <w:rsid w:val="00692CEF"/>
    <w:rsid w:val="00693570"/>
    <w:rsid w:val="00693B70"/>
    <w:rsid w:val="00693FBB"/>
    <w:rsid w:val="006941DB"/>
    <w:rsid w:val="00694A61"/>
    <w:rsid w:val="00694CEC"/>
    <w:rsid w:val="00694F03"/>
    <w:rsid w:val="006951E4"/>
    <w:rsid w:val="0069529C"/>
    <w:rsid w:val="006958EA"/>
    <w:rsid w:val="00695A67"/>
    <w:rsid w:val="00695E3E"/>
    <w:rsid w:val="0069631F"/>
    <w:rsid w:val="00696575"/>
    <w:rsid w:val="00696DBD"/>
    <w:rsid w:val="00696DE1"/>
    <w:rsid w:val="00696E9A"/>
    <w:rsid w:val="00697335"/>
    <w:rsid w:val="00697674"/>
    <w:rsid w:val="00697CF1"/>
    <w:rsid w:val="00697DE1"/>
    <w:rsid w:val="006A01C2"/>
    <w:rsid w:val="006A076B"/>
    <w:rsid w:val="006A0CF2"/>
    <w:rsid w:val="006A126E"/>
    <w:rsid w:val="006A1735"/>
    <w:rsid w:val="006A1750"/>
    <w:rsid w:val="006A1FE7"/>
    <w:rsid w:val="006A21D2"/>
    <w:rsid w:val="006A24B6"/>
    <w:rsid w:val="006A25FC"/>
    <w:rsid w:val="006A2901"/>
    <w:rsid w:val="006A38FA"/>
    <w:rsid w:val="006A3D02"/>
    <w:rsid w:val="006A4519"/>
    <w:rsid w:val="006A4830"/>
    <w:rsid w:val="006A49EB"/>
    <w:rsid w:val="006A4B1B"/>
    <w:rsid w:val="006A4CA5"/>
    <w:rsid w:val="006A4CE7"/>
    <w:rsid w:val="006A522E"/>
    <w:rsid w:val="006A5259"/>
    <w:rsid w:val="006A5439"/>
    <w:rsid w:val="006A5CFB"/>
    <w:rsid w:val="006A642A"/>
    <w:rsid w:val="006A66E4"/>
    <w:rsid w:val="006A6723"/>
    <w:rsid w:val="006A673A"/>
    <w:rsid w:val="006A6A90"/>
    <w:rsid w:val="006A6B97"/>
    <w:rsid w:val="006A6DEB"/>
    <w:rsid w:val="006A71F0"/>
    <w:rsid w:val="006A7623"/>
    <w:rsid w:val="006A789A"/>
    <w:rsid w:val="006A78DB"/>
    <w:rsid w:val="006A7F9E"/>
    <w:rsid w:val="006B0C0B"/>
    <w:rsid w:val="006B0ED2"/>
    <w:rsid w:val="006B1345"/>
    <w:rsid w:val="006B190F"/>
    <w:rsid w:val="006B2377"/>
    <w:rsid w:val="006B2766"/>
    <w:rsid w:val="006B2DC2"/>
    <w:rsid w:val="006B32A9"/>
    <w:rsid w:val="006B3B83"/>
    <w:rsid w:val="006B3CC8"/>
    <w:rsid w:val="006B42E2"/>
    <w:rsid w:val="006B43D8"/>
    <w:rsid w:val="006B4510"/>
    <w:rsid w:val="006B4530"/>
    <w:rsid w:val="006B461B"/>
    <w:rsid w:val="006B4756"/>
    <w:rsid w:val="006B4887"/>
    <w:rsid w:val="006B4E96"/>
    <w:rsid w:val="006B5A99"/>
    <w:rsid w:val="006B607A"/>
    <w:rsid w:val="006B634D"/>
    <w:rsid w:val="006B64FE"/>
    <w:rsid w:val="006B6550"/>
    <w:rsid w:val="006B65B6"/>
    <w:rsid w:val="006B685E"/>
    <w:rsid w:val="006B6902"/>
    <w:rsid w:val="006B72C4"/>
    <w:rsid w:val="006B72FE"/>
    <w:rsid w:val="006B7532"/>
    <w:rsid w:val="006B7C0D"/>
    <w:rsid w:val="006B7D90"/>
    <w:rsid w:val="006C05E4"/>
    <w:rsid w:val="006C06E2"/>
    <w:rsid w:val="006C0AFF"/>
    <w:rsid w:val="006C0D69"/>
    <w:rsid w:val="006C0D71"/>
    <w:rsid w:val="006C13B3"/>
    <w:rsid w:val="006C13EF"/>
    <w:rsid w:val="006C13F6"/>
    <w:rsid w:val="006C2113"/>
    <w:rsid w:val="006C2264"/>
    <w:rsid w:val="006C245F"/>
    <w:rsid w:val="006C2CC4"/>
    <w:rsid w:val="006C3312"/>
    <w:rsid w:val="006C3352"/>
    <w:rsid w:val="006C347A"/>
    <w:rsid w:val="006C3D5D"/>
    <w:rsid w:val="006C4722"/>
    <w:rsid w:val="006C4A08"/>
    <w:rsid w:val="006C50DE"/>
    <w:rsid w:val="006C568F"/>
    <w:rsid w:val="006C5802"/>
    <w:rsid w:val="006C5A5A"/>
    <w:rsid w:val="006C5BD2"/>
    <w:rsid w:val="006C5C85"/>
    <w:rsid w:val="006C60AF"/>
    <w:rsid w:val="006C634E"/>
    <w:rsid w:val="006C6575"/>
    <w:rsid w:val="006C6598"/>
    <w:rsid w:val="006C7EB3"/>
    <w:rsid w:val="006D0065"/>
    <w:rsid w:val="006D0277"/>
    <w:rsid w:val="006D028E"/>
    <w:rsid w:val="006D03AC"/>
    <w:rsid w:val="006D04A6"/>
    <w:rsid w:val="006D0B6B"/>
    <w:rsid w:val="006D1111"/>
    <w:rsid w:val="006D1260"/>
    <w:rsid w:val="006D1668"/>
    <w:rsid w:val="006D1AD7"/>
    <w:rsid w:val="006D1C79"/>
    <w:rsid w:val="006D2067"/>
    <w:rsid w:val="006D2969"/>
    <w:rsid w:val="006D2E03"/>
    <w:rsid w:val="006D307C"/>
    <w:rsid w:val="006D390A"/>
    <w:rsid w:val="006D3A54"/>
    <w:rsid w:val="006D47BB"/>
    <w:rsid w:val="006D47E7"/>
    <w:rsid w:val="006D48DF"/>
    <w:rsid w:val="006D490D"/>
    <w:rsid w:val="006D4A64"/>
    <w:rsid w:val="006D4BF1"/>
    <w:rsid w:val="006D4DD4"/>
    <w:rsid w:val="006D4ED6"/>
    <w:rsid w:val="006D5B0C"/>
    <w:rsid w:val="006D6142"/>
    <w:rsid w:val="006D632C"/>
    <w:rsid w:val="006D6DBA"/>
    <w:rsid w:val="006D7128"/>
    <w:rsid w:val="006D76DC"/>
    <w:rsid w:val="006D7B70"/>
    <w:rsid w:val="006E07AD"/>
    <w:rsid w:val="006E0875"/>
    <w:rsid w:val="006E0B52"/>
    <w:rsid w:val="006E1202"/>
    <w:rsid w:val="006E17DF"/>
    <w:rsid w:val="006E1ACA"/>
    <w:rsid w:val="006E2892"/>
    <w:rsid w:val="006E28E0"/>
    <w:rsid w:val="006E2E06"/>
    <w:rsid w:val="006E301F"/>
    <w:rsid w:val="006E3082"/>
    <w:rsid w:val="006E3593"/>
    <w:rsid w:val="006E39A6"/>
    <w:rsid w:val="006E46DB"/>
    <w:rsid w:val="006E4781"/>
    <w:rsid w:val="006E4841"/>
    <w:rsid w:val="006E4E68"/>
    <w:rsid w:val="006E4F22"/>
    <w:rsid w:val="006E5143"/>
    <w:rsid w:val="006E520A"/>
    <w:rsid w:val="006E5367"/>
    <w:rsid w:val="006E5676"/>
    <w:rsid w:val="006E56AF"/>
    <w:rsid w:val="006E5C24"/>
    <w:rsid w:val="006E5E63"/>
    <w:rsid w:val="006E64F1"/>
    <w:rsid w:val="006E6844"/>
    <w:rsid w:val="006E6F62"/>
    <w:rsid w:val="006E727B"/>
    <w:rsid w:val="006E73E4"/>
    <w:rsid w:val="006E742A"/>
    <w:rsid w:val="006E751C"/>
    <w:rsid w:val="006E7535"/>
    <w:rsid w:val="006E76B4"/>
    <w:rsid w:val="006E7A24"/>
    <w:rsid w:val="006E7C3B"/>
    <w:rsid w:val="006E7CDB"/>
    <w:rsid w:val="006E7D86"/>
    <w:rsid w:val="006F0160"/>
    <w:rsid w:val="006F0DB2"/>
    <w:rsid w:val="006F16EC"/>
    <w:rsid w:val="006F1778"/>
    <w:rsid w:val="006F192A"/>
    <w:rsid w:val="006F1A90"/>
    <w:rsid w:val="006F1D5D"/>
    <w:rsid w:val="006F1E5B"/>
    <w:rsid w:val="006F24F8"/>
    <w:rsid w:val="006F2707"/>
    <w:rsid w:val="006F28E0"/>
    <w:rsid w:val="006F2C24"/>
    <w:rsid w:val="006F311C"/>
    <w:rsid w:val="006F32E2"/>
    <w:rsid w:val="006F35BB"/>
    <w:rsid w:val="006F4501"/>
    <w:rsid w:val="006F4979"/>
    <w:rsid w:val="006F4EE2"/>
    <w:rsid w:val="006F51B3"/>
    <w:rsid w:val="006F544B"/>
    <w:rsid w:val="006F54E4"/>
    <w:rsid w:val="006F55F8"/>
    <w:rsid w:val="006F573D"/>
    <w:rsid w:val="006F58F7"/>
    <w:rsid w:val="006F5D90"/>
    <w:rsid w:val="006F635C"/>
    <w:rsid w:val="006F64D9"/>
    <w:rsid w:val="006F6800"/>
    <w:rsid w:val="006F6970"/>
    <w:rsid w:val="006F7182"/>
    <w:rsid w:val="006F72E2"/>
    <w:rsid w:val="006F7890"/>
    <w:rsid w:val="006F79E2"/>
    <w:rsid w:val="006F7C6C"/>
    <w:rsid w:val="00700317"/>
    <w:rsid w:val="0070088D"/>
    <w:rsid w:val="007012A7"/>
    <w:rsid w:val="007016B1"/>
    <w:rsid w:val="0070194C"/>
    <w:rsid w:val="00701A6A"/>
    <w:rsid w:val="00702001"/>
    <w:rsid w:val="007021FB"/>
    <w:rsid w:val="007027A0"/>
    <w:rsid w:val="00702F86"/>
    <w:rsid w:val="0070320B"/>
    <w:rsid w:val="00703818"/>
    <w:rsid w:val="00703C8E"/>
    <w:rsid w:val="00703DD0"/>
    <w:rsid w:val="00703FB9"/>
    <w:rsid w:val="00704169"/>
    <w:rsid w:val="00704C1A"/>
    <w:rsid w:val="00704EF9"/>
    <w:rsid w:val="007054D1"/>
    <w:rsid w:val="00705896"/>
    <w:rsid w:val="00706042"/>
    <w:rsid w:val="007064FE"/>
    <w:rsid w:val="00706515"/>
    <w:rsid w:val="00706739"/>
    <w:rsid w:val="007069EA"/>
    <w:rsid w:val="00707624"/>
    <w:rsid w:val="00707657"/>
    <w:rsid w:val="00707C7B"/>
    <w:rsid w:val="00710165"/>
    <w:rsid w:val="007104A7"/>
    <w:rsid w:val="00710E0E"/>
    <w:rsid w:val="0071157C"/>
    <w:rsid w:val="0071159D"/>
    <w:rsid w:val="00711B28"/>
    <w:rsid w:val="00711ECE"/>
    <w:rsid w:val="007122B4"/>
    <w:rsid w:val="007124A7"/>
    <w:rsid w:val="00712900"/>
    <w:rsid w:val="007130FD"/>
    <w:rsid w:val="00713239"/>
    <w:rsid w:val="00713BEB"/>
    <w:rsid w:val="0071439E"/>
    <w:rsid w:val="00714448"/>
    <w:rsid w:val="007146B9"/>
    <w:rsid w:val="00714736"/>
    <w:rsid w:val="00714BDA"/>
    <w:rsid w:val="00714CE9"/>
    <w:rsid w:val="007157CD"/>
    <w:rsid w:val="00715F5D"/>
    <w:rsid w:val="00715FE8"/>
    <w:rsid w:val="00716060"/>
    <w:rsid w:val="00716364"/>
    <w:rsid w:val="0071636F"/>
    <w:rsid w:val="00716A29"/>
    <w:rsid w:val="00716D46"/>
    <w:rsid w:val="00716E58"/>
    <w:rsid w:val="0071743B"/>
    <w:rsid w:val="00717678"/>
    <w:rsid w:val="00717712"/>
    <w:rsid w:val="00717736"/>
    <w:rsid w:val="00717A4A"/>
    <w:rsid w:val="00717E12"/>
    <w:rsid w:val="00720D00"/>
    <w:rsid w:val="00720F88"/>
    <w:rsid w:val="0072105F"/>
    <w:rsid w:val="007211D5"/>
    <w:rsid w:val="007211E8"/>
    <w:rsid w:val="0072140B"/>
    <w:rsid w:val="00721A76"/>
    <w:rsid w:val="00721D18"/>
    <w:rsid w:val="00721DB7"/>
    <w:rsid w:val="00721DE5"/>
    <w:rsid w:val="00721E01"/>
    <w:rsid w:val="00721EBC"/>
    <w:rsid w:val="007226B6"/>
    <w:rsid w:val="00722C0A"/>
    <w:rsid w:val="00722C0B"/>
    <w:rsid w:val="007236D3"/>
    <w:rsid w:val="00723764"/>
    <w:rsid w:val="00723F1D"/>
    <w:rsid w:val="007240B7"/>
    <w:rsid w:val="00724117"/>
    <w:rsid w:val="007247D3"/>
    <w:rsid w:val="007248F4"/>
    <w:rsid w:val="00724972"/>
    <w:rsid w:val="00724C2F"/>
    <w:rsid w:val="00724CBF"/>
    <w:rsid w:val="00724DD8"/>
    <w:rsid w:val="00724FC8"/>
    <w:rsid w:val="00725600"/>
    <w:rsid w:val="00725D30"/>
    <w:rsid w:val="007267CE"/>
    <w:rsid w:val="00726CC0"/>
    <w:rsid w:val="00727170"/>
    <w:rsid w:val="007271AC"/>
    <w:rsid w:val="007276F1"/>
    <w:rsid w:val="00727A8B"/>
    <w:rsid w:val="00727CDA"/>
    <w:rsid w:val="00727F8C"/>
    <w:rsid w:val="007305F5"/>
    <w:rsid w:val="00730991"/>
    <w:rsid w:val="00730C32"/>
    <w:rsid w:val="00730F12"/>
    <w:rsid w:val="00730F68"/>
    <w:rsid w:val="00731604"/>
    <w:rsid w:val="007316EF"/>
    <w:rsid w:val="007324B1"/>
    <w:rsid w:val="00732C62"/>
    <w:rsid w:val="00732C98"/>
    <w:rsid w:val="007330A1"/>
    <w:rsid w:val="0073316A"/>
    <w:rsid w:val="00733197"/>
    <w:rsid w:val="007333F0"/>
    <w:rsid w:val="00733440"/>
    <w:rsid w:val="007335B2"/>
    <w:rsid w:val="007339CC"/>
    <w:rsid w:val="00733B86"/>
    <w:rsid w:val="00733E33"/>
    <w:rsid w:val="00734032"/>
    <w:rsid w:val="007340A5"/>
    <w:rsid w:val="007342F3"/>
    <w:rsid w:val="007343EC"/>
    <w:rsid w:val="00734410"/>
    <w:rsid w:val="0073443F"/>
    <w:rsid w:val="007347C5"/>
    <w:rsid w:val="0073502B"/>
    <w:rsid w:val="007353E3"/>
    <w:rsid w:val="007357CD"/>
    <w:rsid w:val="0073599F"/>
    <w:rsid w:val="00735DAA"/>
    <w:rsid w:val="00735E27"/>
    <w:rsid w:val="00736986"/>
    <w:rsid w:val="00736E17"/>
    <w:rsid w:val="00737374"/>
    <w:rsid w:val="007379CA"/>
    <w:rsid w:val="00737D75"/>
    <w:rsid w:val="00740680"/>
    <w:rsid w:val="007407B9"/>
    <w:rsid w:val="007407E4"/>
    <w:rsid w:val="007408FB"/>
    <w:rsid w:val="00740AF6"/>
    <w:rsid w:val="00741B83"/>
    <w:rsid w:val="00741BE9"/>
    <w:rsid w:val="00741E50"/>
    <w:rsid w:val="00741E65"/>
    <w:rsid w:val="00741E94"/>
    <w:rsid w:val="00741FBA"/>
    <w:rsid w:val="007422BA"/>
    <w:rsid w:val="007426D6"/>
    <w:rsid w:val="0074299E"/>
    <w:rsid w:val="00742C11"/>
    <w:rsid w:val="00742F3D"/>
    <w:rsid w:val="00743057"/>
    <w:rsid w:val="007435A8"/>
    <w:rsid w:val="007439B2"/>
    <w:rsid w:val="00743E3C"/>
    <w:rsid w:val="007445EC"/>
    <w:rsid w:val="00744A2C"/>
    <w:rsid w:val="00744C8C"/>
    <w:rsid w:val="00745298"/>
    <w:rsid w:val="0074578B"/>
    <w:rsid w:val="00745AA7"/>
    <w:rsid w:val="00746162"/>
    <w:rsid w:val="00746175"/>
    <w:rsid w:val="007464A1"/>
    <w:rsid w:val="00746604"/>
    <w:rsid w:val="00746E92"/>
    <w:rsid w:val="00746FF6"/>
    <w:rsid w:val="00747D5F"/>
    <w:rsid w:val="00750489"/>
    <w:rsid w:val="00750C51"/>
    <w:rsid w:val="00750D51"/>
    <w:rsid w:val="00750D72"/>
    <w:rsid w:val="00750F3B"/>
    <w:rsid w:val="007512A9"/>
    <w:rsid w:val="00751394"/>
    <w:rsid w:val="007514BB"/>
    <w:rsid w:val="0075158C"/>
    <w:rsid w:val="00751A2D"/>
    <w:rsid w:val="007521A9"/>
    <w:rsid w:val="00752680"/>
    <w:rsid w:val="007528F6"/>
    <w:rsid w:val="00752D74"/>
    <w:rsid w:val="00753099"/>
    <w:rsid w:val="00753201"/>
    <w:rsid w:val="007536AE"/>
    <w:rsid w:val="00753922"/>
    <w:rsid w:val="00754304"/>
    <w:rsid w:val="00754407"/>
    <w:rsid w:val="00754741"/>
    <w:rsid w:val="00754756"/>
    <w:rsid w:val="00754808"/>
    <w:rsid w:val="00754A2F"/>
    <w:rsid w:val="00755191"/>
    <w:rsid w:val="0075526F"/>
    <w:rsid w:val="00755614"/>
    <w:rsid w:val="0075592B"/>
    <w:rsid w:val="00755C7E"/>
    <w:rsid w:val="007568B9"/>
    <w:rsid w:val="00756F93"/>
    <w:rsid w:val="00757242"/>
    <w:rsid w:val="00757246"/>
    <w:rsid w:val="00757588"/>
    <w:rsid w:val="00757970"/>
    <w:rsid w:val="00757986"/>
    <w:rsid w:val="00757BA7"/>
    <w:rsid w:val="00757FF5"/>
    <w:rsid w:val="00760341"/>
    <w:rsid w:val="007603E0"/>
    <w:rsid w:val="0076159D"/>
    <w:rsid w:val="00761AD0"/>
    <w:rsid w:val="00761DCC"/>
    <w:rsid w:val="00761F73"/>
    <w:rsid w:val="007622AF"/>
    <w:rsid w:val="00762A9B"/>
    <w:rsid w:val="00762EF5"/>
    <w:rsid w:val="00763B32"/>
    <w:rsid w:val="00763CF4"/>
    <w:rsid w:val="0076425E"/>
    <w:rsid w:val="007642A8"/>
    <w:rsid w:val="007644A4"/>
    <w:rsid w:val="00764BE6"/>
    <w:rsid w:val="00764DF1"/>
    <w:rsid w:val="00764F20"/>
    <w:rsid w:val="0076513E"/>
    <w:rsid w:val="0076524A"/>
    <w:rsid w:val="00765508"/>
    <w:rsid w:val="00765732"/>
    <w:rsid w:val="0076584E"/>
    <w:rsid w:val="00765893"/>
    <w:rsid w:val="00766184"/>
    <w:rsid w:val="0076619C"/>
    <w:rsid w:val="007661CB"/>
    <w:rsid w:val="007666EE"/>
    <w:rsid w:val="00766B08"/>
    <w:rsid w:val="00766E09"/>
    <w:rsid w:val="00767677"/>
    <w:rsid w:val="00767756"/>
    <w:rsid w:val="0077056E"/>
    <w:rsid w:val="00770605"/>
    <w:rsid w:val="007706C9"/>
    <w:rsid w:val="00770C0A"/>
    <w:rsid w:val="00770EA2"/>
    <w:rsid w:val="007712C0"/>
    <w:rsid w:val="007718E4"/>
    <w:rsid w:val="0077194E"/>
    <w:rsid w:val="00771960"/>
    <w:rsid w:val="00771E14"/>
    <w:rsid w:val="00771ECE"/>
    <w:rsid w:val="007723C1"/>
    <w:rsid w:val="0077242D"/>
    <w:rsid w:val="007728CE"/>
    <w:rsid w:val="0077297E"/>
    <w:rsid w:val="00772CD7"/>
    <w:rsid w:val="00772DBD"/>
    <w:rsid w:val="0077323F"/>
    <w:rsid w:val="007732C3"/>
    <w:rsid w:val="0077360B"/>
    <w:rsid w:val="007736CC"/>
    <w:rsid w:val="0077387F"/>
    <w:rsid w:val="007739DD"/>
    <w:rsid w:val="00773F9D"/>
    <w:rsid w:val="0077442C"/>
    <w:rsid w:val="007744C3"/>
    <w:rsid w:val="00774995"/>
    <w:rsid w:val="00774A59"/>
    <w:rsid w:val="00774ABA"/>
    <w:rsid w:val="00774D4B"/>
    <w:rsid w:val="00774F86"/>
    <w:rsid w:val="00774FF7"/>
    <w:rsid w:val="0077504B"/>
    <w:rsid w:val="007756C4"/>
    <w:rsid w:val="00775DF9"/>
    <w:rsid w:val="007765EB"/>
    <w:rsid w:val="00776B25"/>
    <w:rsid w:val="00776B53"/>
    <w:rsid w:val="00776EE3"/>
    <w:rsid w:val="00777242"/>
    <w:rsid w:val="00777376"/>
    <w:rsid w:val="00777666"/>
    <w:rsid w:val="007776D0"/>
    <w:rsid w:val="00777E2A"/>
    <w:rsid w:val="007805F9"/>
    <w:rsid w:val="007808F8"/>
    <w:rsid w:val="00780F32"/>
    <w:rsid w:val="007812A5"/>
    <w:rsid w:val="00781A94"/>
    <w:rsid w:val="00781F7D"/>
    <w:rsid w:val="00782081"/>
    <w:rsid w:val="007826D1"/>
    <w:rsid w:val="00782B54"/>
    <w:rsid w:val="00782B8A"/>
    <w:rsid w:val="00782E3C"/>
    <w:rsid w:val="00783564"/>
    <w:rsid w:val="007835D8"/>
    <w:rsid w:val="00783793"/>
    <w:rsid w:val="00783DBE"/>
    <w:rsid w:val="00783DEE"/>
    <w:rsid w:val="00783F47"/>
    <w:rsid w:val="0078408A"/>
    <w:rsid w:val="007840A5"/>
    <w:rsid w:val="0078431C"/>
    <w:rsid w:val="007843BB"/>
    <w:rsid w:val="00784CAA"/>
    <w:rsid w:val="0078518D"/>
    <w:rsid w:val="00785261"/>
    <w:rsid w:val="007852C7"/>
    <w:rsid w:val="00785467"/>
    <w:rsid w:val="007855D8"/>
    <w:rsid w:val="007855DD"/>
    <w:rsid w:val="00785818"/>
    <w:rsid w:val="00785B45"/>
    <w:rsid w:val="00786034"/>
    <w:rsid w:val="007861F2"/>
    <w:rsid w:val="00786536"/>
    <w:rsid w:val="00786749"/>
    <w:rsid w:val="00786CAA"/>
    <w:rsid w:val="00786FC2"/>
    <w:rsid w:val="00787195"/>
    <w:rsid w:val="007874FA"/>
    <w:rsid w:val="007877B9"/>
    <w:rsid w:val="007878E1"/>
    <w:rsid w:val="00787D37"/>
    <w:rsid w:val="0079048E"/>
    <w:rsid w:val="00790495"/>
    <w:rsid w:val="00790AD7"/>
    <w:rsid w:val="00790C64"/>
    <w:rsid w:val="00790F7C"/>
    <w:rsid w:val="007915A7"/>
    <w:rsid w:val="0079174E"/>
    <w:rsid w:val="00791CA6"/>
    <w:rsid w:val="007921F8"/>
    <w:rsid w:val="007923A0"/>
    <w:rsid w:val="00792519"/>
    <w:rsid w:val="00792C52"/>
    <w:rsid w:val="00792D7D"/>
    <w:rsid w:val="0079346D"/>
    <w:rsid w:val="00793CC1"/>
    <w:rsid w:val="007940A8"/>
    <w:rsid w:val="007941A1"/>
    <w:rsid w:val="00794F17"/>
    <w:rsid w:val="0079546C"/>
    <w:rsid w:val="00796058"/>
    <w:rsid w:val="0079675E"/>
    <w:rsid w:val="00796B27"/>
    <w:rsid w:val="00796DF8"/>
    <w:rsid w:val="00796EE6"/>
    <w:rsid w:val="00797451"/>
    <w:rsid w:val="00797FD8"/>
    <w:rsid w:val="007A096F"/>
    <w:rsid w:val="007A1021"/>
    <w:rsid w:val="007A1241"/>
    <w:rsid w:val="007A14CD"/>
    <w:rsid w:val="007A152C"/>
    <w:rsid w:val="007A159F"/>
    <w:rsid w:val="007A186C"/>
    <w:rsid w:val="007A238C"/>
    <w:rsid w:val="007A2579"/>
    <w:rsid w:val="007A26B9"/>
    <w:rsid w:val="007A286C"/>
    <w:rsid w:val="007A2E33"/>
    <w:rsid w:val="007A32D6"/>
    <w:rsid w:val="007A3358"/>
    <w:rsid w:val="007A3784"/>
    <w:rsid w:val="007A3B38"/>
    <w:rsid w:val="007A4C1C"/>
    <w:rsid w:val="007A560F"/>
    <w:rsid w:val="007A5648"/>
    <w:rsid w:val="007A5E1B"/>
    <w:rsid w:val="007A6280"/>
    <w:rsid w:val="007A63EE"/>
    <w:rsid w:val="007A6468"/>
    <w:rsid w:val="007A6515"/>
    <w:rsid w:val="007A683B"/>
    <w:rsid w:val="007A69E8"/>
    <w:rsid w:val="007A720B"/>
    <w:rsid w:val="007A73D5"/>
    <w:rsid w:val="007A74AC"/>
    <w:rsid w:val="007A74E4"/>
    <w:rsid w:val="007A78AC"/>
    <w:rsid w:val="007B0256"/>
    <w:rsid w:val="007B0355"/>
    <w:rsid w:val="007B06EF"/>
    <w:rsid w:val="007B09A1"/>
    <w:rsid w:val="007B0B38"/>
    <w:rsid w:val="007B0E63"/>
    <w:rsid w:val="007B1371"/>
    <w:rsid w:val="007B148F"/>
    <w:rsid w:val="007B1913"/>
    <w:rsid w:val="007B1944"/>
    <w:rsid w:val="007B1CFD"/>
    <w:rsid w:val="007B207B"/>
    <w:rsid w:val="007B26CA"/>
    <w:rsid w:val="007B29E4"/>
    <w:rsid w:val="007B2A6A"/>
    <w:rsid w:val="007B2C49"/>
    <w:rsid w:val="007B2ECB"/>
    <w:rsid w:val="007B3521"/>
    <w:rsid w:val="007B469A"/>
    <w:rsid w:val="007B4707"/>
    <w:rsid w:val="007B489F"/>
    <w:rsid w:val="007B5010"/>
    <w:rsid w:val="007B53A8"/>
    <w:rsid w:val="007B57CC"/>
    <w:rsid w:val="007B5C1C"/>
    <w:rsid w:val="007B5D36"/>
    <w:rsid w:val="007B5EB9"/>
    <w:rsid w:val="007B64A1"/>
    <w:rsid w:val="007B6834"/>
    <w:rsid w:val="007B6E57"/>
    <w:rsid w:val="007B7219"/>
    <w:rsid w:val="007B7A37"/>
    <w:rsid w:val="007B7D93"/>
    <w:rsid w:val="007B7DBB"/>
    <w:rsid w:val="007C03E7"/>
    <w:rsid w:val="007C0555"/>
    <w:rsid w:val="007C0CDB"/>
    <w:rsid w:val="007C0D27"/>
    <w:rsid w:val="007C0DD0"/>
    <w:rsid w:val="007C0FE0"/>
    <w:rsid w:val="007C1195"/>
    <w:rsid w:val="007C1196"/>
    <w:rsid w:val="007C12B9"/>
    <w:rsid w:val="007C1509"/>
    <w:rsid w:val="007C1527"/>
    <w:rsid w:val="007C1B58"/>
    <w:rsid w:val="007C26B8"/>
    <w:rsid w:val="007C283C"/>
    <w:rsid w:val="007C2DF9"/>
    <w:rsid w:val="007C2E4A"/>
    <w:rsid w:val="007C329D"/>
    <w:rsid w:val="007C3F0C"/>
    <w:rsid w:val="007C4156"/>
    <w:rsid w:val="007C5002"/>
    <w:rsid w:val="007C545A"/>
    <w:rsid w:val="007C553E"/>
    <w:rsid w:val="007C557C"/>
    <w:rsid w:val="007C57E3"/>
    <w:rsid w:val="007C5870"/>
    <w:rsid w:val="007C5B18"/>
    <w:rsid w:val="007C5DEE"/>
    <w:rsid w:val="007C5E65"/>
    <w:rsid w:val="007C615C"/>
    <w:rsid w:val="007C6289"/>
    <w:rsid w:val="007C6B7C"/>
    <w:rsid w:val="007C6DF6"/>
    <w:rsid w:val="007C7110"/>
    <w:rsid w:val="007C7175"/>
    <w:rsid w:val="007C733D"/>
    <w:rsid w:val="007C76A5"/>
    <w:rsid w:val="007C76DF"/>
    <w:rsid w:val="007C7B80"/>
    <w:rsid w:val="007D0194"/>
    <w:rsid w:val="007D0E6F"/>
    <w:rsid w:val="007D1147"/>
    <w:rsid w:val="007D11FC"/>
    <w:rsid w:val="007D1748"/>
    <w:rsid w:val="007D2316"/>
    <w:rsid w:val="007D25EF"/>
    <w:rsid w:val="007D2755"/>
    <w:rsid w:val="007D2765"/>
    <w:rsid w:val="007D2E8A"/>
    <w:rsid w:val="007D2F92"/>
    <w:rsid w:val="007D2FAE"/>
    <w:rsid w:val="007D3230"/>
    <w:rsid w:val="007D32FE"/>
    <w:rsid w:val="007D358D"/>
    <w:rsid w:val="007D3640"/>
    <w:rsid w:val="007D3753"/>
    <w:rsid w:val="007D3D53"/>
    <w:rsid w:val="007D494A"/>
    <w:rsid w:val="007D5266"/>
    <w:rsid w:val="007D533B"/>
    <w:rsid w:val="007D5720"/>
    <w:rsid w:val="007D5F50"/>
    <w:rsid w:val="007D725B"/>
    <w:rsid w:val="007D74E6"/>
    <w:rsid w:val="007D75BE"/>
    <w:rsid w:val="007D79A1"/>
    <w:rsid w:val="007D7B9B"/>
    <w:rsid w:val="007D7DC5"/>
    <w:rsid w:val="007E0120"/>
    <w:rsid w:val="007E01EA"/>
    <w:rsid w:val="007E0803"/>
    <w:rsid w:val="007E094E"/>
    <w:rsid w:val="007E0B73"/>
    <w:rsid w:val="007E0F49"/>
    <w:rsid w:val="007E10E3"/>
    <w:rsid w:val="007E12A3"/>
    <w:rsid w:val="007E164B"/>
    <w:rsid w:val="007E1681"/>
    <w:rsid w:val="007E180C"/>
    <w:rsid w:val="007E1A3D"/>
    <w:rsid w:val="007E1D76"/>
    <w:rsid w:val="007E1E9C"/>
    <w:rsid w:val="007E256C"/>
    <w:rsid w:val="007E270E"/>
    <w:rsid w:val="007E28A5"/>
    <w:rsid w:val="007E2C15"/>
    <w:rsid w:val="007E321A"/>
    <w:rsid w:val="007E3648"/>
    <w:rsid w:val="007E3854"/>
    <w:rsid w:val="007E3A2C"/>
    <w:rsid w:val="007E3B5A"/>
    <w:rsid w:val="007E3D52"/>
    <w:rsid w:val="007E4041"/>
    <w:rsid w:val="007E4C0A"/>
    <w:rsid w:val="007E4C2E"/>
    <w:rsid w:val="007E4FAF"/>
    <w:rsid w:val="007E53FA"/>
    <w:rsid w:val="007E60F8"/>
    <w:rsid w:val="007E64B4"/>
    <w:rsid w:val="007E6B5F"/>
    <w:rsid w:val="007E73A4"/>
    <w:rsid w:val="007E762F"/>
    <w:rsid w:val="007E7BC6"/>
    <w:rsid w:val="007E7C9B"/>
    <w:rsid w:val="007E7F95"/>
    <w:rsid w:val="007F0584"/>
    <w:rsid w:val="007F0AFB"/>
    <w:rsid w:val="007F15CF"/>
    <w:rsid w:val="007F15F6"/>
    <w:rsid w:val="007F1DC6"/>
    <w:rsid w:val="007F2611"/>
    <w:rsid w:val="007F29B8"/>
    <w:rsid w:val="007F2E96"/>
    <w:rsid w:val="007F2EB7"/>
    <w:rsid w:val="007F3A2A"/>
    <w:rsid w:val="007F3F23"/>
    <w:rsid w:val="007F3F34"/>
    <w:rsid w:val="007F420E"/>
    <w:rsid w:val="007F4563"/>
    <w:rsid w:val="007F4B60"/>
    <w:rsid w:val="007F4D5F"/>
    <w:rsid w:val="007F530C"/>
    <w:rsid w:val="007F5377"/>
    <w:rsid w:val="007F54E4"/>
    <w:rsid w:val="007F5502"/>
    <w:rsid w:val="007F5648"/>
    <w:rsid w:val="007F570D"/>
    <w:rsid w:val="007F5C1D"/>
    <w:rsid w:val="007F6040"/>
    <w:rsid w:val="007F612B"/>
    <w:rsid w:val="007F65E8"/>
    <w:rsid w:val="007F6985"/>
    <w:rsid w:val="007F6C70"/>
    <w:rsid w:val="007F6E47"/>
    <w:rsid w:val="007F7108"/>
    <w:rsid w:val="007F75E9"/>
    <w:rsid w:val="00800088"/>
    <w:rsid w:val="00800221"/>
    <w:rsid w:val="00800479"/>
    <w:rsid w:val="00800A55"/>
    <w:rsid w:val="00800C48"/>
    <w:rsid w:val="00800DD8"/>
    <w:rsid w:val="0080116D"/>
    <w:rsid w:val="008012CA"/>
    <w:rsid w:val="0080134D"/>
    <w:rsid w:val="008022AB"/>
    <w:rsid w:val="008026A0"/>
    <w:rsid w:val="00802DB8"/>
    <w:rsid w:val="0080303D"/>
    <w:rsid w:val="008030DB"/>
    <w:rsid w:val="008032F7"/>
    <w:rsid w:val="00803383"/>
    <w:rsid w:val="008037E2"/>
    <w:rsid w:val="008037EF"/>
    <w:rsid w:val="00803CF9"/>
    <w:rsid w:val="00803D6A"/>
    <w:rsid w:val="0080427D"/>
    <w:rsid w:val="00804B85"/>
    <w:rsid w:val="00805498"/>
    <w:rsid w:val="0080569A"/>
    <w:rsid w:val="008060AD"/>
    <w:rsid w:val="00806191"/>
    <w:rsid w:val="008067F9"/>
    <w:rsid w:val="00806937"/>
    <w:rsid w:val="00806995"/>
    <w:rsid w:val="00806A9B"/>
    <w:rsid w:val="00806EF2"/>
    <w:rsid w:val="00806F0F"/>
    <w:rsid w:val="008071FC"/>
    <w:rsid w:val="008072C4"/>
    <w:rsid w:val="008075F0"/>
    <w:rsid w:val="00807FAD"/>
    <w:rsid w:val="0081019E"/>
    <w:rsid w:val="00810212"/>
    <w:rsid w:val="008102D2"/>
    <w:rsid w:val="008103FE"/>
    <w:rsid w:val="0081047B"/>
    <w:rsid w:val="0081048D"/>
    <w:rsid w:val="00810654"/>
    <w:rsid w:val="008109C5"/>
    <w:rsid w:val="00810E4C"/>
    <w:rsid w:val="00810FF6"/>
    <w:rsid w:val="0081184D"/>
    <w:rsid w:val="00811CD6"/>
    <w:rsid w:val="00811D14"/>
    <w:rsid w:val="008122A8"/>
    <w:rsid w:val="00812453"/>
    <w:rsid w:val="00812516"/>
    <w:rsid w:val="008126E0"/>
    <w:rsid w:val="00812B00"/>
    <w:rsid w:val="00812B90"/>
    <w:rsid w:val="00813565"/>
    <w:rsid w:val="0081371A"/>
    <w:rsid w:val="00813DC6"/>
    <w:rsid w:val="00813F5D"/>
    <w:rsid w:val="008140BB"/>
    <w:rsid w:val="00814207"/>
    <w:rsid w:val="00814992"/>
    <w:rsid w:val="00814DE5"/>
    <w:rsid w:val="00815702"/>
    <w:rsid w:val="00816272"/>
    <w:rsid w:val="0081677A"/>
    <w:rsid w:val="008167A1"/>
    <w:rsid w:val="00816B26"/>
    <w:rsid w:val="00816D95"/>
    <w:rsid w:val="00816F6B"/>
    <w:rsid w:val="00817FC0"/>
    <w:rsid w:val="008200AD"/>
    <w:rsid w:val="0082020B"/>
    <w:rsid w:val="0082076E"/>
    <w:rsid w:val="008207A5"/>
    <w:rsid w:val="008208F6"/>
    <w:rsid w:val="00820C17"/>
    <w:rsid w:val="00821849"/>
    <w:rsid w:val="0082253D"/>
    <w:rsid w:val="00822E87"/>
    <w:rsid w:val="00822EB0"/>
    <w:rsid w:val="008230B5"/>
    <w:rsid w:val="0082362B"/>
    <w:rsid w:val="00823789"/>
    <w:rsid w:val="008238AB"/>
    <w:rsid w:val="008238C3"/>
    <w:rsid w:val="0082399A"/>
    <w:rsid w:val="00823C88"/>
    <w:rsid w:val="00823F62"/>
    <w:rsid w:val="0082467C"/>
    <w:rsid w:val="00824689"/>
    <w:rsid w:val="008247F3"/>
    <w:rsid w:val="00824848"/>
    <w:rsid w:val="008253C2"/>
    <w:rsid w:val="008253CA"/>
    <w:rsid w:val="00825443"/>
    <w:rsid w:val="00825610"/>
    <w:rsid w:val="00825760"/>
    <w:rsid w:val="008258A4"/>
    <w:rsid w:val="00825C64"/>
    <w:rsid w:val="00825DA9"/>
    <w:rsid w:val="00825E41"/>
    <w:rsid w:val="00825FF7"/>
    <w:rsid w:val="00826147"/>
    <w:rsid w:val="0082663B"/>
    <w:rsid w:val="008268EB"/>
    <w:rsid w:val="0082719B"/>
    <w:rsid w:val="00827665"/>
    <w:rsid w:val="00827BB0"/>
    <w:rsid w:val="00827BCF"/>
    <w:rsid w:val="00827FF2"/>
    <w:rsid w:val="008305CE"/>
    <w:rsid w:val="00830A5C"/>
    <w:rsid w:val="00830B2B"/>
    <w:rsid w:val="00830DEA"/>
    <w:rsid w:val="00830E16"/>
    <w:rsid w:val="008314E0"/>
    <w:rsid w:val="0083160B"/>
    <w:rsid w:val="00831622"/>
    <w:rsid w:val="0083177B"/>
    <w:rsid w:val="008317F4"/>
    <w:rsid w:val="0083197B"/>
    <w:rsid w:val="00831E19"/>
    <w:rsid w:val="00831FFF"/>
    <w:rsid w:val="0083298E"/>
    <w:rsid w:val="00832D4E"/>
    <w:rsid w:val="00832E44"/>
    <w:rsid w:val="00832F55"/>
    <w:rsid w:val="00833257"/>
    <w:rsid w:val="00833313"/>
    <w:rsid w:val="008333B7"/>
    <w:rsid w:val="00833666"/>
    <w:rsid w:val="00833895"/>
    <w:rsid w:val="00834141"/>
    <w:rsid w:val="00834EFF"/>
    <w:rsid w:val="008357B4"/>
    <w:rsid w:val="008365A1"/>
    <w:rsid w:val="008366C5"/>
    <w:rsid w:val="0083674E"/>
    <w:rsid w:val="008369B4"/>
    <w:rsid w:val="00836C31"/>
    <w:rsid w:val="00836C6E"/>
    <w:rsid w:val="00836C9A"/>
    <w:rsid w:val="00836D4A"/>
    <w:rsid w:val="00836EA5"/>
    <w:rsid w:val="0083742C"/>
    <w:rsid w:val="00837764"/>
    <w:rsid w:val="008379B3"/>
    <w:rsid w:val="00837D4F"/>
    <w:rsid w:val="00840445"/>
    <w:rsid w:val="0084076B"/>
    <w:rsid w:val="0084181B"/>
    <w:rsid w:val="00841B68"/>
    <w:rsid w:val="00841E75"/>
    <w:rsid w:val="008423BB"/>
    <w:rsid w:val="00842416"/>
    <w:rsid w:val="008427BB"/>
    <w:rsid w:val="008433F0"/>
    <w:rsid w:val="00843800"/>
    <w:rsid w:val="0084380C"/>
    <w:rsid w:val="00843A62"/>
    <w:rsid w:val="00843ABD"/>
    <w:rsid w:val="008443A2"/>
    <w:rsid w:val="00844954"/>
    <w:rsid w:val="008450B5"/>
    <w:rsid w:val="00845830"/>
    <w:rsid w:val="00845878"/>
    <w:rsid w:val="00845D7B"/>
    <w:rsid w:val="00846523"/>
    <w:rsid w:val="00846734"/>
    <w:rsid w:val="00846810"/>
    <w:rsid w:val="0084694C"/>
    <w:rsid w:val="00846AAA"/>
    <w:rsid w:val="00846F20"/>
    <w:rsid w:val="00846FD5"/>
    <w:rsid w:val="00847281"/>
    <w:rsid w:val="008472F7"/>
    <w:rsid w:val="00847487"/>
    <w:rsid w:val="00847ABE"/>
    <w:rsid w:val="00847F70"/>
    <w:rsid w:val="00850156"/>
    <w:rsid w:val="008501C5"/>
    <w:rsid w:val="0085042D"/>
    <w:rsid w:val="00850BA1"/>
    <w:rsid w:val="00850FB0"/>
    <w:rsid w:val="0085114D"/>
    <w:rsid w:val="008515C0"/>
    <w:rsid w:val="0085172A"/>
    <w:rsid w:val="00851D5A"/>
    <w:rsid w:val="00851F1D"/>
    <w:rsid w:val="008529EA"/>
    <w:rsid w:val="00852B8B"/>
    <w:rsid w:val="00852DAB"/>
    <w:rsid w:val="008533C0"/>
    <w:rsid w:val="00853673"/>
    <w:rsid w:val="00853A3F"/>
    <w:rsid w:val="00853B5C"/>
    <w:rsid w:val="00853C5B"/>
    <w:rsid w:val="00854004"/>
    <w:rsid w:val="0085409E"/>
    <w:rsid w:val="008543E7"/>
    <w:rsid w:val="008549B5"/>
    <w:rsid w:val="00854A8B"/>
    <w:rsid w:val="00855629"/>
    <w:rsid w:val="0085597C"/>
    <w:rsid w:val="00855B36"/>
    <w:rsid w:val="00855B51"/>
    <w:rsid w:val="008564CA"/>
    <w:rsid w:val="0085667C"/>
    <w:rsid w:val="008568DD"/>
    <w:rsid w:val="008568E5"/>
    <w:rsid w:val="00856CB0"/>
    <w:rsid w:val="00856D8A"/>
    <w:rsid w:val="00857050"/>
    <w:rsid w:val="00857564"/>
    <w:rsid w:val="00860199"/>
    <w:rsid w:val="008601D8"/>
    <w:rsid w:val="00860288"/>
    <w:rsid w:val="008606B5"/>
    <w:rsid w:val="00860DB9"/>
    <w:rsid w:val="00861255"/>
    <w:rsid w:val="008617F9"/>
    <w:rsid w:val="0086260D"/>
    <w:rsid w:val="0086277A"/>
    <w:rsid w:val="00863FCD"/>
    <w:rsid w:val="00864583"/>
    <w:rsid w:val="00864999"/>
    <w:rsid w:val="00864BD0"/>
    <w:rsid w:val="00864C7A"/>
    <w:rsid w:val="00864D4F"/>
    <w:rsid w:val="00864E08"/>
    <w:rsid w:val="00865429"/>
    <w:rsid w:val="00865529"/>
    <w:rsid w:val="008656EF"/>
    <w:rsid w:val="00865BB3"/>
    <w:rsid w:val="00866078"/>
    <w:rsid w:val="00866442"/>
    <w:rsid w:val="00866579"/>
    <w:rsid w:val="0086669E"/>
    <w:rsid w:val="008676D8"/>
    <w:rsid w:val="0086783D"/>
    <w:rsid w:val="00867DA9"/>
    <w:rsid w:val="0087032C"/>
    <w:rsid w:val="00870570"/>
    <w:rsid w:val="00871324"/>
    <w:rsid w:val="00871738"/>
    <w:rsid w:val="0087179E"/>
    <w:rsid w:val="00871ACF"/>
    <w:rsid w:val="00872603"/>
    <w:rsid w:val="00872625"/>
    <w:rsid w:val="00872702"/>
    <w:rsid w:val="00872898"/>
    <w:rsid w:val="00873219"/>
    <w:rsid w:val="008739FA"/>
    <w:rsid w:val="00873A07"/>
    <w:rsid w:val="00873CEC"/>
    <w:rsid w:val="00873E0A"/>
    <w:rsid w:val="0087406F"/>
    <w:rsid w:val="00874D2A"/>
    <w:rsid w:val="00874E35"/>
    <w:rsid w:val="008750E7"/>
    <w:rsid w:val="00875595"/>
    <w:rsid w:val="008758A5"/>
    <w:rsid w:val="008764AA"/>
    <w:rsid w:val="00876602"/>
    <w:rsid w:val="0087661D"/>
    <w:rsid w:val="00876666"/>
    <w:rsid w:val="00876720"/>
    <w:rsid w:val="00876926"/>
    <w:rsid w:val="00876977"/>
    <w:rsid w:val="008770CD"/>
    <w:rsid w:val="00877153"/>
    <w:rsid w:val="00877226"/>
    <w:rsid w:val="008774D4"/>
    <w:rsid w:val="008779BB"/>
    <w:rsid w:val="00877B0C"/>
    <w:rsid w:val="0088027E"/>
    <w:rsid w:val="008805D6"/>
    <w:rsid w:val="008805F3"/>
    <w:rsid w:val="00880AB8"/>
    <w:rsid w:val="0088129F"/>
    <w:rsid w:val="008816C8"/>
    <w:rsid w:val="00881747"/>
    <w:rsid w:val="00882931"/>
    <w:rsid w:val="00882B2B"/>
    <w:rsid w:val="00882B41"/>
    <w:rsid w:val="00882C95"/>
    <w:rsid w:val="00882E28"/>
    <w:rsid w:val="008830F1"/>
    <w:rsid w:val="00883596"/>
    <w:rsid w:val="0088396B"/>
    <w:rsid w:val="00883DBC"/>
    <w:rsid w:val="008841EC"/>
    <w:rsid w:val="008845CE"/>
    <w:rsid w:val="0088460B"/>
    <w:rsid w:val="0088465B"/>
    <w:rsid w:val="00884941"/>
    <w:rsid w:val="00884B85"/>
    <w:rsid w:val="00884C06"/>
    <w:rsid w:val="00884DA5"/>
    <w:rsid w:val="00884EC9"/>
    <w:rsid w:val="00884F25"/>
    <w:rsid w:val="008852AC"/>
    <w:rsid w:val="00885544"/>
    <w:rsid w:val="008855ED"/>
    <w:rsid w:val="008857CC"/>
    <w:rsid w:val="0088594C"/>
    <w:rsid w:val="00885A1D"/>
    <w:rsid w:val="00885A21"/>
    <w:rsid w:val="00885A9B"/>
    <w:rsid w:val="00885F4D"/>
    <w:rsid w:val="00886354"/>
    <w:rsid w:val="00886833"/>
    <w:rsid w:val="00886ED0"/>
    <w:rsid w:val="00887145"/>
    <w:rsid w:val="00887151"/>
    <w:rsid w:val="008903D1"/>
    <w:rsid w:val="00890854"/>
    <w:rsid w:val="00890B4C"/>
    <w:rsid w:val="00890E6A"/>
    <w:rsid w:val="00891202"/>
    <w:rsid w:val="00891758"/>
    <w:rsid w:val="0089191E"/>
    <w:rsid w:val="00891940"/>
    <w:rsid w:val="00891B32"/>
    <w:rsid w:val="00891C78"/>
    <w:rsid w:val="00892197"/>
    <w:rsid w:val="00892645"/>
    <w:rsid w:val="008928A7"/>
    <w:rsid w:val="00893173"/>
    <w:rsid w:val="008931F2"/>
    <w:rsid w:val="008931FA"/>
    <w:rsid w:val="008946FF"/>
    <w:rsid w:val="00894756"/>
    <w:rsid w:val="00894E28"/>
    <w:rsid w:val="00894FC8"/>
    <w:rsid w:val="00895483"/>
    <w:rsid w:val="00895AD5"/>
    <w:rsid w:val="00895EB1"/>
    <w:rsid w:val="0089696C"/>
    <w:rsid w:val="00896E8F"/>
    <w:rsid w:val="00897209"/>
    <w:rsid w:val="008975D0"/>
    <w:rsid w:val="00897730"/>
    <w:rsid w:val="00897752"/>
    <w:rsid w:val="008978F2"/>
    <w:rsid w:val="00897A68"/>
    <w:rsid w:val="00897AC0"/>
    <w:rsid w:val="008A001D"/>
    <w:rsid w:val="008A009A"/>
    <w:rsid w:val="008A055A"/>
    <w:rsid w:val="008A06C2"/>
    <w:rsid w:val="008A0FE9"/>
    <w:rsid w:val="008A1117"/>
    <w:rsid w:val="008A1748"/>
    <w:rsid w:val="008A17CE"/>
    <w:rsid w:val="008A17E4"/>
    <w:rsid w:val="008A1985"/>
    <w:rsid w:val="008A2532"/>
    <w:rsid w:val="008A2E09"/>
    <w:rsid w:val="008A3051"/>
    <w:rsid w:val="008A325B"/>
    <w:rsid w:val="008A32B1"/>
    <w:rsid w:val="008A32CB"/>
    <w:rsid w:val="008A3524"/>
    <w:rsid w:val="008A36B7"/>
    <w:rsid w:val="008A38B0"/>
    <w:rsid w:val="008A4A48"/>
    <w:rsid w:val="008A4BA7"/>
    <w:rsid w:val="008A4C92"/>
    <w:rsid w:val="008A4D2C"/>
    <w:rsid w:val="008A5034"/>
    <w:rsid w:val="008A5323"/>
    <w:rsid w:val="008A56A1"/>
    <w:rsid w:val="008A58A1"/>
    <w:rsid w:val="008A5ADD"/>
    <w:rsid w:val="008A5F74"/>
    <w:rsid w:val="008A6051"/>
    <w:rsid w:val="008A60C8"/>
    <w:rsid w:val="008A72E0"/>
    <w:rsid w:val="008A75AD"/>
    <w:rsid w:val="008A76D5"/>
    <w:rsid w:val="008A7F91"/>
    <w:rsid w:val="008B038C"/>
    <w:rsid w:val="008B04C7"/>
    <w:rsid w:val="008B149D"/>
    <w:rsid w:val="008B1870"/>
    <w:rsid w:val="008B1B3D"/>
    <w:rsid w:val="008B1D7C"/>
    <w:rsid w:val="008B26E4"/>
    <w:rsid w:val="008B2881"/>
    <w:rsid w:val="008B2987"/>
    <w:rsid w:val="008B2A83"/>
    <w:rsid w:val="008B3607"/>
    <w:rsid w:val="008B3675"/>
    <w:rsid w:val="008B369D"/>
    <w:rsid w:val="008B3794"/>
    <w:rsid w:val="008B3D1D"/>
    <w:rsid w:val="008B3EB3"/>
    <w:rsid w:val="008B473B"/>
    <w:rsid w:val="008B4B61"/>
    <w:rsid w:val="008B4C69"/>
    <w:rsid w:val="008B510B"/>
    <w:rsid w:val="008B5605"/>
    <w:rsid w:val="008B560E"/>
    <w:rsid w:val="008B5AA4"/>
    <w:rsid w:val="008B5B4C"/>
    <w:rsid w:val="008B5E1C"/>
    <w:rsid w:val="008B5EEE"/>
    <w:rsid w:val="008B6186"/>
    <w:rsid w:val="008B6547"/>
    <w:rsid w:val="008B680D"/>
    <w:rsid w:val="008B69F7"/>
    <w:rsid w:val="008B6EAC"/>
    <w:rsid w:val="008B7079"/>
    <w:rsid w:val="008B7478"/>
    <w:rsid w:val="008B7540"/>
    <w:rsid w:val="008B776E"/>
    <w:rsid w:val="008B7B26"/>
    <w:rsid w:val="008C006F"/>
    <w:rsid w:val="008C02CD"/>
    <w:rsid w:val="008C03C7"/>
    <w:rsid w:val="008C057F"/>
    <w:rsid w:val="008C0586"/>
    <w:rsid w:val="008C05C9"/>
    <w:rsid w:val="008C0D44"/>
    <w:rsid w:val="008C11B1"/>
    <w:rsid w:val="008C1523"/>
    <w:rsid w:val="008C1575"/>
    <w:rsid w:val="008C1C9A"/>
    <w:rsid w:val="008C1CC0"/>
    <w:rsid w:val="008C1CDF"/>
    <w:rsid w:val="008C1D84"/>
    <w:rsid w:val="008C1DC5"/>
    <w:rsid w:val="008C1F62"/>
    <w:rsid w:val="008C22D2"/>
    <w:rsid w:val="008C252C"/>
    <w:rsid w:val="008C25DD"/>
    <w:rsid w:val="008C2720"/>
    <w:rsid w:val="008C2EE4"/>
    <w:rsid w:val="008C3536"/>
    <w:rsid w:val="008C3B8A"/>
    <w:rsid w:val="008C412D"/>
    <w:rsid w:val="008C4407"/>
    <w:rsid w:val="008C46CB"/>
    <w:rsid w:val="008C4B81"/>
    <w:rsid w:val="008C4C12"/>
    <w:rsid w:val="008C4C8F"/>
    <w:rsid w:val="008C4FDB"/>
    <w:rsid w:val="008C533E"/>
    <w:rsid w:val="008C5A7F"/>
    <w:rsid w:val="008C5AF2"/>
    <w:rsid w:val="008C600D"/>
    <w:rsid w:val="008C63C2"/>
    <w:rsid w:val="008C668B"/>
    <w:rsid w:val="008C67DE"/>
    <w:rsid w:val="008C6914"/>
    <w:rsid w:val="008C6BAE"/>
    <w:rsid w:val="008C6CFC"/>
    <w:rsid w:val="008C746F"/>
    <w:rsid w:val="008C7628"/>
    <w:rsid w:val="008C795D"/>
    <w:rsid w:val="008C7F2C"/>
    <w:rsid w:val="008C7F32"/>
    <w:rsid w:val="008D0B0E"/>
    <w:rsid w:val="008D0CFC"/>
    <w:rsid w:val="008D0EDD"/>
    <w:rsid w:val="008D10DF"/>
    <w:rsid w:val="008D168B"/>
    <w:rsid w:val="008D1C01"/>
    <w:rsid w:val="008D1C3B"/>
    <w:rsid w:val="008D1CC3"/>
    <w:rsid w:val="008D21DF"/>
    <w:rsid w:val="008D24E1"/>
    <w:rsid w:val="008D2593"/>
    <w:rsid w:val="008D2B7E"/>
    <w:rsid w:val="008D2BFE"/>
    <w:rsid w:val="008D2E44"/>
    <w:rsid w:val="008D35D5"/>
    <w:rsid w:val="008D361E"/>
    <w:rsid w:val="008D3A72"/>
    <w:rsid w:val="008D3EFE"/>
    <w:rsid w:val="008D41C5"/>
    <w:rsid w:val="008D4423"/>
    <w:rsid w:val="008D4C90"/>
    <w:rsid w:val="008D4FD3"/>
    <w:rsid w:val="008D5220"/>
    <w:rsid w:val="008D5634"/>
    <w:rsid w:val="008D56D6"/>
    <w:rsid w:val="008D5B1F"/>
    <w:rsid w:val="008D5E71"/>
    <w:rsid w:val="008D6616"/>
    <w:rsid w:val="008D6A5E"/>
    <w:rsid w:val="008D6C3D"/>
    <w:rsid w:val="008D7016"/>
    <w:rsid w:val="008D73D0"/>
    <w:rsid w:val="008D77EA"/>
    <w:rsid w:val="008D7D93"/>
    <w:rsid w:val="008E00D1"/>
    <w:rsid w:val="008E08B1"/>
    <w:rsid w:val="008E0A18"/>
    <w:rsid w:val="008E0AF0"/>
    <w:rsid w:val="008E0BAE"/>
    <w:rsid w:val="008E110B"/>
    <w:rsid w:val="008E1217"/>
    <w:rsid w:val="008E1793"/>
    <w:rsid w:val="008E19CF"/>
    <w:rsid w:val="008E1D82"/>
    <w:rsid w:val="008E252C"/>
    <w:rsid w:val="008E28CB"/>
    <w:rsid w:val="008E2C98"/>
    <w:rsid w:val="008E2F7F"/>
    <w:rsid w:val="008E3483"/>
    <w:rsid w:val="008E38E1"/>
    <w:rsid w:val="008E42A0"/>
    <w:rsid w:val="008E506D"/>
    <w:rsid w:val="008E521A"/>
    <w:rsid w:val="008E5BEE"/>
    <w:rsid w:val="008E5CD9"/>
    <w:rsid w:val="008E5FED"/>
    <w:rsid w:val="008E61E3"/>
    <w:rsid w:val="008E63C0"/>
    <w:rsid w:val="008E650C"/>
    <w:rsid w:val="008E65AA"/>
    <w:rsid w:val="008E67A9"/>
    <w:rsid w:val="008E69F9"/>
    <w:rsid w:val="008E6E5E"/>
    <w:rsid w:val="008E6F9F"/>
    <w:rsid w:val="008E7125"/>
    <w:rsid w:val="008E7632"/>
    <w:rsid w:val="008E7886"/>
    <w:rsid w:val="008E7ACB"/>
    <w:rsid w:val="008E7B8A"/>
    <w:rsid w:val="008F01DA"/>
    <w:rsid w:val="008F0499"/>
    <w:rsid w:val="008F0AC5"/>
    <w:rsid w:val="008F0B6C"/>
    <w:rsid w:val="008F0FD7"/>
    <w:rsid w:val="008F0FDC"/>
    <w:rsid w:val="008F10EF"/>
    <w:rsid w:val="008F127B"/>
    <w:rsid w:val="008F14FF"/>
    <w:rsid w:val="008F18A1"/>
    <w:rsid w:val="008F1F2B"/>
    <w:rsid w:val="008F2033"/>
    <w:rsid w:val="008F2D4E"/>
    <w:rsid w:val="008F3369"/>
    <w:rsid w:val="008F38DA"/>
    <w:rsid w:val="008F3AC6"/>
    <w:rsid w:val="008F3B60"/>
    <w:rsid w:val="008F4038"/>
    <w:rsid w:val="008F4F66"/>
    <w:rsid w:val="008F5228"/>
    <w:rsid w:val="008F5BF6"/>
    <w:rsid w:val="008F5D43"/>
    <w:rsid w:val="008F6828"/>
    <w:rsid w:val="008F6B4D"/>
    <w:rsid w:val="008F6D51"/>
    <w:rsid w:val="008F6FEE"/>
    <w:rsid w:val="008F789A"/>
    <w:rsid w:val="008F7A66"/>
    <w:rsid w:val="00900047"/>
    <w:rsid w:val="009007A6"/>
    <w:rsid w:val="00900AD6"/>
    <w:rsid w:val="0090160C"/>
    <w:rsid w:val="00901EEC"/>
    <w:rsid w:val="00901EFD"/>
    <w:rsid w:val="00901F67"/>
    <w:rsid w:val="009023CB"/>
    <w:rsid w:val="00902410"/>
    <w:rsid w:val="009024C1"/>
    <w:rsid w:val="00902673"/>
    <w:rsid w:val="00903680"/>
    <w:rsid w:val="00903B3A"/>
    <w:rsid w:val="00903C9A"/>
    <w:rsid w:val="0090424E"/>
    <w:rsid w:val="0090432A"/>
    <w:rsid w:val="00904BBB"/>
    <w:rsid w:val="00905266"/>
    <w:rsid w:val="00905C52"/>
    <w:rsid w:val="00905CCE"/>
    <w:rsid w:val="00905FDD"/>
    <w:rsid w:val="00906068"/>
    <w:rsid w:val="00906304"/>
    <w:rsid w:val="009070F9"/>
    <w:rsid w:val="0090742B"/>
    <w:rsid w:val="00907DCA"/>
    <w:rsid w:val="009103A0"/>
    <w:rsid w:val="0091046D"/>
    <w:rsid w:val="009106A3"/>
    <w:rsid w:val="009107BE"/>
    <w:rsid w:val="00910A98"/>
    <w:rsid w:val="00911228"/>
    <w:rsid w:val="009113BD"/>
    <w:rsid w:val="00911696"/>
    <w:rsid w:val="00911726"/>
    <w:rsid w:val="00911D5A"/>
    <w:rsid w:val="0091203D"/>
    <w:rsid w:val="0091273E"/>
    <w:rsid w:val="009129C8"/>
    <w:rsid w:val="00912DFC"/>
    <w:rsid w:val="009134F2"/>
    <w:rsid w:val="009137CF"/>
    <w:rsid w:val="00913CB9"/>
    <w:rsid w:val="00913D4D"/>
    <w:rsid w:val="00913E97"/>
    <w:rsid w:val="00913F2F"/>
    <w:rsid w:val="0091412A"/>
    <w:rsid w:val="00914661"/>
    <w:rsid w:val="00914B08"/>
    <w:rsid w:val="00914C0E"/>
    <w:rsid w:val="00914D3B"/>
    <w:rsid w:val="00914EAD"/>
    <w:rsid w:val="0091572B"/>
    <w:rsid w:val="00915829"/>
    <w:rsid w:val="009164D0"/>
    <w:rsid w:val="009166B4"/>
    <w:rsid w:val="00916C5A"/>
    <w:rsid w:val="00917095"/>
    <w:rsid w:val="00917271"/>
    <w:rsid w:val="009174A7"/>
    <w:rsid w:val="009176B9"/>
    <w:rsid w:val="0091794B"/>
    <w:rsid w:val="00917BB8"/>
    <w:rsid w:val="00917CE7"/>
    <w:rsid w:val="00917F28"/>
    <w:rsid w:val="0092034D"/>
    <w:rsid w:val="009203E5"/>
    <w:rsid w:val="00920B48"/>
    <w:rsid w:val="0092110C"/>
    <w:rsid w:val="009211B3"/>
    <w:rsid w:val="0092178B"/>
    <w:rsid w:val="009219AD"/>
    <w:rsid w:val="00922436"/>
    <w:rsid w:val="009225F0"/>
    <w:rsid w:val="00922943"/>
    <w:rsid w:val="00922A22"/>
    <w:rsid w:val="0092336D"/>
    <w:rsid w:val="009233B2"/>
    <w:rsid w:val="009233DC"/>
    <w:rsid w:val="0092453E"/>
    <w:rsid w:val="00925224"/>
    <w:rsid w:val="0092582B"/>
    <w:rsid w:val="009258B3"/>
    <w:rsid w:val="00925A38"/>
    <w:rsid w:val="00925A75"/>
    <w:rsid w:val="009263FE"/>
    <w:rsid w:val="00926544"/>
    <w:rsid w:val="00926742"/>
    <w:rsid w:val="009269E3"/>
    <w:rsid w:val="00926D4C"/>
    <w:rsid w:val="00926ED3"/>
    <w:rsid w:val="00927003"/>
    <w:rsid w:val="00927202"/>
    <w:rsid w:val="009272DA"/>
    <w:rsid w:val="009275A3"/>
    <w:rsid w:val="00927C49"/>
    <w:rsid w:val="00927DCC"/>
    <w:rsid w:val="00930075"/>
    <w:rsid w:val="009302AC"/>
    <w:rsid w:val="009306CB"/>
    <w:rsid w:val="00930968"/>
    <w:rsid w:val="009310B0"/>
    <w:rsid w:val="009310EF"/>
    <w:rsid w:val="009315FA"/>
    <w:rsid w:val="009319FD"/>
    <w:rsid w:val="00931CED"/>
    <w:rsid w:val="00931E8D"/>
    <w:rsid w:val="009320E4"/>
    <w:rsid w:val="0093251D"/>
    <w:rsid w:val="00933357"/>
    <w:rsid w:val="0093364F"/>
    <w:rsid w:val="009337E2"/>
    <w:rsid w:val="00933802"/>
    <w:rsid w:val="00933D69"/>
    <w:rsid w:val="00933F7B"/>
    <w:rsid w:val="009340C0"/>
    <w:rsid w:val="0093459C"/>
    <w:rsid w:val="0093462C"/>
    <w:rsid w:val="00934801"/>
    <w:rsid w:val="0093490A"/>
    <w:rsid w:val="00934AE0"/>
    <w:rsid w:val="00934F7D"/>
    <w:rsid w:val="00934F99"/>
    <w:rsid w:val="009352E0"/>
    <w:rsid w:val="0093547B"/>
    <w:rsid w:val="00935530"/>
    <w:rsid w:val="00935D34"/>
    <w:rsid w:val="00935E59"/>
    <w:rsid w:val="0093612D"/>
    <w:rsid w:val="00936560"/>
    <w:rsid w:val="00936B98"/>
    <w:rsid w:val="00936C2A"/>
    <w:rsid w:val="00936DD6"/>
    <w:rsid w:val="00936E76"/>
    <w:rsid w:val="00936F9B"/>
    <w:rsid w:val="00937253"/>
    <w:rsid w:val="009377BA"/>
    <w:rsid w:val="00937925"/>
    <w:rsid w:val="00937A73"/>
    <w:rsid w:val="00937AB6"/>
    <w:rsid w:val="00937CF8"/>
    <w:rsid w:val="00940052"/>
    <w:rsid w:val="00940BB7"/>
    <w:rsid w:val="00940C93"/>
    <w:rsid w:val="009417B0"/>
    <w:rsid w:val="009418EB"/>
    <w:rsid w:val="00941CED"/>
    <w:rsid w:val="00942158"/>
    <w:rsid w:val="0094225B"/>
    <w:rsid w:val="009423D2"/>
    <w:rsid w:val="00942610"/>
    <w:rsid w:val="00942D67"/>
    <w:rsid w:val="00942F12"/>
    <w:rsid w:val="009434F5"/>
    <w:rsid w:val="00943902"/>
    <w:rsid w:val="00943AD8"/>
    <w:rsid w:val="00943B28"/>
    <w:rsid w:val="00944589"/>
    <w:rsid w:val="009448AA"/>
    <w:rsid w:val="00944B4B"/>
    <w:rsid w:val="00944D23"/>
    <w:rsid w:val="00944D9C"/>
    <w:rsid w:val="00944EEF"/>
    <w:rsid w:val="009453A9"/>
    <w:rsid w:val="00945ED6"/>
    <w:rsid w:val="00946CA8"/>
    <w:rsid w:val="0094716E"/>
    <w:rsid w:val="0094730A"/>
    <w:rsid w:val="009476A4"/>
    <w:rsid w:val="009476AB"/>
    <w:rsid w:val="00947F7A"/>
    <w:rsid w:val="00950549"/>
    <w:rsid w:val="00950AFB"/>
    <w:rsid w:val="00950EFB"/>
    <w:rsid w:val="00951EED"/>
    <w:rsid w:val="00951EF0"/>
    <w:rsid w:val="00951FDF"/>
    <w:rsid w:val="00952CAE"/>
    <w:rsid w:val="00952CBE"/>
    <w:rsid w:val="00952D00"/>
    <w:rsid w:val="00953175"/>
    <w:rsid w:val="00953795"/>
    <w:rsid w:val="009537A4"/>
    <w:rsid w:val="00953858"/>
    <w:rsid w:val="009538C9"/>
    <w:rsid w:val="00954463"/>
    <w:rsid w:val="009548DF"/>
    <w:rsid w:val="00954995"/>
    <w:rsid w:val="009549CE"/>
    <w:rsid w:val="00955426"/>
    <w:rsid w:val="009558D9"/>
    <w:rsid w:val="00955B89"/>
    <w:rsid w:val="00956301"/>
    <w:rsid w:val="00956A2E"/>
    <w:rsid w:val="009573F0"/>
    <w:rsid w:val="00957945"/>
    <w:rsid w:val="00957990"/>
    <w:rsid w:val="00960163"/>
    <w:rsid w:val="00960329"/>
    <w:rsid w:val="009605F2"/>
    <w:rsid w:val="00960B79"/>
    <w:rsid w:val="00960FB9"/>
    <w:rsid w:val="009611FA"/>
    <w:rsid w:val="009614E7"/>
    <w:rsid w:val="0096174A"/>
    <w:rsid w:val="0096182F"/>
    <w:rsid w:val="00961A4A"/>
    <w:rsid w:val="00961E80"/>
    <w:rsid w:val="00961F8E"/>
    <w:rsid w:val="0096224A"/>
    <w:rsid w:val="0096224B"/>
    <w:rsid w:val="00962A8D"/>
    <w:rsid w:val="00962BAC"/>
    <w:rsid w:val="00962DDC"/>
    <w:rsid w:val="00962DE5"/>
    <w:rsid w:val="00963307"/>
    <w:rsid w:val="00963357"/>
    <w:rsid w:val="00963391"/>
    <w:rsid w:val="009635FE"/>
    <w:rsid w:val="0096361F"/>
    <w:rsid w:val="00964273"/>
    <w:rsid w:val="009643FA"/>
    <w:rsid w:val="0096465D"/>
    <w:rsid w:val="00964D55"/>
    <w:rsid w:val="00964E72"/>
    <w:rsid w:val="009651F1"/>
    <w:rsid w:val="0096555A"/>
    <w:rsid w:val="00965A0A"/>
    <w:rsid w:val="0096610C"/>
    <w:rsid w:val="009662F8"/>
    <w:rsid w:val="00966300"/>
    <w:rsid w:val="009665C6"/>
    <w:rsid w:val="00966BB5"/>
    <w:rsid w:val="00967523"/>
    <w:rsid w:val="00967A37"/>
    <w:rsid w:val="00967C02"/>
    <w:rsid w:val="009702BB"/>
    <w:rsid w:val="0097048F"/>
    <w:rsid w:val="0097052E"/>
    <w:rsid w:val="00970553"/>
    <w:rsid w:val="00970598"/>
    <w:rsid w:val="00970621"/>
    <w:rsid w:val="00970A10"/>
    <w:rsid w:val="00970A85"/>
    <w:rsid w:val="00970D06"/>
    <w:rsid w:val="009719C5"/>
    <w:rsid w:val="00971E43"/>
    <w:rsid w:val="00971EB8"/>
    <w:rsid w:val="00972006"/>
    <w:rsid w:val="0097200B"/>
    <w:rsid w:val="009727A0"/>
    <w:rsid w:val="009727CC"/>
    <w:rsid w:val="00972FF3"/>
    <w:rsid w:val="00973023"/>
    <w:rsid w:val="0097359F"/>
    <w:rsid w:val="009735E8"/>
    <w:rsid w:val="00974189"/>
    <w:rsid w:val="0097458B"/>
    <w:rsid w:val="0097463A"/>
    <w:rsid w:val="00974D3F"/>
    <w:rsid w:val="00974E99"/>
    <w:rsid w:val="009751D9"/>
    <w:rsid w:val="00975244"/>
    <w:rsid w:val="009753C0"/>
    <w:rsid w:val="0097590D"/>
    <w:rsid w:val="009765F4"/>
    <w:rsid w:val="00976AD4"/>
    <w:rsid w:val="00977089"/>
    <w:rsid w:val="009771F5"/>
    <w:rsid w:val="00977385"/>
    <w:rsid w:val="009774D7"/>
    <w:rsid w:val="00977668"/>
    <w:rsid w:val="009802AA"/>
    <w:rsid w:val="00980593"/>
    <w:rsid w:val="0098067B"/>
    <w:rsid w:val="009808AA"/>
    <w:rsid w:val="00980C0D"/>
    <w:rsid w:val="00980CBE"/>
    <w:rsid w:val="00980E69"/>
    <w:rsid w:val="009814EB"/>
    <w:rsid w:val="00981C25"/>
    <w:rsid w:val="00981CF4"/>
    <w:rsid w:val="00981F71"/>
    <w:rsid w:val="00982220"/>
    <w:rsid w:val="00982473"/>
    <w:rsid w:val="009825DB"/>
    <w:rsid w:val="0098288A"/>
    <w:rsid w:val="00982CAB"/>
    <w:rsid w:val="00982DF8"/>
    <w:rsid w:val="009830E6"/>
    <w:rsid w:val="009831D5"/>
    <w:rsid w:val="009835C0"/>
    <w:rsid w:val="0098362D"/>
    <w:rsid w:val="0098374A"/>
    <w:rsid w:val="00983C49"/>
    <w:rsid w:val="00983F24"/>
    <w:rsid w:val="00984313"/>
    <w:rsid w:val="0098487A"/>
    <w:rsid w:val="0098496E"/>
    <w:rsid w:val="00984C9F"/>
    <w:rsid w:val="00985040"/>
    <w:rsid w:val="00985256"/>
    <w:rsid w:val="0098546E"/>
    <w:rsid w:val="00985671"/>
    <w:rsid w:val="0098581A"/>
    <w:rsid w:val="00985B81"/>
    <w:rsid w:val="00985D2D"/>
    <w:rsid w:val="00986346"/>
    <w:rsid w:val="00986962"/>
    <w:rsid w:val="009869EC"/>
    <w:rsid w:val="00986AA4"/>
    <w:rsid w:val="00986C67"/>
    <w:rsid w:val="009870C9"/>
    <w:rsid w:val="009872E2"/>
    <w:rsid w:val="0098756D"/>
    <w:rsid w:val="009879ED"/>
    <w:rsid w:val="00987A84"/>
    <w:rsid w:val="00987B2B"/>
    <w:rsid w:val="00987FD5"/>
    <w:rsid w:val="0099076C"/>
    <w:rsid w:val="00990935"/>
    <w:rsid w:val="00990CB5"/>
    <w:rsid w:val="00990EB8"/>
    <w:rsid w:val="009911F5"/>
    <w:rsid w:val="00991628"/>
    <w:rsid w:val="00991914"/>
    <w:rsid w:val="00991AD9"/>
    <w:rsid w:val="00991B1D"/>
    <w:rsid w:val="00991EBC"/>
    <w:rsid w:val="009926C6"/>
    <w:rsid w:val="00992879"/>
    <w:rsid w:val="00992935"/>
    <w:rsid w:val="00992A3C"/>
    <w:rsid w:val="00992DE8"/>
    <w:rsid w:val="00992F1D"/>
    <w:rsid w:val="00993058"/>
    <w:rsid w:val="0099305A"/>
    <w:rsid w:val="0099309C"/>
    <w:rsid w:val="00993372"/>
    <w:rsid w:val="009934E3"/>
    <w:rsid w:val="009936FA"/>
    <w:rsid w:val="009937E6"/>
    <w:rsid w:val="00993A40"/>
    <w:rsid w:val="00993AEA"/>
    <w:rsid w:val="00993FE2"/>
    <w:rsid w:val="009952FC"/>
    <w:rsid w:val="00995390"/>
    <w:rsid w:val="009953AC"/>
    <w:rsid w:val="0099552A"/>
    <w:rsid w:val="009958B7"/>
    <w:rsid w:val="0099591E"/>
    <w:rsid w:val="0099594F"/>
    <w:rsid w:val="00995C58"/>
    <w:rsid w:val="0099635F"/>
    <w:rsid w:val="00996400"/>
    <w:rsid w:val="00996B92"/>
    <w:rsid w:val="00996C18"/>
    <w:rsid w:val="0099730C"/>
    <w:rsid w:val="009975D8"/>
    <w:rsid w:val="00997FE4"/>
    <w:rsid w:val="009A01BD"/>
    <w:rsid w:val="009A053C"/>
    <w:rsid w:val="009A0661"/>
    <w:rsid w:val="009A0856"/>
    <w:rsid w:val="009A0963"/>
    <w:rsid w:val="009A0AD4"/>
    <w:rsid w:val="009A0FFD"/>
    <w:rsid w:val="009A1143"/>
    <w:rsid w:val="009A1375"/>
    <w:rsid w:val="009A1398"/>
    <w:rsid w:val="009A149C"/>
    <w:rsid w:val="009A29D5"/>
    <w:rsid w:val="009A2B95"/>
    <w:rsid w:val="009A34F0"/>
    <w:rsid w:val="009A3831"/>
    <w:rsid w:val="009A3DC7"/>
    <w:rsid w:val="009A3F38"/>
    <w:rsid w:val="009A4426"/>
    <w:rsid w:val="009A4470"/>
    <w:rsid w:val="009A4BDC"/>
    <w:rsid w:val="009A4DFA"/>
    <w:rsid w:val="009A50D2"/>
    <w:rsid w:val="009A5243"/>
    <w:rsid w:val="009A5874"/>
    <w:rsid w:val="009A6153"/>
    <w:rsid w:val="009A628D"/>
    <w:rsid w:val="009A7334"/>
    <w:rsid w:val="009A7842"/>
    <w:rsid w:val="009A7DF8"/>
    <w:rsid w:val="009A7F7B"/>
    <w:rsid w:val="009A7FD5"/>
    <w:rsid w:val="009B0183"/>
    <w:rsid w:val="009B01AB"/>
    <w:rsid w:val="009B0844"/>
    <w:rsid w:val="009B0D25"/>
    <w:rsid w:val="009B0DD4"/>
    <w:rsid w:val="009B0E28"/>
    <w:rsid w:val="009B0EFC"/>
    <w:rsid w:val="009B14BE"/>
    <w:rsid w:val="009B152F"/>
    <w:rsid w:val="009B15BD"/>
    <w:rsid w:val="009B15ED"/>
    <w:rsid w:val="009B161B"/>
    <w:rsid w:val="009B16F9"/>
    <w:rsid w:val="009B1887"/>
    <w:rsid w:val="009B2124"/>
    <w:rsid w:val="009B26D3"/>
    <w:rsid w:val="009B297C"/>
    <w:rsid w:val="009B304A"/>
    <w:rsid w:val="009B37D4"/>
    <w:rsid w:val="009B424E"/>
    <w:rsid w:val="009B44C4"/>
    <w:rsid w:val="009B46BA"/>
    <w:rsid w:val="009B4870"/>
    <w:rsid w:val="009B4F73"/>
    <w:rsid w:val="009B504A"/>
    <w:rsid w:val="009B5053"/>
    <w:rsid w:val="009B566C"/>
    <w:rsid w:val="009B5792"/>
    <w:rsid w:val="009B58F9"/>
    <w:rsid w:val="009B6210"/>
    <w:rsid w:val="009B66A6"/>
    <w:rsid w:val="009B689E"/>
    <w:rsid w:val="009B6AE1"/>
    <w:rsid w:val="009B6BB9"/>
    <w:rsid w:val="009B6F8F"/>
    <w:rsid w:val="009B71C5"/>
    <w:rsid w:val="009B7871"/>
    <w:rsid w:val="009B788E"/>
    <w:rsid w:val="009B791F"/>
    <w:rsid w:val="009B7DE4"/>
    <w:rsid w:val="009B7E73"/>
    <w:rsid w:val="009C062A"/>
    <w:rsid w:val="009C0771"/>
    <w:rsid w:val="009C081D"/>
    <w:rsid w:val="009C08F2"/>
    <w:rsid w:val="009C0A25"/>
    <w:rsid w:val="009C0C58"/>
    <w:rsid w:val="009C1375"/>
    <w:rsid w:val="009C16E1"/>
    <w:rsid w:val="009C188A"/>
    <w:rsid w:val="009C1916"/>
    <w:rsid w:val="009C1BDF"/>
    <w:rsid w:val="009C2365"/>
    <w:rsid w:val="009C236E"/>
    <w:rsid w:val="009C25A8"/>
    <w:rsid w:val="009C2806"/>
    <w:rsid w:val="009C2F66"/>
    <w:rsid w:val="009C31E2"/>
    <w:rsid w:val="009C328A"/>
    <w:rsid w:val="009C32BF"/>
    <w:rsid w:val="009C388A"/>
    <w:rsid w:val="009C40C8"/>
    <w:rsid w:val="009C48D6"/>
    <w:rsid w:val="009C4903"/>
    <w:rsid w:val="009C4978"/>
    <w:rsid w:val="009C5013"/>
    <w:rsid w:val="009C54B9"/>
    <w:rsid w:val="009C5556"/>
    <w:rsid w:val="009C5608"/>
    <w:rsid w:val="009C5753"/>
    <w:rsid w:val="009C5AB0"/>
    <w:rsid w:val="009C6346"/>
    <w:rsid w:val="009C643A"/>
    <w:rsid w:val="009C667A"/>
    <w:rsid w:val="009C6780"/>
    <w:rsid w:val="009C6F04"/>
    <w:rsid w:val="009C7666"/>
    <w:rsid w:val="009C7D94"/>
    <w:rsid w:val="009C7DD0"/>
    <w:rsid w:val="009C7F15"/>
    <w:rsid w:val="009D0408"/>
    <w:rsid w:val="009D0618"/>
    <w:rsid w:val="009D06A5"/>
    <w:rsid w:val="009D0B99"/>
    <w:rsid w:val="009D0D62"/>
    <w:rsid w:val="009D175F"/>
    <w:rsid w:val="009D185A"/>
    <w:rsid w:val="009D1A16"/>
    <w:rsid w:val="009D1A90"/>
    <w:rsid w:val="009D1E3F"/>
    <w:rsid w:val="009D3072"/>
    <w:rsid w:val="009D30E1"/>
    <w:rsid w:val="009D34AE"/>
    <w:rsid w:val="009D3E0C"/>
    <w:rsid w:val="009D3F71"/>
    <w:rsid w:val="009D4261"/>
    <w:rsid w:val="009D43FF"/>
    <w:rsid w:val="009D440F"/>
    <w:rsid w:val="009D455C"/>
    <w:rsid w:val="009D476C"/>
    <w:rsid w:val="009D4A81"/>
    <w:rsid w:val="009D4ABD"/>
    <w:rsid w:val="009D507A"/>
    <w:rsid w:val="009D50B0"/>
    <w:rsid w:val="009D5137"/>
    <w:rsid w:val="009D658D"/>
    <w:rsid w:val="009D6650"/>
    <w:rsid w:val="009D675F"/>
    <w:rsid w:val="009D67AA"/>
    <w:rsid w:val="009D68C1"/>
    <w:rsid w:val="009D69B4"/>
    <w:rsid w:val="009D69FA"/>
    <w:rsid w:val="009D6A14"/>
    <w:rsid w:val="009D6A5A"/>
    <w:rsid w:val="009D6D64"/>
    <w:rsid w:val="009D6E27"/>
    <w:rsid w:val="009D70E8"/>
    <w:rsid w:val="009D71EC"/>
    <w:rsid w:val="009D7564"/>
    <w:rsid w:val="009D75F0"/>
    <w:rsid w:val="009D79D2"/>
    <w:rsid w:val="009D79D7"/>
    <w:rsid w:val="009D7A7C"/>
    <w:rsid w:val="009D7B6D"/>
    <w:rsid w:val="009D7BD0"/>
    <w:rsid w:val="009D7C30"/>
    <w:rsid w:val="009D7D80"/>
    <w:rsid w:val="009D7F25"/>
    <w:rsid w:val="009D7F51"/>
    <w:rsid w:val="009E0594"/>
    <w:rsid w:val="009E0660"/>
    <w:rsid w:val="009E07B8"/>
    <w:rsid w:val="009E1242"/>
    <w:rsid w:val="009E1BC0"/>
    <w:rsid w:val="009E1E74"/>
    <w:rsid w:val="009E202C"/>
    <w:rsid w:val="009E21DE"/>
    <w:rsid w:val="009E21F6"/>
    <w:rsid w:val="009E228C"/>
    <w:rsid w:val="009E25D4"/>
    <w:rsid w:val="009E34F5"/>
    <w:rsid w:val="009E375B"/>
    <w:rsid w:val="009E3D33"/>
    <w:rsid w:val="009E412C"/>
    <w:rsid w:val="009E4C97"/>
    <w:rsid w:val="009E5036"/>
    <w:rsid w:val="009E5252"/>
    <w:rsid w:val="009E568F"/>
    <w:rsid w:val="009E5DBF"/>
    <w:rsid w:val="009E67C9"/>
    <w:rsid w:val="009E6E2A"/>
    <w:rsid w:val="009E6E4A"/>
    <w:rsid w:val="009E6E63"/>
    <w:rsid w:val="009E73AB"/>
    <w:rsid w:val="009E7615"/>
    <w:rsid w:val="009E7846"/>
    <w:rsid w:val="009E7D46"/>
    <w:rsid w:val="009E7F8E"/>
    <w:rsid w:val="009F0548"/>
    <w:rsid w:val="009F05C6"/>
    <w:rsid w:val="009F06DA"/>
    <w:rsid w:val="009F07A1"/>
    <w:rsid w:val="009F0840"/>
    <w:rsid w:val="009F0890"/>
    <w:rsid w:val="009F12CC"/>
    <w:rsid w:val="009F1332"/>
    <w:rsid w:val="009F1362"/>
    <w:rsid w:val="009F13AE"/>
    <w:rsid w:val="009F177A"/>
    <w:rsid w:val="009F1E52"/>
    <w:rsid w:val="009F2156"/>
    <w:rsid w:val="009F2AEB"/>
    <w:rsid w:val="009F3898"/>
    <w:rsid w:val="009F3D87"/>
    <w:rsid w:val="009F45D5"/>
    <w:rsid w:val="009F49A6"/>
    <w:rsid w:val="009F4D26"/>
    <w:rsid w:val="009F57CA"/>
    <w:rsid w:val="009F59B8"/>
    <w:rsid w:val="009F5B33"/>
    <w:rsid w:val="009F5C6A"/>
    <w:rsid w:val="009F5E44"/>
    <w:rsid w:val="009F6125"/>
    <w:rsid w:val="009F6336"/>
    <w:rsid w:val="009F6750"/>
    <w:rsid w:val="009F67CF"/>
    <w:rsid w:val="009F6869"/>
    <w:rsid w:val="009F69AA"/>
    <w:rsid w:val="009F6FB9"/>
    <w:rsid w:val="009F700A"/>
    <w:rsid w:val="009F7026"/>
    <w:rsid w:val="009F72C7"/>
    <w:rsid w:val="009F73C9"/>
    <w:rsid w:val="009F73E9"/>
    <w:rsid w:val="009F7462"/>
    <w:rsid w:val="009F79E7"/>
    <w:rsid w:val="009F7F41"/>
    <w:rsid w:val="009F7F7F"/>
    <w:rsid w:val="00A0028C"/>
    <w:rsid w:val="00A002AB"/>
    <w:rsid w:val="00A004FA"/>
    <w:rsid w:val="00A00A7A"/>
    <w:rsid w:val="00A00C42"/>
    <w:rsid w:val="00A00F1D"/>
    <w:rsid w:val="00A0118A"/>
    <w:rsid w:val="00A01239"/>
    <w:rsid w:val="00A012CA"/>
    <w:rsid w:val="00A01957"/>
    <w:rsid w:val="00A025C1"/>
    <w:rsid w:val="00A02929"/>
    <w:rsid w:val="00A02A0F"/>
    <w:rsid w:val="00A03010"/>
    <w:rsid w:val="00A034BE"/>
    <w:rsid w:val="00A035BB"/>
    <w:rsid w:val="00A03C2F"/>
    <w:rsid w:val="00A04006"/>
    <w:rsid w:val="00A041BB"/>
    <w:rsid w:val="00A044AA"/>
    <w:rsid w:val="00A049E8"/>
    <w:rsid w:val="00A04AB9"/>
    <w:rsid w:val="00A04C5D"/>
    <w:rsid w:val="00A04DF0"/>
    <w:rsid w:val="00A04E4B"/>
    <w:rsid w:val="00A04F25"/>
    <w:rsid w:val="00A0586C"/>
    <w:rsid w:val="00A05A31"/>
    <w:rsid w:val="00A05AFB"/>
    <w:rsid w:val="00A06157"/>
    <w:rsid w:val="00A0615D"/>
    <w:rsid w:val="00A069F2"/>
    <w:rsid w:val="00A06FAA"/>
    <w:rsid w:val="00A07459"/>
    <w:rsid w:val="00A0788E"/>
    <w:rsid w:val="00A07894"/>
    <w:rsid w:val="00A07A40"/>
    <w:rsid w:val="00A07B48"/>
    <w:rsid w:val="00A07D04"/>
    <w:rsid w:val="00A07DC7"/>
    <w:rsid w:val="00A07E3A"/>
    <w:rsid w:val="00A10334"/>
    <w:rsid w:val="00A10593"/>
    <w:rsid w:val="00A109BD"/>
    <w:rsid w:val="00A10C0A"/>
    <w:rsid w:val="00A10D8C"/>
    <w:rsid w:val="00A11148"/>
    <w:rsid w:val="00A11484"/>
    <w:rsid w:val="00A114C4"/>
    <w:rsid w:val="00A115EE"/>
    <w:rsid w:val="00A116B2"/>
    <w:rsid w:val="00A117A1"/>
    <w:rsid w:val="00A119CB"/>
    <w:rsid w:val="00A11A07"/>
    <w:rsid w:val="00A11E75"/>
    <w:rsid w:val="00A1234C"/>
    <w:rsid w:val="00A1241C"/>
    <w:rsid w:val="00A1245A"/>
    <w:rsid w:val="00A12515"/>
    <w:rsid w:val="00A126DB"/>
    <w:rsid w:val="00A12CB6"/>
    <w:rsid w:val="00A12D22"/>
    <w:rsid w:val="00A13120"/>
    <w:rsid w:val="00A132B7"/>
    <w:rsid w:val="00A13641"/>
    <w:rsid w:val="00A13A03"/>
    <w:rsid w:val="00A140E8"/>
    <w:rsid w:val="00A142C0"/>
    <w:rsid w:val="00A1495B"/>
    <w:rsid w:val="00A14B18"/>
    <w:rsid w:val="00A14D76"/>
    <w:rsid w:val="00A15392"/>
    <w:rsid w:val="00A15A10"/>
    <w:rsid w:val="00A16333"/>
    <w:rsid w:val="00A16795"/>
    <w:rsid w:val="00A16B05"/>
    <w:rsid w:val="00A16DA3"/>
    <w:rsid w:val="00A17241"/>
    <w:rsid w:val="00A1787C"/>
    <w:rsid w:val="00A17CA1"/>
    <w:rsid w:val="00A17CDF"/>
    <w:rsid w:val="00A202FE"/>
    <w:rsid w:val="00A20383"/>
    <w:rsid w:val="00A20788"/>
    <w:rsid w:val="00A209CB"/>
    <w:rsid w:val="00A210B0"/>
    <w:rsid w:val="00A214DC"/>
    <w:rsid w:val="00A21531"/>
    <w:rsid w:val="00A2159F"/>
    <w:rsid w:val="00A216AB"/>
    <w:rsid w:val="00A21BD0"/>
    <w:rsid w:val="00A21DF3"/>
    <w:rsid w:val="00A22459"/>
    <w:rsid w:val="00A2265B"/>
    <w:rsid w:val="00A22777"/>
    <w:rsid w:val="00A2298C"/>
    <w:rsid w:val="00A23779"/>
    <w:rsid w:val="00A237FB"/>
    <w:rsid w:val="00A2389D"/>
    <w:rsid w:val="00A23B09"/>
    <w:rsid w:val="00A23FE7"/>
    <w:rsid w:val="00A23FEC"/>
    <w:rsid w:val="00A23FF9"/>
    <w:rsid w:val="00A240DA"/>
    <w:rsid w:val="00A241D0"/>
    <w:rsid w:val="00A24B2E"/>
    <w:rsid w:val="00A24B3A"/>
    <w:rsid w:val="00A24E6E"/>
    <w:rsid w:val="00A24F0E"/>
    <w:rsid w:val="00A24FD4"/>
    <w:rsid w:val="00A253FD"/>
    <w:rsid w:val="00A25842"/>
    <w:rsid w:val="00A25A6E"/>
    <w:rsid w:val="00A25F1C"/>
    <w:rsid w:val="00A263B3"/>
    <w:rsid w:val="00A267BC"/>
    <w:rsid w:val="00A26D59"/>
    <w:rsid w:val="00A27A2C"/>
    <w:rsid w:val="00A27B42"/>
    <w:rsid w:val="00A30107"/>
    <w:rsid w:val="00A30308"/>
    <w:rsid w:val="00A30F36"/>
    <w:rsid w:val="00A31412"/>
    <w:rsid w:val="00A3183D"/>
    <w:rsid w:val="00A31865"/>
    <w:rsid w:val="00A3194B"/>
    <w:rsid w:val="00A31C4D"/>
    <w:rsid w:val="00A31C64"/>
    <w:rsid w:val="00A31D6A"/>
    <w:rsid w:val="00A31D75"/>
    <w:rsid w:val="00A31EFE"/>
    <w:rsid w:val="00A320CF"/>
    <w:rsid w:val="00A32C30"/>
    <w:rsid w:val="00A32E1C"/>
    <w:rsid w:val="00A3300C"/>
    <w:rsid w:val="00A33279"/>
    <w:rsid w:val="00A333AB"/>
    <w:rsid w:val="00A33472"/>
    <w:rsid w:val="00A334AA"/>
    <w:rsid w:val="00A33634"/>
    <w:rsid w:val="00A336AF"/>
    <w:rsid w:val="00A33B88"/>
    <w:rsid w:val="00A33F14"/>
    <w:rsid w:val="00A341C8"/>
    <w:rsid w:val="00A3422F"/>
    <w:rsid w:val="00A34525"/>
    <w:rsid w:val="00A34794"/>
    <w:rsid w:val="00A34B38"/>
    <w:rsid w:val="00A34C72"/>
    <w:rsid w:val="00A35025"/>
    <w:rsid w:val="00A351EB"/>
    <w:rsid w:val="00A35A8B"/>
    <w:rsid w:val="00A35B83"/>
    <w:rsid w:val="00A35D20"/>
    <w:rsid w:val="00A35D3D"/>
    <w:rsid w:val="00A360DA"/>
    <w:rsid w:val="00A36657"/>
    <w:rsid w:val="00A366E1"/>
    <w:rsid w:val="00A370E8"/>
    <w:rsid w:val="00A37137"/>
    <w:rsid w:val="00A37EE3"/>
    <w:rsid w:val="00A401CD"/>
    <w:rsid w:val="00A402D2"/>
    <w:rsid w:val="00A40476"/>
    <w:rsid w:val="00A40D98"/>
    <w:rsid w:val="00A413AC"/>
    <w:rsid w:val="00A414B6"/>
    <w:rsid w:val="00A415F4"/>
    <w:rsid w:val="00A41B75"/>
    <w:rsid w:val="00A423AC"/>
    <w:rsid w:val="00A428D8"/>
    <w:rsid w:val="00A42A62"/>
    <w:rsid w:val="00A430D3"/>
    <w:rsid w:val="00A43103"/>
    <w:rsid w:val="00A43489"/>
    <w:rsid w:val="00A4370A"/>
    <w:rsid w:val="00A43752"/>
    <w:rsid w:val="00A43986"/>
    <w:rsid w:val="00A43A76"/>
    <w:rsid w:val="00A43ADC"/>
    <w:rsid w:val="00A43ED8"/>
    <w:rsid w:val="00A43F3E"/>
    <w:rsid w:val="00A44114"/>
    <w:rsid w:val="00A443A4"/>
    <w:rsid w:val="00A443BA"/>
    <w:rsid w:val="00A450F3"/>
    <w:rsid w:val="00A4538C"/>
    <w:rsid w:val="00A45CBF"/>
    <w:rsid w:val="00A464CC"/>
    <w:rsid w:val="00A466D8"/>
    <w:rsid w:val="00A4682B"/>
    <w:rsid w:val="00A46AD9"/>
    <w:rsid w:val="00A46B7A"/>
    <w:rsid w:val="00A46DDC"/>
    <w:rsid w:val="00A46E1E"/>
    <w:rsid w:val="00A470AC"/>
    <w:rsid w:val="00A4757B"/>
    <w:rsid w:val="00A47A55"/>
    <w:rsid w:val="00A50960"/>
    <w:rsid w:val="00A511F7"/>
    <w:rsid w:val="00A516E7"/>
    <w:rsid w:val="00A51AE8"/>
    <w:rsid w:val="00A51BF1"/>
    <w:rsid w:val="00A51D29"/>
    <w:rsid w:val="00A51EA5"/>
    <w:rsid w:val="00A5267B"/>
    <w:rsid w:val="00A526D8"/>
    <w:rsid w:val="00A5286E"/>
    <w:rsid w:val="00A52CB6"/>
    <w:rsid w:val="00A52DE6"/>
    <w:rsid w:val="00A52E91"/>
    <w:rsid w:val="00A5315E"/>
    <w:rsid w:val="00A536E6"/>
    <w:rsid w:val="00A53E5B"/>
    <w:rsid w:val="00A5406B"/>
    <w:rsid w:val="00A540EC"/>
    <w:rsid w:val="00A545B5"/>
    <w:rsid w:val="00A546CA"/>
    <w:rsid w:val="00A54BE0"/>
    <w:rsid w:val="00A554B7"/>
    <w:rsid w:val="00A5567B"/>
    <w:rsid w:val="00A556EF"/>
    <w:rsid w:val="00A556F1"/>
    <w:rsid w:val="00A5575C"/>
    <w:rsid w:val="00A5585C"/>
    <w:rsid w:val="00A55AD4"/>
    <w:rsid w:val="00A55B4E"/>
    <w:rsid w:val="00A55B5F"/>
    <w:rsid w:val="00A55D1C"/>
    <w:rsid w:val="00A5604D"/>
    <w:rsid w:val="00A5648C"/>
    <w:rsid w:val="00A569CB"/>
    <w:rsid w:val="00A56FF2"/>
    <w:rsid w:val="00A57526"/>
    <w:rsid w:val="00A57A31"/>
    <w:rsid w:val="00A57D96"/>
    <w:rsid w:val="00A57EB7"/>
    <w:rsid w:val="00A60362"/>
    <w:rsid w:val="00A6053E"/>
    <w:rsid w:val="00A60EA4"/>
    <w:rsid w:val="00A6129F"/>
    <w:rsid w:val="00A61602"/>
    <w:rsid w:val="00A619B3"/>
    <w:rsid w:val="00A61C6D"/>
    <w:rsid w:val="00A62856"/>
    <w:rsid w:val="00A62BA8"/>
    <w:rsid w:val="00A631EA"/>
    <w:rsid w:val="00A6370F"/>
    <w:rsid w:val="00A637A1"/>
    <w:rsid w:val="00A63956"/>
    <w:rsid w:val="00A63AB3"/>
    <w:rsid w:val="00A63BFA"/>
    <w:rsid w:val="00A63C9C"/>
    <w:rsid w:val="00A63E81"/>
    <w:rsid w:val="00A64005"/>
    <w:rsid w:val="00A643A2"/>
    <w:rsid w:val="00A64680"/>
    <w:rsid w:val="00A64A71"/>
    <w:rsid w:val="00A64A81"/>
    <w:rsid w:val="00A65124"/>
    <w:rsid w:val="00A65155"/>
    <w:rsid w:val="00A6524C"/>
    <w:rsid w:val="00A652EB"/>
    <w:rsid w:val="00A6560F"/>
    <w:rsid w:val="00A656B9"/>
    <w:rsid w:val="00A65707"/>
    <w:rsid w:val="00A65B02"/>
    <w:rsid w:val="00A65D3C"/>
    <w:rsid w:val="00A6603C"/>
    <w:rsid w:val="00A66488"/>
    <w:rsid w:val="00A6797E"/>
    <w:rsid w:val="00A67BA5"/>
    <w:rsid w:val="00A67E7A"/>
    <w:rsid w:val="00A702E9"/>
    <w:rsid w:val="00A70609"/>
    <w:rsid w:val="00A70669"/>
    <w:rsid w:val="00A70879"/>
    <w:rsid w:val="00A70A18"/>
    <w:rsid w:val="00A70D19"/>
    <w:rsid w:val="00A70DB2"/>
    <w:rsid w:val="00A7130D"/>
    <w:rsid w:val="00A71464"/>
    <w:rsid w:val="00A71901"/>
    <w:rsid w:val="00A719E0"/>
    <w:rsid w:val="00A722F2"/>
    <w:rsid w:val="00A7279C"/>
    <w:rsid w:val="00A7281A"/>
    <w:rsid w:val="00A72D0A"/>
    <w:rsid w:val="00A72F5E"/>
    <w:rsid w:val="00A7344C"/>
    <w:rsid w:val="00A736BD"/>
    <w:rsid w:val="00A74307"/>
    <w:rsid w:val="00A74361"/>
    <w:rsid w:val="00A745CE"/>
    <w:rsid w:val="00A74617"/>
    <w:rsid w:val="00A74623"/>
    <w:rsid w:val="00A74A73"/>
    <w:rsid w:val="00A74B4C"/>
    <w:rsid w:val="00A74B8B"/>
    <w:rsid w:val="00A74EAF"/>
    <w:rsid w:val="00A752BE"/>
    <w:rsid w:val="00A755D2"/>
    <w:rsid w:val="00A75A0D"/>
    <w:rsid w:val="00A75ED5"/>
    <w:rsid w:val="00A75F5C"/>
    <w:rsid w:val="00A7611D"/>
    <w:rsid w:val="00A7615C"/>
    <w:rsid w:val="00A762F3"/>
    <w:rsid w:val="00A768CB"/>
    <w:rsid w:val="00A76DCF"/>
    <w:rsid w:val="00A76FE2"/>
    <w:rsid w:val="00A773D5"/>
    <w:rsid w:val="00A77E94"/>
    <w:rsid w:val="00A8033F"/>
    <w:rsid w:val="00A80CD8"/>
    <w:rsid w:val="00A81094"/>
    <w:rsid w:val="00A811BF"/>
    <w:rsid w:val="00A815C0"/>
    <w:rsid w:val="00A81ADF"/>
    <w:rsid w:val="00A82941"/>
    <w:rsid w:val="00A8298F"/>
    <w:rsid w:val="00A82B61"/>
    <w:rsid w:val="00A82C20"/>
    <w:rsid w:val="00A82D68"/>
    <w:rsid w:val="00A83468"/>
    <w:rsid w:val="00A834DC"/>
    <w:rsid w:val="00A83613"/>
    <w:rsid w:val="00A83F99"/>
    <w:rsid w:val="00A84813"/>
    <w:rsid w:val="00A84954"/>
    <w:rsid w:val="00A84E8B"/>
    <w:rsid w:val="00A85027"/>
    <w:rsid w:val="00A85449"/>
    <w:rsid w:val="00A854FD"/>
    <w:rsid w:val="00A85694"/>
    <w:rsid w:val="00A85954"/>
    <w:rsid w:val="00A85A6F"/>
    <w:rsid w:val="00A85D18"/>
    <w:rsid w:val="00A85DBC"/>
    <w:rsid w:val="00A8600D"/>
    <w:rsid w:val="00A860AA"/>
    <w:rsid w:val="00A86466"/>
    <w:rsid w:val="00A86BF5"/>
    <w:rsid w:val="00A86D64"/>
    <w:rsid w:val="00A87C40"/>
    <w:rsid w:val="00A9015B"/>
    <w:rsid w:val="00A9039B"/>
    <w:rsid w:val="00A905EE"/>
    <w:rsid w:val="00A907D8"/>
    <w:rsid w:val="00A908DD"/>
    <w:rsid w:val="00A90C66"/>
    <w:rsid w:val="00A90E75"/>
    <w:rsid w:val="00A90FE0"/>
    <w:rsid w:val="00A91265"/>
    <w:rsid w:val="00A9169E"/>
    <w:rsid w:val="00A916FE"/>
    <w:rsid w:val="00A91937"/>
    <w:rsid w:val="00A91ADD"/>
    <w:rsid w:val="00A92177"/>
    <w:rsid w:val="00A92AFE"/>
    <w:rsid w:val="00A93244"/>
    <w:rsid w:val="00A93306"/>
    <w:rsid w:val="00A93576"/>
    <w:rsid w:val="00A93BA3"/>
    <w:rsid w:val="00A93BFD"/>
    <w:rsid w:val="00A93D78"/>
    <w:rsid w:val="00A94049"/>
    <w:rsid w:val="00A94712"/>
    <w:rsid w:val="00A951CD"/>
    <w:rsid w:val="00A95EA3"/>
    <w:rsid w:val="00A95FDE"/>
    <w:rsid w:val="00A9613E"/>
    <w:rsid w:val="00A96634"/>
    <w:rsid w:val="00A96E42"/>
    <w:rsid w:val="00A970AB"/>
    <w:rsid w:val="00A97368"/>
    <w:rsid w:val="00A97409"/>
    <w:rsid w:val="00A9747A"/>
    <w:rsid w:val="00A9769C"/>
    <w:rsid w:val="00A97A32"/>
    <w:rsid w:val="00A97FC6"/>
    <w:rsid w:val="00AA0450"/>
    <w:rsid w:val="00AA04E0"/>
    <w:rsid w:val="00AA0607"/>
    <w:rsid w:val="00AA06B0"/>
    <w:rsid w:val="00AA0749"/>
    <w:rsid w:val="00AA0851"/>
    <w:rsid w:val="00AA0F5E"/>
    <w:rsid w:val="00AA108E"/>
    <w:rsid w:val="00AA148E"/>
    <w:rsid w:val="00AA180B"/>
    <w:rsid w:val="00AA186D"/>
    <w:rsid w:val="00AA196C"/>
    <w:rsid w:val="00AA1D2B"/>
    <w:rsid w:val="00AA2A22"/>
    <w:rsid w:val="00AA2E5F"/>
    <w:rsid w:val="00AA32F6"/>
    <w:rsid w:val="00AA356D"/>
    <w:rsid w:val="00AA36FD"/>
    <w:rsid w:val="00AA3786"/>
    <w:rsid w:val="00AA378C"/>
    <w:rsid w:val="00AA3824"/>
    <w:rsid w:val="00AA3FED"/>
    <w:rsid w:val="00AA414A"/>
    <w:rsid w:val="00AA416A"/>
    <w:rsid w:val="00AA4244"/>
    <w:rsid w:val="00AA4566"/>
    <w:rsid w:val="00AA4A69"/>
    <w:rsid w:val="00AA4BAF"/>
    <w:rsid w:val="00AA4BD3"/>
    <w:rsid w:val="00AA50DC"/>
    <w:rsid w:val="00AA5A1B"/>
    <w:rsid w:val="00AA5B14"/>
    <w:rsid w:val="00AA5EF9"/>
    <w:rsid w:val="00AA5F55"/>
    <w:rsid w:val="00AA7490"/>
    <w:rsid w:val="00AA7B29"/>
    <w:rsid w:val="00AA7D73"/>
    <w:rsid w:val="00AA7E1F"/>
    <w:rsid w:val="00AB0818"/>
    <w:rsid w:val="00AB1113"/>
    <w:rsid w:val="00AB2E88"/>
    <w:rsid w:val="00AB309E"/>
    <w:rsid w:val="00AB316F"/>
    <w:rsid w:val="00AB3511"/>
    <w:rsid w:val="00AB3BDF"/>
    <w:rsid w:val="00AB445D"/>
    <w:rsid w:val="00AB4471"/>
    <w:rsid w:val="00AB47D4"/>
    <w:rsid w:val="00AB497E"/>
    <w:rsid w:val="00AB4B4D"/>
    <w:rsid w:val="00AB4D32"/>
    <w:rsid w:val="00AB4FAD"/>
    <w:rsid w:val="00AB4FE7"/>
    <w:rsid w:val="00AB5044"/>
    <w:rsid w:val="00AB53E9"/>
    <w:rsid w:val="00AB5650"/>
    <w:rsid w:val="00AB5C08"/>
    <w:rsid w:val="00AB6891"/>
    <w:rsid w:val="00AB6B96"/>
    <w:rsid w:val="00AB7A70"/>
    <w:rsid w:val="00AC00DB"/>
    <w:rsid w:val="00AC039A"/>
    <w:rsid w:val="00AC0633"/>
    <w:rsid w:val="00AC06B7"/>
    <w:rsid w:val="00AC0D94"/>
    <w:rsid w:val="00AC10E9"/>
    <w:rsid w:val="00AC1432"/>
    <w:rsid w:val="00AC186F"/>
    <w:rsid w:val="00AC1B2B"/>
    <w:rsid w:val="00AC203F"/>
    <w:rsid w:val="00AC25A1"/>
    <w:rsid w:val="00AC28F8"/>
    <w:rsid w:val="00AC28FB"/>
    <w:rsid w:val="00AC3050"/>
    <w:rsid w:val="00AC320F"/>
    <w:rsid w:val="00AC37BC"/>
    <w:rsid w:val="00AC3C6E"/>
    <w:rsid w:val="00AC3EE7"/>
    <w:rsid w:val="00AC43FA"/>
    <w:rsid w:val="00AC45FC"/>
    <w:rsid w:val="00AC47A1"/>
    <w:rsid w:val="00AC4BE2"/>
    <w:rsid w:val="00AC50AB"/>
    <w:rsid w:val="00AC519A"/>
    <w:rsid w:val="00AC523A"/>
    <w:rsid w:val="00AC541C"/>
    <w:rsid w:val="00AC55C7"/>
    <w:rsid w:val="00AC5669"/>
    <w:rsid w:val="00AC5759"/>
    <w:rsid w:val="00AC5789"/>
    <w:rsid w:val="00AC5863"/>
    <w:rsid w:val="00AC63E1"/>
    <w:rsid w:val="00AC6A4D"/>
    <w:rsid w:val="00AC6B64"/>
    <w:rsid w:val="00AC7371"/>
    <w:rsid w:val="00AC744D"/>
    <w:rsid w:val="00AC7456"/>
    <w:rsid w:val="00AC7709"/>
    <w:rsid w:val="00AC7A8B"/>
    <w:rsid w:val="00AC7BA7"/>
    <w:rsid w:val="00AC7C50"/>
    <w:rsid w:val="00AC7D9C"/>
    <w:rsid w:val="00AD0675"/>
    <w:rsid w:val="00AD09FA"/>
    <w:rsid w:val="00AD0B45"/>
    <w:rsid w:val="00AD0F19"/>
    <w:rsid w:val="00AD1405"/>
    <w:rsid w:val="00AD16A5"/>
    <w:rsid w:val="00AD1A01"/>
    <w:rsid w:val="00AD1B25"/>
    <w:rsid w:val="00AD1B4F"/>
    <w:rsid w:val="00AD1BBF"/>
    <w:rsid w:val="00AD1E5C"/>
    <w:rsid w:val="00AD226C"/>
    <w:rsid w:val="00AD24AF"/>
    <w:rsid w:val="00AD2631"/>
    <w:rsid w:val="00AD2675"/>
    <w:rsid w:val="00AD2A9B"/>
    <w:rsid w:val="00AD2B33"/>
    <w:rsid w:val="00AD2D83"/>
    <w:rsid w:val="00AD30A5"/>
    <w:rsid w:val="00AD33E0"/>
    <w:rsid w:val="00AD3524"/>
    <w:rsid w:val="00AD35B1"/>
    <w:rsid w:val="00AD38BF"/>
    <w:rsid w:val="00AD39F5"/>
    <w:rsid w:val="00AD3E0E"/>
    <w:rsid w:val="00AD3EC5"/>
    <w:rsid w:val="00AD40A6"/>
    <w:rsid w:val="00AD43B1"/>
    <w:rsid w:val="00AD479D"/>
    <w:rsid w:val="00AD4A00"/>
    <w:rsid w:val="00AD4E94"/>
    <w:rsid w:val="00AD5575"/>
    <w:rsid w:val="00AD5C64"/>
    <w:rsid w:val="00AD5D52"/>
    <w:rsid w:val="00AD62C0"/>
    <w:rsid w:val="00AD6495"/>
    <w:rsid w:val="00AD6CF3"/>
    <w:rsid w:val="00AD6FEE"/>
    <w:rsid w:val="00AD7152"/>
    <w:rsid w:val="00AD7235"/>
    <w:rsid w:val="00AD727E"/>
    <w:rsid w:val="00AE037F"/>
    <w:rsid w:val="00AE066E"/>
    <w:rsid w:val="00AE0BE2"/>
    <w:rsid w:val="00AE169B"/>
    <w:rsid w:val="00AE1798"/>
    <w:rsid w:val="00AE1935"/>
    <w:rsid w:val="00AE1A00"/>
    <w:rsid w:val="00AE1D1A"/>
    <w:rsid w:val="00AE2BC1"/>
    <w:rsid w:val="00AE2EAD"/>
    <w:rsid w:val="00AE2FE5"/>
    <w:rsid w:val="00AE3550"/>
    <w:rsid w:val="00AE3732"/>
    <w:rsid w:val="00AE37B6"/>
    <w:rsid w:val="00AE3A3F"/>
    <w:rsid w:val="00AE3AF3"/>
    <w:rsid w:val="00AE4368"/>
    <w:rsid w:val="00AE4A01"/>
    <w:rsid w:val="00AE4F13"/>
    <w:rsid w:val="00AE508E"/>
    <w:rsid w:val="00AE51AC"/>
    <w:rsid w:val="00AE51E4"/>
    <w:rsid w:val="00AE5417"/>
    <w:rsid w:val="00AE5422"/>
    <w:rsid w:val="00AE5464"/>
    <w:rsid w:val="00AE5D9C"/>
    <w:rsid w:val="00AE5E88"/>
    <w:rsid w:val="00AE6836"/>
    <w:rsid w:val="00AE69EF"/>
    <w:rsid w:val="00AE6CC0"/>
    <w:rsid w:val="00AE73AA"/>
    <w:rsid w:val="00AE7697"/>
    <w:rsid w:val="00AE7D8D"/>
    <w:rsid w:val="00AF0283"/>
    <w:rsid w:val="00AF0804"/>
    <w:rsid w:val="00AF0C24"/>
    <w:rsid w:val="00AF1481"/>
    <w:rsid w:val="00AF1B7E"/>
    <w:rsid w:val="00AF2227"/>
    <w:rsid w:val="00AF2459"/>
    <w:rsid w:val="00AF25BC"/>
    <w:rsid w:val="00AF2978"/>
    <w:rsid w:val="00AF2B1B"/>
    <w:rsid w:val="00AF2EFF"/>
    <w:rsid w:val="00AF30CC"/>
    <w:rsid w:val="00AF37A3"/>
    <w:rsid w:val="00AF386D"/>
    <w:rsid w:val="00AF3D6C"/>
    <w:rsid w:val="00AF4333"/>
    <w:rsid w:val="00AF4869"/>
    <w:rsid w:val="00AF5786"/>
    <w:rsid w:val="00AF5807"/>
    <w:rsid w:val="00AF58B9"/>
    <w:rsid w:val="00AF5D4F"/>
    <w:rsid w:val="00AF6504"/>
    <w:rsid w:val="00AF666B"/>
    <w:rsid w:val="00AF6BD0"/>
    <w:rsid w:val="00AF6D7C"/>
    <w:rsid w:val="00B0030B"/>
    <w:rsid w:val="00B00740"/>
    <w:rsid w:val="00B00C42"/>
    <w:rsid w:val="00B01083"/>
    <w:rsid w:val="00B01AEF"/>
    <w:rsid w:val="00B0206C"/>
    <w:rsid w:val="00B02522"/>
    <w:rsid w:val="00B02767"/>
    <w:rsid w:val="00B02A3B"/>
    <w:rsid w:val="00B02ACB"/>
    <w:rsid w:val="00B02CE8"/>
    <w:rsid w:val="00B02EBF"/>
    <w:rsid w:val="00B03151"/>
    <w:rsid w:val="00B035F5"/>
    <w:rsid w:val="00B03694"/>
    <w:rsid w:val="00B03707"/>
    <w:rsid w:val="00B03943"/>
    <w:rsid w:val="00B03A7B"/>
    <w:rsid w:val="00B04332"/>
    <w:rsid w:val="00B0449C"/>
    <w:rsid w:val="00B04B65"/>
    <w:rsid w:val="00B04B7D"/>
    <w:rsid w:val="00B04E80"/>
    <w:rsid w:val="00B04FCE"/>
    <w:rsid w:val="00B05CF3"/>
    <w:rsid w:val="00B05CF5"/>
    <w:rsid w:val="00B05D9F"/>
    <w:rsid w:val="00B062F1"/>
    <w:rsid w:val="00B06FE8"/>
    <w:rsid w:val="00B076D2"/>
    <w:rsid w:val="00B07740"/>
    <w:rsid w:val="00B078C6"/>
    <w:rsid w:val="00B07ED8"/>
    <w:rsid w:val="00B07F39"/>
    <w:rsid w:val="00B103FE"/>
    <w:rsid w:val="00B10581"/>
    <w:rsid w:val="00B105AC"/>
    <w:rsid w:val="00B105E7"/>
    <w:rsid w:val="00B10A49"/>
    <w:rsid w:val="00B10E98"/>
    <w:rsid w:val="00B10F80"/>
    <w:rsid w:val="00B1169A"/>
    <w:rsid w:val="00B118C8"/>
    <w:rsid w:val="00B12C38"/>
    <w:rsid w:val="00B12C51"/>
    <w:rsid w:val="00B1302C"/>
    <w:rsid w:val="00B13585"/>
    <w:rsid w:val="00B13769"/>
    <w:rsid w:val="00B13FBE"/>
    <w:rsid w:val="00B14066"/>
    <w:rsid w:val="00B141E8"/>
    <w:rsid w:val="00B142C2"/>
    <w:rsid w:val="00B14594"/>
    <w:rsid w:val="00B14628"/>
    <w:rsid w:val="00B147BC"/>
    <w:rsid w:val="00B14AAB"/>
    <w:rsid w:val="00B151A2"/>
    <w:rsid w:val="00B15256"/>
    <w:rsid w:val="00B154E1"/>
    <w:rsid w:val="00B157B5"/>
    <w:rsid w:val="00B15AB5"/>
    <w:rsid w:val="00B15F30"/>
    <w:rsid w:val="00B15FCB"/>
    <w:rsid w:val="00B16403"/>
    <w:rsid w:val="00B168E8"/>
    <w:rsid w:val="00B17073"/>
    <w:rsid w:val="00B1715E"/>
    <w:rsid w:val="00B17561"/>
    <w:rsid w:val="00B17598"/>
    <w:rsid w:val="00B17638"/>
    <w:rsid w:val="00B17A6D"/>
    <w:rsid w:val="00B20040"/>
    <w:rsid w:val="00B20119"/>
    <w:rsid w:val="00B201A7"/>
    <w:rsid w:val="00B20429"/>
    <w:rsid w:val="00B20715"/>
    <w:rsid w:val="00B20AF8"/>
    <w:rsid w:val="00B20C41"/>
    <w:rsid w:val="00B20E6F"/>
    <w:rsid w:val="00B20E90"/>
    <w:rsid w:val="00B21540"/>
    <w:rsid w:val="00B21CBB"/>
    <w:rsid w:val="00B21E13"/>
    <w:rsid w:val="00B21E89"/>
    <w:rsid w:val="00B221A8"/>
    <w:rsid w:val="00B226DE"/>
    <w:rsid w:val="00B2295A"/>
    <w:rsid w:val="00B22F6C"/>
    <w:rsid w:val="00B2333F"/>
    <w:rsid w:val="00B23429"/>
    <w:rsid w:val="00B235A7"/>
    <w:rsid w:val="00B23AAA"/>
    <w:rsid w:val="00B23CEB"/>
    <w:rsid w:val="00B23E19"/>
    <w:rsid w:val="00B23FC0"/>
    <w:rsid w:val="00B23FCA"/>
    <w:rsid w:val="00B241D0"/>
    <w:rsid w:val="00B243C9"/>
    <w:rsid w:val="00B244E0"/>
    <w:rsid w:val="00B2542C"/>
    <w:rsid w:val="00B25A79"/>
    <w:rsid w:val="00B25CC6"/>
    <w:rsid w:val="00B261A4"/>
    <w:rsid w:val="00B26208"/>
    <w:rsid w:val="00B263EA"/>
    <w:rsid w:val="00B264C8"/>
    <w:rsid w:val="00B26537"/>
    <w:rsid w:val="00B267D2"/>
    <w:rsid w:val="00B2685B"/>
    <w:rsid w:val="00B26ADA"/>
    <w:rsid w:val="00B26E37"/>
    <w:rsid w:val="00B271AD"/>
    <w:rsid w:val="00B2752A"/>
    <w:rsid w:val="00B301EB"/>
    <w:rsid w:val="00B303D6"/>
    <w:rsid w:val="00B30661"/>
    <w:rsid w:val="00B30662"/>
    <w:rsid w:val="00B30842"/>
    <w:rsid w:val="00B30A4C"/>
    <w:rsid w:val="00B31046"/>
    <w:rsid w:val="00B32439"/>
    <w:rsid w:val="00B327F4"/>
    <w:rsid w:val="00B32939"/>
    <w:rsid w:val="00B32D1E"/>
    <w:rsid w:val="00B32E71"/>
    <w:rsid w:val="00B32F0E"/>
    <w:rsid w:val="00B33284"/>
    <w:rsid w:val="00B33642"/>
    <w:rsid w:val="00B34458"/>
    <w:rsid w:val="00B354FC"/>
    <w:rsid w:val="00B358EA"/>
    <w:rsid w:val="00B35A90"/>
    <w:rsid w:val="00B368F7"/>
    <w:rsid w:val="00B36FDD"/>
    <w:rsid w:val="00B3724E"/>
    <w:rsid w:val="00B378FB"/>
    <w:rsid w:val="00B37C48"/>
    <w:rsid w:val="00B37E0C"/>
    <w:rsid w:val="00B37E83"/>
    <w:rsid w:val="00B4008B"/>
    <w:rsid w:val="00B406C1"/>
    <w:rsid w:val="00B406EE"/>
    <w:rsid w:val="00B40BCC"/>
    <w:rsid w:val="00B40C95"/>
    <w:rsid w:val="00B4106A"/>
    <w:rsid w:val="00B415B1"/>
    <w:rsid w:val="00B4164D"/>
    <w:rsid w:val="00B422FA"/>
    <w:rsid w:val="00B423FE"/>
    <w:rsid w:val="00B425B7"/>
    <w:rsid w:val="00B4268E"/>
    <w:rsid w:val="00B426E1"/>
    <w:rsid w:val="00B4296E"/>
    <w:rsid w:val="00B42B19"/>
    <w:rsid w:val="00B43476"/>
    <w:rsid w:val="00B435EF"/>
    <w:rsid w:val="00B43733"/>
    <w:rsid w:val="00B43827"/>
    <w:rsid w:val="00B444BD"/>
    <w:rsid w:val="00B44A03"/>
    <w:rsid w:val="00B44B28"/>
    <w:rsid w:val="00B44DAD"/>
    <w:rsid w:val="00B456EB"/>
    <w:rsid w:val="00B45880"/>
    <w:rsid w:val="00B458EE"/>
    <w:rsid w:val="00B45938"/>
    <w:rsid w:val="00B45C08"/>
    <w:rsid w:val="00B45E85"/>
    <w:rsid w:val="00B460F8"/>
    <w:rsid w:val="00B46214"/>
    <w:rsid w:val="00B46BD0"/>
    <w:rsid w:val="00B475E0"/>
    <w:rsid w:val="00B50011"/>
    <w:rsid w:val="00B5076F"/>
    <w:rsid w:val="00B510BD"/>
    <w:rsid w:val="00B5112D"/>
    <w:rsid w:val="00B51442"/>
    <w:rsid w:val="00B5159A"/>
    <w:rsid w:val="00B51819"/>
    <w:rsid w:val="00B518FB"/>
    <w:rsid w:val="00B51A01"/>
    <w:rsid w:val="00B51E83"/>
    <w:rsid w:val="00B524BB"/>
    <w:rsid w:val="00B52888"/>
    <w:rsid w:val="00B52C2B"/>
    <w:rsid w:val="00B52D34"/>
    <w:rsid w:val="00B5307E"/>
    <w:rsid w:val="00B53347"/>
    <w:rsid w:val="00B54142"/>
    <w:rsid w:val="00B5424B"/>
    <w:rsid w:val="00B5426A"/>
    <w:rsid w:val="00B54648"/>
    <w:rsid w:val="00B54C6E"/>
    <w:rsid w:val="00B54EA5"/>
    <w:rsid w:val="00B54FB3"/>
    <w:rsid w:val="00B55043"/>
    <w:rsid w:val="00B557B2"/>
    <w:rsid w:val="00B55B29"/>
    <w:rsid w:val="00B56E3F"/>
    <w:rsid w:val="00B5732C"/>
    <w:rsid w:val="00B574A4"/>
    <w:rsid w:val="00B57C98"/>
    <w:rsid w:val="00B607C4"/>
    <w:rsid w:val="00B60A7B"/>
    <w:rsid w:val="00B6143C"/>
    <w:rsid w:val="00B61AA3"/>
    <w:rsid w:val="00B61FAE"/>
    <w:rsid w:val="00B6268A"/>
    <w:rsid w:val="00B6296A"/>
    <w:rsid w:val="00B63AD0"/>
    <w:rsid w:val="00B63CDD"/>
    <w:rsid w:val="00B63FD6"/>
    <w:rsid w:val="00B64231"/>
    <w:rsid w:val="00B64235"/>
    <w:rsid w:val="00B64488"/>
    <w:rsid w:val="00B64E89"/>
    <w:rsid w:val="00B64FBE"/>
    <w:rsid w:val="00B651ED"/>
    <w:rsid w:val="00B6529A"/>
    <w:rsid w:val="00B65389"/>
    <w:rsid w:val="00B655A1"/>
    <w:rsid w:val="00B65869"/>
    <w:rsid w:val="00B65B4C"/>
    <w:rsid w:val="00B65C9A"/>
    <w:rsid w:val="00B65CFB"/>
    <w:rsid w:val="00B65D4A"/>
    <w:rsid w:val="00B66963"/>
    <w:rsid w:val="00B66B43"/>
    <w:rsid w:val="00B67077"/>
    <w:rsid w:val="00B670B7"/>
    <w:rsid w:val="00B677C4"/>
    <w:rsid w:val="00B677D0"/>
    <w:rsid w:val="00B67B29"/>
    <w:rsid w:val="00B703FD"/>
    <w:rsid w:val="00B70542"/>
    <w:rsid w:val="00B7057D"/>
    <w:rsid w:val="00B70809"/>
    <w:rsid w:val="00B70A1D"/>
    <w:rsid w:val="00B71770"/>
    <w:rsid w:val="00B7198C"/>
    <w:rsid w:val="00B71A27"/>
    <w:rsid w:val="00B71AE3"/>
    <w:rsid w:val="00B723BA"/>
    <w:rsid w:val="00B723C1"/>
    <w:rsid w:val="00B72542"/>
    <w:rsid w:val="00B7269F"/>
    <w:rsid w:val="00B72708"/>
    <w:rsid w:val="00B72980"/>
    <w:rsid w:val="00B72CD8"/>
    <w:rsid w:val="00B72E4B"/>
    <w:rsid w:val="00B73220"/>
    <w:rsid w:val="00B733EE"/>
    <w:rsid w:val="00B73BE7"/>
    <w:rsid w:val="00B7401B"/>
    <w:rsid w:val="00B7431E"/>
    <w:rsid w:val="00B74B57"/>
    <w:rsid w:val="00B74ED0"/>
    <w:rsid w:val="00B75115"/>
    <w:rsid w:val="00B757F4"/>
    <w:rsid w:val="00B75893"/>
    <w:rsid w:val="00B75B27"/>
    <w:rsid w:val="00B75CE4"/>
    <w:rsid w:val="00B75F9D"/>
    <w:rsid w:val="00B762D7"/>
    <w:rsid w:val="00B76487"/>
    <w:rsid w:val="00B76B97"/>
    <w:rsid w:val="00B76D57"/>
    <w:rsid w:val="00B76F38"/>
    <w:rsid w:val="00B77181"/>
    <w:rsid w:val="00B7718E"/>
    <w:rsid w:val="00B77244"/>
    <w:rsid w:val="00B774AA"/>
    <w:rsid w:val="00B7789E"/>
    <w:rsid w:val="00B779D2"/>
    <w:rsid w:val="00B805D7"/>
    <w:rsid w:val="00B807AE"/>
    <w:rsid w:val="00B80845"/>
    <w:rsid w:val="00B808DD"/>
    <w:rsid w:val="00B80D45"/>
    <w:rsid w:val="00B80DA6"/>
    <w:rsid w:val="00B80F3D"/>
    <w:rsid w:val="00B80FBF"/>
    <w:rsid w:val="00B817AA"/>
    <w:rsid w:val="00B819C3"/>
    <w:rsid w:val="00B82380"/>
    <w:rsid w:val="00B823FD"/>
    <w:rsid w:val="00B826D8"/>
    <w:rsid w:val="00B82AF7"/>
    <w:rsid w:val="00B82DA0"/>
    <w:rsid w:val="00B8309B"/>
    <w:rsid w:val="00B83D11"/>
    <w:rsid w:val="00B83D1A"/>
    <w:rsid w:val="00B8408D"/>
    <w:rsid w:val="00B84A1D"/>
    <w:rsid w:val="00B851E2"/>
    <w:rsid w:val="00B8541D"/>
    <w:rsid w:val="00B8544A"/>
    <w:rsid w:val="00B85743"/>
    <w:rsid w:val="00B85B48"/>
    <w:rsid w:val="00B85EBF"/>
    <w:rsid w:val="00B85F2D"/>
    <w:rsid w:val="00B8614F"/>
    <w:rsid w:val="00B86260"/>
    <w:rsid w:val="00B8640D"/>
    <w:rsid w:val="00B866F2"/>
    <w:rsid w:val="00B86821"/>
    <w:rsid w:val="00B8697A"/>
    <w:rsid w:val="00B86D5C"/>
    <w:rsid w:val="00B8772E"/>
    <w:rsid w:val="00B87900"/>
    <w:rsid w:val="00B87D8E"/>
    <w:rsid w:val="00B90208"/>
    <w:rsid w:val="00B903EE"/>
    <w:rsid w:val="00B907A3"/>
    <w:rsid w:val="00B90E27"/>
    <w:rsid w:val="00B90EF5"/>
    <w:rsid w:val="00B91281"/>
    <w:rsid w:val="00B914F2"/>
    <w:rsid w:val="00B9152F"/>
    <w:rsid w:val="00B91B40"/>
    <w:rsid w:val="00B91B4B"/>
    <w:rsid w:val="00B91C72"/>
    <w:rsid w:val="00B91E3E"/>
    <w:rsid w:val="00B91E83"/>
    <w:rsid w:val="00B924CC"/>
    <w:rsid w:val="00B925D2"/>
    <w:rsid w:val="00B927AD"/>
    <w:rsid w:val="00B93668"/>
    <w:rsid w:val="00B9366B"/>
    <w:rsid w:val="00B93722"/>
    <w:rsid w:val="00B9394E"/>
    <w:rsid w:val="00B93985"/>
    <w:rsid w:val="00B941F6"/>
    <w:rsid w:val="00B94202"/>
    <w:rsid w:val="00B94A17"/>
    <w:rsid w:val="00B94A8B"/>
    <w:rsid w:val="00B94C13"/>
    <w:rsid w:val="00B94FFE"/>
    <w:rsid w:val="00B95A9F"/>
    <w:rsid w:val="00B95F70"/>
    <w:rsid w:val="00B960D7"/>
    <w:rsid w:val="00B96D65"/>
    <w:rsid w:val="00B972B5"/>
    <w:rsid w:val="00B976CA"/>
    <w:rsid w:val="00B97788"/>
    <w:rsid w:val="00B977F9"/>
    <w:rsid w:val="00B979FC"/>
    <w:rsid w:val="00B97D0D"/>
    <w:rsid w:val="00BA009D"/>
    <w:rsid w:val="00BA02BF"/>
    <w:rsid w:val="00BA1496"/>
    <w:rsid w:val="00BA1D49"/>
    <w:rsid w:val="00BA2071"/>
    <w:rsid w:val="00BA209D"/>
    <w:rsid w:val="00BA20E8"/>
    <w:rsid w:val="00BA220D"/>
    <w:rsid w:val="00BA2889"/>
    <w:rsid w:val="00BA2DB9"/>
    <w:rsid w:val="00BA3D2A"/>
    <w:rsid w:val="00BA3FA1"/>
    <w:rsid w:val="00BA4119"/>
    <w:rsid w:val="00BA48D6"/>
    <w:rsid w:val="00BA4B48"/>
    <w:rsid w:val="00BA4EDE"/>
    <w:rsid w:val="00BA60A9"/>
    <w:rsid w:val="00BA6383"/>
    <w:rsid w:val="00BA66F0"/>
    <w:rsid w:val="00BA68D5"/>
    <w:rsid w:val="00BA6A13"/>
    <w:rsid w:val="00BA6A68"/>
    <w:rsid w:val="00BA6B08"/>
    <w:rsid w:val="00BA6B50"/>
    <w:rsid w:val="00BA6C2E"/>
    <w:rsid w:val="00BA71A0"/>
    <w:rsid w:val="00BA771F"/>
    <w:rsid w:val="00BA7730"/>
    <w:rsid w:val="00BA7B99"/>
    <w:rsid w:val="00BA7CA0"/>
    <w:rsid w:val="00BA7F6B"/>
    <w:rsid w:val="00BB023F"/>
    <w:rsid w:val="00BB04EC"/>
    <w:rsid w:val="00BB06FE"/>
    <w:rsid w:val="00BB0CF0"/>
    <w:rsid w:val="00BB0FBD"/>
    <w:rsid w:val="00BB1506"/>
    <w:rsid w:val="00BB2032"/>
    <w:rsid w:val="00BB20F2"/>
    <w:rsid w:val="00BB23FC"/>
    <w:rsid w:val="00BB25A8"/>
    <w:rsid w:val="00BB27CC"/>
    <w:rsid w:val="00BB2C9B"/>
    <w:rsid w:val="00BB2D12"/>
    <w:rsid w:val="00BB2D39"/>
    <w:rsid w:val="00BB2D8B"/>
    <w:rsid w:val="00BB30D7"/>
    <w:rsid w:val="00BB325D"/>
    <w:rsid w:val="00BB3630"/>
    <w:rsid w:val="00BB36A6"/>
    <w:rsid w:val="00BB3814"/>
    <w:rsid w:val="00BB3B0C"/>
    <w:rsid w:val="00BB3D51"/>
    <w:rsid w:val="00BB4901"/>
    <w:rsid w:val="00BB4A33"/>
    <w:rsid w:val="00BB4C64"/>
    <w:rsid w:val="00BB52EF"/>
    <w:rsid w:val="00BB57A3"/>
    <w:rsid w:val="00BB5896"/>
    <w:rsid w:val="00BB5A73"/>
    <w:rsid w:val="00BB5BBC"/>
    <w:rsid w:val="00BB5DB0"/>
    <w:rsid w:val="00BB5EA0"/>
    <w:rsid w:val="00BB637D"/>
    <w:rsid w:val="00BB699A"/>
    <w:rsid w:val="00BB6D9E"/>
    <w:rsid w:val="00BB7870"/>
    <w:rsid w:val="00BB7BCC"/>
    <w:rsid w:val="00BC0837"/>
    <w:rsid w:val="00BC0B8D"/>
    <w:rsid w:val="00BC1428"/>
    <w:rsid w:val="00BC1B46"/>
    <w:rsid w:val="00BC2567"/>
    <w:rsid w:val="00BC26A9"/>
    <w:rsid w:val="00BC2DD1"/>
    <w:rsid w:val="00BC31C3"/>
    <w:rsid w:val="00BC36E1"/>
    <w:rsid w:val="00BC3C68"/>
    <w:rsid w:val="00BC3CAB"/>
    <w:rsid w:val="00BC4252"/>
    <w:rsid w:val="00BC4862"/>
    <w:rsid w:val="00BC50CE"/>
    <w:rsid w:val="00BC559D"/>
    <w:rsid w:val="00BC5828"/>
    <w:rsid w:val="00BC5A96"/>
    <w:rsid w:val="00BC5C94"/>
    <w:rsid w:val="00BC5D79"/>
    <w:rsid w:val="00BC60B1"/>
    <w:rsid w:val="00BC62B5"/>
    <w:rsid w:val="00BC681A"/>
    <w:rsid w:val="00BC6CA3"/>
    <w:rsid w:val="00BC6D4A"/>
    <w:rsid w:val="00BC6E33"/>
    <w:rsid w:val="00BC7365"/>
    <w:rsid w:val="00BC736F"/>
    <w:rsid w:val="00BC73DD"/>
    <w:rsid w:val="00BC743C"/>
    <w:rsid w:val="00BC77AE"/>
    <w:rsid w:val="00BC7BA1"/>
    <w:rsid w:val="00BD042B"/>
    <w:rsid w:val="00BD0630"/>
    <w:rsid w:val="00BD0C31"/>
    <w:rsid w:val="00BD0F0B"/>
    <w:rsid w:val="00BD115E"/>
    <w:rsid w:val="00BD136E"/>
    <w:rsid w:val="00BD144E"/>
    <w:rsid w:val="00BD1642"/>
    <w:rsid w:val="00BD1781"/>
    <w:rsid w:val="00BD17C0"/>
    <w:rsid w:val="00BD1BF3"/>
    <w:rsid w:val="00BD1BFD"/>
    <w:rsid w:val="00BD1D9D"/>
    <w:rsid w:val="00BD2277"/>
    <w:rsid w:val="00BD265E"/>
    <w:rsid w:val="00BD29F4"/>
    <w:rsid w:val="00BD2A81"/>
    <w:rsid w:val="00BD2E14"/>
    <w:rsid w:val="00BD2EB3"/>
    <w:rsid w:val="00BD34F5"/>
    <w:rsid w:val="00BD35AF"/>
    <w:rsid w:val="00BD39ED"/>
    <w:rsid w:val="00BD3A4B"/>
    <w:rsid w:val="00BD3C9C"/>
    <w:rsid w:val="00BD3EA5"/>
    <w:rsid w:val="00BD492B"/>
    <w:rsid w:val="00BD4B7F"/>
    <w:rsid w:val="00BD55BE"/>
    <w:rsid w:val="00BD579A"/>
    <w:rsid w:val="00BD5950"/>
    <w:rsid w:val="00BD5CB0"/>
    <w:rsid w:val="00BD5F9A"/>
    <w:rsid w:val="00BD61E2"/>
    <w:rsid w:val="00BD690E"/>
    <w:rsid w:val="00BD6F6E"/>
    <w:rsid w:val="00BD6F70"/>
    <w:rsid w:val="00BD732C"/>
    <w:rsid w:val="00BD7360"/>
    <w:rsid w:val="00BD7527"/>
    <w:rsid w:val="00BD75FA"/>
    <w:rsid w:val="00BD767C"/>
    <w:rsid w:val="00BD76F2"/>
    <w:rsid w:val="00BD79A7"/>
    <w:rsid w:val="00BD7C40"/>
    <w:rsid w:val="00BD7C65"/>
    <w:rsid w:val="00BE02A4"/>
    <w:rsid w:val="00BE0799"/>
    <w:rsid w:val="00BE0C7C"/>
    <w:rsid w:val="00BE1423"/>
    <w:rsid w:val="00BE1744"/>
    <w:rsid w:val="00BE21E5"/>
    <w:rsid w:val="00BE251A"/>
    <w:rsid w:val="00BE2765"/>
    <w:rsid w:val="00BE28E5"/>
    <w:rsid w:val="00BE29DE"/>
    <w:rsid w:val="00BE2B98"/>
    <w:rsid w:val="00BE3FDB"/>
    <w:rsid w:val="00BE402B"/>
    <w:rsid w:val="00BE425E"/>
    <w:rsid w:val="00BE436F"/>
    <w:rsid w:val="00BE4745"/>
    <w:rsid w:val="00BE493B"/>
    <w:rsid w:val="00BE5AE9"/>
    <w:rsid w:val="00BE5BBA"/>
    <w:rsid w:val="00BE6565"/>
    <w:rsid w:val="00BE6854"/>
    <w:rsid w:val="00BE68F3"/>
    <w:rsid w:val="00BE6D5F"/>
    <w:rsid w:val="00BE6F69"/>
    <w:rsid w:val="00BE7148"/>
    <w:rsid w:val="00BE7287"/>
    <w:rsid w:val="00BE750D"/>
    <w:rsid w:val="00BE79B9"/>
    <w:rsid w:val="00BE7B5E"/>
    <w:rsid w:val="00BE7BFF"/>
    <w:rsid w:val="00BE7E8B"/>
    <w:rsid w:val="00BE7F43"/>
    <w:rsid w:val="00BF0101"/>
    <w:rsid w:val="00BF0CD7"/>
    <w:rsid w:val="00BF0D84"/>
    <w:rsid w:val="00BF0E7A"/>
    <w:rsid w:val="00BF13F5"/>
    <w:rsid w:val="00BF1634"/>
    <w:rsid w:val="00BF1958"/>
    <w:rsid w:val="00BF1AD5"/>
    <w:rsid w:val="00BF20E8"/>
    <w:rsid w:val="00BF23D5"/>
    <w:rsid w:val="00BF2589"/>
    <w:rsid w:val="00BF3744"/>
    <w:rsid w:val="00BF3758"/>
    <w:rsid w:val="00BF3819"/>
    <w:rsid w:val="00BF3F40"/>
    <w:rsid w:val="00BF3F74"/>
    <w:rsid w:val="00BF42D2"/>
    <w:rsid w:val="00BF44EA"/>
    <w:rsid w:val="00BF4782"/>
    <w:rsid w:val="00BF4AE6"/>
    <w:rsid w:val="00BF4B6C"/>
    <w:rsid w:val="00BF4BA9"/>
    <w:rsid w:val="00BF4F6D"/>
    <w:rsid w:val="00BF5954"/>
    <w:rsid w:val="00BF59DE"/>
    <w:rsid w:val="00BF5AFB"/>
    <w:rsid w:val="00BF6392"/>
    <w:rsid w:val="00BF639F"/>
    <w:rsid w:val="00BF660D"/>
    <w:rsid w:val="00BF6770"/>
    <w:rsid w:val="00BF6CE4"/>
    <w:rsid w:val="00BF6D59"/>
    <w:rsid w:val="00BF6E38"/>
    <w:rsid w:val="00BF7130"/>
    <w:rsid w:val="00BF74D0"/>
    <w:rsid w:val="00BF7812"/>
    <w:rsid w:val="00BF7C28"/>
    <w:rsid w:val="00C00000"/>
    <w:rsid w:val="00C000B5"/>
    <w:rsid w:val="00C00118"/>
    <w:rsid w:val="00C00264"/>
    <w:rsid w:val="00C0093B"/>
    <w:rsid w:val="00C00B3D"/>
    <w:rsid w:val="00C00C0A"/>
    <w:rsid w:val="00C0151A"/>
    <w:rsid w:val="00C01865"/>
    <w:rsid w:val="00C01EB1"/>
    <w:rsid w:val="00C020B7"/>
    <w:rsid w:val="00C02101"/>
    <w:rsid w:val="00C02A53"/>
    <w:rsid w:val="00C02B3B"/>
    <w:rsid w:val="00C02DEE"/>
    <w:rsid w:val="00C03124"/>
    <w:rsid w:val="00C0344D"/>
    <w:rsid w:val="00C035B3"/>
    <w:rsid w:val="00C03669"/>
    <w:rsid w:val="00C0383D"/>
    <w:rsid w:val="00C03D64"/>
    <w:rsid w:val="00C03F78"/>
    <w:rsid w:val="00C03FC0"/>
    <w:rsid w:val="00C03FFC"/>
    <w:rsid w:val="00C045A2"/>
    <w:rsid w:val="00C04991"/>
    <w:rsid w:val="00C04EA3"/>
    <w:rsid w:val="00C04FED"/>
    <w:rsid w:val="00C05041"/>
    <w:rsid w:val="00C05776"/>
    <w:rsid w:val="00C0582A"/>
    <w:rsid w:val="00C058CF"/>
    <w:rsid w:val="00C05E72"/>
    <w:rsid w:val="00C06082"/>
    <w:rsid w:val="00C06615"/>
    <w:rsid w:val="00C06653"/>
    <w:rsid w:val="00C0678A"/>
    <w:rsid w:val="00C06FBE"/>
    <w:rsid w:val="00C07350"/>
    <w:rsid w:val="00C079B3"/>
    <w:rsid w:val="00C07B99"/>
    <w:rsid w:val="00C1018E"/>
    <w:rsid w:val="00C10A16"/>
    <w:rsid w:val="00C10D93"/>
    <w:rsid w:val="00C116DA"/>
    <w:rsid w:val="00C11700"/>
    <w:rsid w:val="00C11D91"/>
    <w:rsid w:val="00C12AA0"/>
    <w:rsid w:val="00C12AE4"/>
    <w:rsid w:val="00C1301B"/>
    <w:rsid w:val="00C130BF"/>
    <w:rsid w:val="00C13678"/>
    <w:rsid w:val="00C136CE"/>
    <w:rsid w:val="00C13E3D"/>
    <w:rsid w:val="00C1404B"/>
    <w:rsid w:val="00C14123"/>
    <w:rsid w:val="00C1426E"/>
    <w:rsid w:val="00C14DE8"/>
    <w:rsid w:val="00C15221"/>
    <w:rsid w:val="00C152C2"/>
    <w:rsid w:val="00C155F5"/>
    <w:rsid w:val="00C156E3"/>
    <w:rsid w:val="00C1598D"/>
    <w:rsid w:val="00C15F85"/>
    <w:rsid w:val="00C16309"/>
    <w:rsid w:val="00C16413"/>
    <w:rsid w:val="00C16549"/>
    <w:rsid w:val="00C17B45"/>
    <w:rsid w:val="00C17C24"/>
    <w:rsid w:val="00C17F78"/>
    <w:rsid w:val="00C20305"/>
    <w:rsid w:val="00C20520"/>
    <w:rsid w:val="00C20C0C"/>
    <w:rsid w:val="00C20E5A"/>
    <w:rsid w:val="00C216A7"/>
    <w:rsid w:val="00C2240B"/>
    <w:rsid w:val="00C2276E"/>
    <w:rsid w:val="00C227C8"/>
    <w:rsid w:val="00C22D56"/>
    <w:rsid w:val="00C22DFF"/>
    <w:rsid w:val="00C23615"/>
    <w:rsid w:val="00C248DD"/>
    <w:rsid w:val="00C2509F"/>
    <w:rsid w:val="00C25872"/>
    <w:rsid w:val="00C258C6"/>
    <w:rsid w:val="00C25B84"/>
    <w:rsid w:val="00C25C5A"/>
    <w:rsid w:val="00C26478"/>
    <w:rsid w:val="00C264FB"/>
    <w:rsid w:val="00C26B66"/>
    <w:rsid w:val="00C2743A"/>
    <w:rsid w:val="00C274DF"/>
    <w:rsid w:val="00C277FC"/>
    <w:rsid w:val="00C27E9D"/>
    <w:rsid w:val="00C300BE"/>
    <w:rsid w:val="00C306A2"/>
    <w:rsid w:val="00C30986"/>
    <w:rsid w:val="00C30A46"/>
    <w:rsid w:val="00C30C2A"/>
    <w:rsid w:val="00C30C4F"/>
    <w:rsid w:val="00C30CD9"/>
    <w:rsid w:val="00C3134E"/>
    <w:rsid w:val="00C3153E"/>
    <w:rsid w:val="00C31834"/>
    <w:rsid w:val="00C31BA9"/>
    <w:rsid w:val="00C31EC4"/>
    <w:rsid w:val="00C3250F"/>
    <w:rsid w:val="00C327B3"/>
    <w:rsid w:val="00C32949"/>
    <w:rsid w:val="00C32F9C"/>
    <w:rsid w:val="00C336C9"/>
    <w:rsid w:val="00C33C1E"/>
    <w:rsid w:val="00C33FAA"/>
    <w:rsid w:val="00C344CE"/>
    <w:rsid w:val="00C34674"/>
    <w:rsid w:val="00C34FFD"/>
    <w:rsid w:val="00C352AF"/>
    <w:rsid w:val="00C355FC"/>
    <w:rsid w:val="00C3563C"/>
    <w:rsid w:val="00C35FA3"/>
    <w:rsid w:val="00C3635F"/>
    <w:rsid w:val="00C37008"/>
    <w:rsid w:val="00C37288"/>
    <w:rsid w:val="00C377B7"/>
    <w:rsid w:val="00C37916"/>
    <w:rsid w:val="00C401C1"/>
    <w:rsid w:val="00C40375"/>
    <w:rsid w:val="00C40607"/>
    <w:rsid w:val="00C40962"/>
    <w:rsid w:val="00C40C6F"/>
    <w:rsid w:val="00C40F42"/>
    <w:rsid w:val="00C4103D"/>
    <w:rsid w:val="00C4142E"/>
    <w:rsid w:val="00C4166F"/>
    <w:rsid w:val="00C418BB"/>
    <w:rsid w:val="00C41DA0"/>
    <w:rsid w:val="00C427B8"/>
    <w:rsid w:val="00C42AFD"/>
    <w:rsid w:val="00C42B20"/>
    <w:rsid w:val="00C42F2D"/>
    <w:rsid w:val="00C42F30"/>
    <w:rsid w:val="00C43025"/>
    <w:rsid w:val="00C43956"/>
    <w:rsid w:val="00C43A24"/>
    <w:rsid w:val="00C43C40"/>
    <w:rsid w:val="00C43EF4"/>
    <w:rsid w:val="00C44494"/>
    <w:rsid w:val="00C44B14"/>
    <w:rsid w:val="00C44BE4"/>
    <w:rsid w:val="00C44D53"/>
    <w:rsid w:val="00C45FEC"/>
    <w:rsid w:val="00C46309"/>
    <w:rsid w:val="00C463E3"/>
    <w:rsid w:val="00C46871"/>
    <w:rsid w:val="00C46970"/>
    <w:rsid w:val="00C469E2"/>
    <w:rsid w:val="00C46ACC"/>
    <w:rsid w:val="00C46DD6"/>
    <w:rsid w:val="00C47111"/>
    <w:rsid w:val="00C4748D"/>
    <w:rsid w:val="00C474DE"/>
    <w:rsid w:val="00C47750"/>
    <w:rsid w:val="00C47B2D"/>
    <w:rsid w:val="00C47D8D"/>
    <w:rsid w:val="00C47E6C"/>
    <w:rsid w:val="00C47F75"/>
    <w:rsid w:val="00C5014A"/>
    <w:rsid w:val="00C50521"/>
    <w:rsid w:val="00C50B14"/>
    <w:rsid w:val="00C50BB1"/>
    <w:rsid w:val="00C5102C"/>
    <w:rsid w:val="00C5168F"/>
    <w:rsid w:val="00C516EE"/>
    <w:rsid w:val="00C521C7"/>
    <w:rsid w:val="00C52240"/>
    <w:rsid w:val="00C52563"/>
    <w:rsid w:val="00C5263C"/>
    <w:rsid w:val="00C52780"/>
    <w:rsid w:val="00C52F1D"/>
    <w:rsid w:val="00C53359"/>
    <w:rsid w:val="00C5350A"/>
    <w:rsid w:val="00C536D7"/>
    <w:rsid w:val="00C53C90"/>
    <w:rsid w:val="00C53D74"/>
    <w:rsid w:val="00C5492D"/>
    <w:rsid w:val="00C553A4"/>
    <w:rsid w:val="00C55403"/>
    <w:rsid w:val="00C5563C"/>
    <w:rsid w:val="00C55726"/>
    <w:rsid w:val="00C55741"/>
    <w:rsid w:val="00C55944"/>
    <w:rsid w:val="00C562DA"/>
    <w:rsid w:val="00C56582"/>
    <w:rsid w:val="00C5668E"/>
    <w:rsid w:val="00C569B4"/>
    <w:rsid w:val="00C572E1"/>
    <w:rsid w:val="00C57310"/>
    <w:rsid w:val="00C5732C"/>
    <w:rsid w:val="00C57815"/>
    <w:rsid w:val="00C57DF1"/>
    <w:rsid w:val="00C57FF3"/>
    <w:rsid w:val="00C60083"/>
    <w:rsid w:val="00C6047B"/>
    <w:rsid w:val="00C607BD"/>
    <w:rsid w:val="00C608A4"/>
    <w:rsid w:val="00C60BE2"/>
    <w:rsid w:val="00C60C10"/>
    <w:rsid w:val="00C61200"/>
    <w:rsid w:val="00C612AE"/>
    <w:rsid w:val="00C6132E"/>
    <w:rsid w:val="00C6140B"/>
    <w:rsid w:val="00C6151C"/>
    <w:rsid w:val="00C61635"/>
    <w:rsid w:val="00C61A5E"/>
    <w:rsid w:val="00C61F96"/>
    <w:rsid w:val="00C623E1"/>
    <w:rsid w:val="00C6254E"/>
    <w:rsid w:val="00C627C0"/>
    <w:rsid w:val="00C62FE0"/>
    <w:rsid w:val="00C63A2A"/>
    <w:rsid w:val="00C63BDE"/>
    <w:rsid w:val="00C63DCB"/>
    <w:rsid w:val="00C642F8"/>
    <w:rsid w:val="00C64345"/>
    <w:rsid w:val="00C6434B"/>
    <w:rsid w:val="00C648D0"/>
    <w:rsid w:val="00C648DF"/>
    <w:rsid w:val="00C64BE0"/>
    <w:rsid w:val="00C64D03"/>
    <w:rsid w:val="00C64F57"/>
    <w:rsid w:val="00C657A6"/>
    <w:rsid w:val="00C659F9"/>
    <w:rsid w:val="00C65C24"/>
    <w:rsid w:val="00C661FF"/>
    <w:rsid w:val="00C66222"/>
    <w:rsid w:val="00C663A1"/>
    <w:rsid w:val="00C6672C"/>
    <w:rsid w:val="00C66803"/>
    <w:rsid w:val="00C6692F"/>
    <w:rsid w:val="00C66999"/>
    <w:rsid w:val="00C669CD"/>
    <w:rsid w:val="00C67639"/>
    <w:rsid w:val="00C67B64"/>
    <w:rsid w:val="00C701E2"/>
    <w:rsid w:val="00C708BC"/>
    <w:rsid w:val="00C70CAD"/>
    <w:rsid w:val="00C70E9C"/>
    <w:rsid w:val="00C70FF3"/>
    <w:rsid w:val="00C714FE"/>
    <w:rsid w:val="00C71AC7"/>
    <w:rsid w:val="00C71BE5"/>
    <w:rsid w:val="00C723DF"/>
    <w:rsid w:val="00C7257F"/>
    <w:rsid w:val="00C7291D"/>
    <w:rsid w:val="00C72BE4"/>
    <w:rsid w:val="00C73B05"/>
    <w:rsid w:val="00C7415B"/>
    <w:rsid w:val="00C7433E"/>
    <w:rsid w:val="00C7473C"/>
    <w:rsid w:val="00C749BC"/>
    <w:rsid w:val="00C75991"/>
    <w:rsid w:val="00C75B3A"/>
    <w:rsid w:val="00C75E84"/>
    <w:rsid w:val="00C760CB"/>
    <w:rsid w:val="00C760D8"/>
    <w:rsid w:val="00C76F90"/>
    <w:rsid w:val="00C77156"/>
    <w:rsid w:val="00C7776A"/>
    <w:rsid w:val="00C77B36"/>
    <w:rsid w:val="00C77C7A"/>
    <w:rsid w:val="00C77C8D"/>
    <w:rsid w:val="00C77CC8"/>
    <w:rsid w:val="00C77E8E"/>
    <w:rsid w:val="00C8016E"/>
    <w:rsid w:val="00C8024F"/>
    <w:rsid w:val="00C8035C"/>
    <w:rsid w:val="00C80C6B"/>
    <w:rsid w:val="00C810BC"/>
    <w:rsid w:val="00C812F2"/>
    <w:rsid w:val="00C818F7"/>
    <w:rsid w:val="00C81C84"/>
    <w:rsid w:val="00C81D31"/>
    <w:rsid w:val="00C824F0"/>
    <w:rsid w:val="00C82530"/>
    <w:rsid w:val="00C82A60"/>
    <w:rsid w:val="00C82C28"/>
    <w:rsid w:val="00C82DF7"/>
    <w:rsid w:val="00C831B1"/>
    <w:rsid w:val="00C832CA"/>
    <w:rsid w:val="00C83C8E"/>
    <w:rsid w:val="00C8413C"/>
    <w:rsid w:val="00C84DD7"/>
    <w:rsid w:val="00C84EC5"/>
    <w:rsid w:val="00C85182"/>
    <w:rsid w:val="00C8586E"/>
    <w:rsid w:val="00C858E0"/>
    <w:rsid w:val="00C85A56"/>
    <w:rsid w:val="00C85E08"/>
    <w:rsid w:val="00C865D9"/>
    <w:rsid w:val="00C8669C"/>
    <w:rsid w:val="00C86A47"/>
    <w:rsid w:val="00C8730B"/>
    <w:rsid w:val="00C8732C"/>
    <w:rsid w:val="00C87556"/>
    <w:rsid w:val="00C90165"/>
    <w:rsid w:val="00C90827"/>
    <w:rsid w:val="00C90D3B"/>
    <w:rsid w:val="00C90FF7"/>
    <w:rsid w:val="00C91455"/>
    <w:rsid w:val="00C914BC"/>
    <w:rsid w:val="00C91E1E"/>
    <w:rsid w:val="00C92110"/>
    <w:rsid w:val="00C92314"/>
    <w:rsid w:val="00C935BA"/>
    <w:rsid w:val="00C935F9"/>
    <w:rsid w:val="00C937AE"/>
    <w:rsid w:val="00C938C9"/>
    <w:rsid w:val="00C93A64"/>
    <w:rsid w:val="00C94080"/>
    <w:rsid w:val="00C94282"/>
    <w:rsid w:val="00C945D3"/>
    <w:rsid w:val="00C9461A"/>
    <w:rsid w:val="00C9477C"/>
    <w:rsid w:val="00C951E0"/>
    <w:rsid w:val="00C959EE"/>
    <w:rsid w:val="00C959F2"/>
    <w:rsid w:val="00C95BE9"/>
    <w:rsid w:val="00C95E2C"/>
    <w:rsid w:val="00C95F3E"/>
    <w:rsid w:val="00C95FAC"/>
    <w:rsid w:val="00C96AD9"/>
    <w:rsid w:val="00C96CC2"/>
    <w:rsid w:val="00C972AD"/>
    <w:rsid w:val="00CA01DC"/>
    <w:rsid w:val="00CA057E"/>
    <w:rsid w:val="00CA0661"/>
    <w:rsid w:val="00CA0865"/>
    <w:rsid w:val="00CA08E4"/>
    <w:rsid w:val="00CA1257"/>
    <w:rsid w:val="00CA12FE"/>
    <w:rsid w:val="00CA14D6"/>
    <w:rsid w:val="00CA15CF"/>
    <w:rsid w:val="00CA1764"/>
    <w:rsid w:val="00CA1765"/>
    <w:rsid w:val="00CA17E2"/>
    <w:rsid w:val="00CA1941"/>
    <w:rsid w:val="00CA1C1D"/>
    <w:rsid w:val="00CA1FD4"/>
    <w:rsid w:val="00CA2159"/>
    <w:rsid w:val="00CA2404"/>
    <w:rsid w:val="00CA26FD"/>
    <w:rsid w:val="00CA2D26"/>
    <w:rsid w:val="00CA2EA0"/>
    <w:rsid w:val="00CA31FE"/>
    <w:rsid w:val="00CA346B"/>
    <w:rsid w:val="00CA3630"/>
    <w:rsid w:val="00CA38D1"/>
    <w:rsid w:val="00CA3E01"/>
    <w:rsid w:val="00CA3F67"/>
    <w:rsid w:val="00CA3FE6"/>
    <w:rsid w:val="00CA405E"/>
    <w:rsid w:val="00CA44DE"/>
    <w:rsid w:val="00CA4664"/>
    <w:rsid w:val="00CA476B"/>
    <w:rsid w:val="00CA4811"/>
    <w:rsid w:val="00CA4D6C"/>
    <w:rsid w:val="00CA4E71"/>
    <w:rsid w:val="00CA5724"/>
    <w:rsid w:val="00CA5737"/>
    <w:rsid w:val="00CA58B6"/>
    <w:rsid w:val="00CA5B79"/>
    <w:rsid w:val="00CA5E91"/>
    <w:rsid w:val="00CA6415"/>
    <w:rsid w:val="00CA6576"/>
    <w:rsid w:val="00CA6A43"/>
    <w:rsid w:val="00CA6AB3"/>
    <w:rsid w:val="00CA6B84"/>
    <w:rsid w:val="00CA73BA"/>
    <w:rsid w:val="00CB06D8"/>
    <w:rsid w:val="00CB0A1D"/>
    <w:rsid w:val="00CB0A76"/>
    <w:rsid w:val="00CB12F7"/>
    <w:rsid w:val="00CB1592"/>
    <w:rsid w:val="00CB1647"/>
    <w:rsid w:val="00CB16A7"/>
    <w:rsid w:val="00CB19D9"/>
    <w:rsid w:val="00CB22EA"/>
    <w:rsid w:val="00CB2B23"/>
    <w:rsid w:val="00CB3516"/>
    <w:rsid w:val="00CB36F3"/>
    <w:rsid w:val="00CB3721"/>
    <w:rsid w:val="00CB3B9A"/>
    <w:rsid w:val="00CB3BAB"/>
    <w:rsid w:val="00CB4712"/>
    <w:rsid w:val="00CB4A1E"/>
    <w:rsid w:val="00CB4AEA"/>
    <w:rsid w:val="00CB4E27"/>
    <w:rsid w:val="00CB4FA9"/>
    <w:rsid w:val="00CB5863"/>
    <w:rsid w:val="00CB5C12"/>
    <w:rsid w:val="00CB5C24"/>
    <w:rsid w:val="00CB5EA4"/>
    <w:rsid w:val="00CB6213"/>
    <w:rsid w:val="00CB6430"/>
    <w:rsid w:val="00CB67FD"/>
    <w:rsid w:val="00CB684E"/>
    <w:rsid w:val="00CB6B6A"/>
    <w:rsid w:val="00CB70AE"/>
    <w:rsid w:val="00CB74EA"/>
    <w:rsid w:val="00CB7985"/>
    <w:rsid w:val="00CB79B5"/>
    <w:rsid w:val="00CB7BC2"/>
    <w:rsid w:val="00CB7FB8"/>
    <w:rsid w:val="00CC02A5"/>
    <w:rsid w:val="00CC05EE"/>
    <w:rsid w:val="00CC0AD0"/>
    <w:rsid w:val="00CC0F41"/>
    <w:rsid w:val="00CC1983"/>
    <w:rsid w:val="00CC1A15"/>
    <w:rsid w:val="00CC1B18"/>
    <w:rsid w:val="00CC1C16"/>
    <w:rsid w:val="00CC1D66"/>
    <w:rsid w:val="00CC1F0E"/>
    <w:rsid w:val="00CC1F81"/>
    <w:rsid w:val="00CC20AB"/>
    <w:rsid w:val="00CC20DC"/>
    <w:rsid w:val="00CC2AAE"/>
    <w:rsid w:val="00CC38B6"/>
    <w:rsid w:val="00CC3B1A"/>
    <w:rsid w:val="00CC45A1"/>
    <w:rsid w:val="00CC4D8A"/>
    <w:rsid w:val="00CC4E76"/>
    <w:rsid w:val="00CC4EDF"/>
    <w:rsid w:val="00CC518F"/>
    <w:rsid w:val="00CC54F7"/>
    <w:rsid w:val="00CC5DDC"/>
    <w:rsid w:val="00CC5E92"/>
    <w:rsid w:val="00CC6378"/>
    <w:rsid w:val="00CC6579"/>
    <w:rsid w:val="00CC65D6"/>
    <w:rsid w:val="00CC67C3"/>
    <w:rsid w:val="00CC682F"/>
    <w:rsid w:val="00CC6E0C"/>
    <w:rsid w:val="00CC6FBE"/>
    <w:rsid w:val="00CC762B"/>
    <w:rsid w:val="00CC7857"/>
    <w:rsid w:val="00CC7934"/>
    <w:rsid w:val="00CC7C47"/>
    <w:rsid w:val="00CC7E3C"/>
    <w:rsid w:val="00CC7F84"/>
    <w:rsid w:val="00CD01B5"/>
    <w:rsid w:val="00CD04B0"/>
    <w:rsid w:val="00CD10F6"/>
    <w:rsid w:val="00CD1378"/>
    <w:rsid w:val="00CD21FA"/>
    <w:rsid w:val="00CD2E2C"/>
    <w:rsid w:val="00CD30E8"/>
    <w:rsid w:val="00CD32C5"/>
    <w:rsid w:val="00CD4059"/>
    <w:rsid w:val="00CD4355"/>
    <w:rsid w:val="00CD4AD6"/>
    <w:rsid w:val="00CD4B79"/>
    <w:rsid w:val="00CD4B93"/>
    <w:rsid w:val="00CD4D35"/>
    <w:rsid w:val="00CD4E7B"/>
    <w:rsid w:val="00CD4F66"/>
    <w:rsid w:val="00CD4FC6"/>
    <w:rsid w:val="00CD5403"/>
    <w:rsid w:val="00CD55BF"/>
    <w:rsid w:val="00CD599A"/>
    <w:rsid w:val="00CD5F0B"/>
    <w:rsid w:val="00CD6372"/>
    <w:rsid w:val="00CD63BD"/>
    <w:rsid w:val="00CD63CA"/>
    <w:rsid w:val="00CD648E"/>
    <w:rsid w:val="00CD6545"/>
    <w:rsid w:val="00CD6662"/>
    <w:rsid w:val="00CD6892"/>
    <w:rsid w:val="00CD68E1"/>
    <w:rsid w:val="00CD6910"/>
    <w:rsid w:val="00CD69CC"/>
    <w:rsid w:val="00CD6F90"/>
    <w:rsid w:val="00CD7481"/>
    <w:rsid w:val="00CD7861"/>
    <w:rsid w:val="00CD78E3"/>
    <w:rsid w:val="00CD7EF3"/>
    <w:rsid w:val="00CD7FBE"/>
    <w:rsid w:val="00CE0277"/>
    <w:rsid w:val="00CE0393"/>
    <w:rsid w:val="00CE05FE"/>
    <w:rsid w:val="00CE07A2"/>
    <w:rsid w:val="00CE0D77"/>
    <w:rsid w:val="00CE0E55"/>
    <w:rsid w:val="00CE15E6"/>
    <w:rsid w:val="00CE16A6"/>
    <w:rsid w:val="00CE1FFE"/>
    <w:rsid w:val="00CE248C"/>
    <w:rsid w:val="00CE2695"/>
    <w:rsid w:val="00CE2743"/>
    <w:rsid w:val="00CE28EA"/>
    <w:rsid w:val="00CE2E86"/>
    <w:rsid w:val="00CE3531"/>
    <w:rsid w:val="00CE353C"/>
    <w:rsid w:val="00CE38A5"/>
    <w:rsid w:val="00CE38FF"/>
    <w:rsid w:val="00CE39D7"/>
    <w:rsid w:val="00CE3A42"/>
    <w:rsid w:val="00CE3F87"/>
    <w:rsid w:val="00CE4560"/>
    <w:rsid w:val="00CE4719"/>
    <w:rsid w:val="00CE4860"/>
    <w:rsid w:val="00CE5373"/>
    <w:rsid w:val="00CE594A"/>
    <w:rsid w:val="00CE5A3B"/>
    <w:rsid w:val="00CE5B65"/>
    <w:rsid w:val="00CE5EC3"/>
    <w:rsid w:val="00CE6024"/>
    <w:rsid w:val="00CE60FF"/>
    <w:rsid w:val="00CE61E0"/>
    <w:rsid w:val="00CE6312"/>
    <w:rsid w:val="00CE650F"/>
    <w:rsid w:val="00CE662D"/>
    <w:rsid w:val="00CE6844"/>
    <w:rsid w:val="00CE69A0"/>
    <w:rsid w:val="00CE6AB8"/>
    <w:rsid w:val="00CE6ED4"/>
    <w:rsid w:val="00CE71EE"/>
    <w:rsid w:val="00CE7524"/>
    <w:rsid w:val="00CE7565"/>
    <w:rsid w:val="00CE7FD1"/>
    <w:rsid w:val="00CF06F5"/>
    <w:rsid w:val="00CF1085"/>
    <w:rsid w:val="00CF12C4"/>
    <w:rsid w:val="00CF1546"/>
    <w:rsid w:val="00CF1698"/>
    <w:rsid w:val="00CF16B2"/>
    <w:rsid w:val="00CF1A31"/>
    <w:rsid w:val="00CF2237"/>
    <w:rsid w:val="00CF263C"/>
    <w:rsid w:val="00CF2E1F"/>
    <w:rsid w:val="00CF2F20"/>
    <w:rsid w:val="00CF305A"/>
    <w:rsid w:val="00CF329B"/>
    <w:rsid w:val="00CF38F3"/>
    <w:rsid w:val="00CF3B29"/>
    <w:rsid w:val="00CF3B75"/>
    <w:rsid w:val="00CF435B"/>
    <w:rsid w:val="00CF44CC"/>
    <w:rsid w:val="00CF47B7"/>
    <w:rsid w:val="00CF59ED"/>
    <w:rsid w:val="00CF5E6F"/>
    <w:rsid w:val="00CF5EA4"/>
    <w:rsid w:val="00CF6329"/>
    <w:rsid w:val="00CF68CA"/>
    <w:rsid w:val="00CF6C5E"/>
    <w:rsid w:val="00CF6E6A"/>
    <w:rsid w:val="00CF6ECD"/>
    <w:rsid w:val="00CF70CD"/>
    <w:rsid w:val="00CF7556"/>
    <w:rsid w:val="00CF7EE5"/>
    <w:rsid w:val="00D004F7"/>
    <w:rsid w:val="00D00733"/>
    <w:rsid w:val="00D00C88"/>
    <w:rsid w:val="00D00D68"/>
    <w:rsid w:val="00D0132F"/>
    <w:rsid w:val="00D0135E"/>
    <w:rsid w:val="00D01526"/>
    <w:rsid w:val="00D01561"/>
    <w:rsid w:val="00D01631"/>
    <w:rsid w:val="00D01768"/>
    <w:rsid w:val="00D01A4E"/>
    <w:rsid w:val="00D01BE4"/>
    <w:rsid w:val="00D01D86"/>
    <w:rsid w:val="00D01F0C"/>
    <w:rsid w:val="00D01FB4"/>
    <w:rsid w:val="00D023A1"/>
    <w:rsid w:val="00D02458"/>
    <w:rsid w:val="00D02467"/>
    <w:rsid w:val="00D0247A"/>
    <w:rsid w:val="00D02A07"/>
    <w:rsid w:val="00D030E8"/>
    <w:rsid w:val="00D033C4"/>
    <w:rsid w:val="00D034A8"/>
    <w:rsid w:val="00D034B2"/>
    <w:rsid w:val="00D036F4"/>
    <w:rsid w:val="00D03746"/>
    <w:rsid w:val="00D03BBB"/>
    <w:rsid w:val="00D03F77"/>
    <w:rsid w:val="00D03F9F"/>
    <w:rsid w:val="00D04118"/>
    <w:rsid w:val="00D042E1"/>
    <w:rsid w:val="00D04351"/>
    <w:rsid w:val="00D04A31"/>
    <w:rsid w:val="00D04AAC"/>
    <w:rsid w:val="00D04B8E"/>
    <w:rsid w:val="00D05550"/>
    <w:rsid w:val="00D05709"/>
    <w:rsid w:val="00D05753"/>
    <w:rsid w:val="00D05849"/>
    <w:rsid w:val="00D05887"/>
    <w:rsid w:val="00D058E6"/>
    <w:rsid w:val="00D05920"/>
    <w:rsid w:val="00D05E9F"/>
    <w:rsid w:val="00D062EC"/>
    <w:rsid w:val="00D065D6"/>
    <w:rsid w:val="00D06CA5"/>
    <w:rsid w:val="00D06EA2"/>
    <w:rsid w:val="00D07225"/>
    <w:rsid w:val="00D072D9"/>
    <w:rsid w:val="00D075C4"/>
    <w:rsid w:val="00D07691"/>
    <w:rsid w:val="00D07AF5"/>
    <w:rsid w:val="00D1048C"/>
    <w:rsid w:val="00D10C90"/>
    <w:rsid w:val="00D111E8"/>
    <w:rsid w:val="00D117EC"/>
    <w:rsid w:val="00D11A98"/>
    <w:rsid w:val="00D11DB6"/>
    <w:rsid w:val="00D11EC7"/>
    <w:rsid w:val="00D11ECE"/>
    <w:rsid w:val="00D12205"/>
    <w:rsid w:val="00D123DF"/>
    <w:rsid w:val="00D12B0B"/>
    <w:rsid w:val="00D12C21"/>
    <w:rsid w:val="00D12DA1"/>
    <w:rsid w:val="00D13A3A"/>
    <w:rsid w:val="00D13AC3"/>
    <w:rsid w:val="00D13BBD"/>
    <w:rsid w:val="00D144B6"/>
    <w:rsid w:val="00D14786"/>
    <w:rsid w:val="00D14926"/>
    <w:rsid w:val="00D150F7"/>
    <w:rsid w:val="00D151C6"/>
    <w:rsid w:val="00D153D3"/>
    <w:rsid w:val="00D15A92"/>
    <w:rsid w:val="00D15B34"/>
    <w:rsid w:val="00D15E88"/>
    <w:rsid w:val="00D15F92"/>
    <w:rsid w:val="00D15FCA"/>
    <w:rsid w:val="00D16318"/>
    <w:rsid w:val="00D16419"/>
    <w:rsid w:val="00D164AC"/>
    <w:rsid w:val="00D1676E"/>
    <w:rsid w:val="00D1693F"/>
    <w:rsid w:val="00D172BC"/>
    <w:rsid w:val="00D17935"/>
    <w:rsid w:val="00D17EB1"/>
    <w:rsid w:val="00D17FF1"/>
    <w:rsid w:val="00D201D2"/>
    <w:rsid w:val="00D206A8"/>
    <w:rsid w:val="00D208AF"/>
    <w:rsid w:val="00D208C9"/>
    <w:rsid w:val="00D209D1"/>
    <w:rsid w:val="00D20CF4"/>
    <w:rsid w:val="00D20FF0"/>
    <w:rsid w:val="00D219C4"/>
    <w:rsid w:val="00D219E1"/>
    <w:rsid w:val="00D21BA0"/>
    <w:rsid w:val="00D21C17"/>
    <w:rsid w:val="00D223A7"/>
    <w:rsid w:val="00D22B2E"/>
    <w:rsid w:val="00D22B83"/>
    <w:rsid w:val="00D22BED"/>
    <w:rsid w:val="00D23274"/>
    <w:rsid w:val="00D232BB"/>
    <w:rsid w:val="00D2388D"/>
    <w:rsid w:val="00D23AD9"/>
    <w:rsid w:val="00D24367"/>
    <w:rsid w:val="00D24A59"/>
    <w:rsid w:val="00D24DC9"/>
    <w:rsid w:val="00D250E0"/>
    <w:rsid w:val="00D25752"/>
    <w:rsid w:val="00D25773"/>
    <w:rsid w:val="00D25E16"/>
    <w:rsid w:val="00D260F8"/>
    <w:rsid w:val="00D2614E"/>
    <w:rsid w:val="00D26394"/>
    <w:rsid w:val="00D263D5"/>
    <w:rsid w:val="00D265D1"/>
    <w:rsid w:val="00D26AC9"/>
    <w:rsid w:val="00D27014"/>
    <w:rsid w:val="00D2712A"/>
    <w:rsid w:val="00D2723B"/>
    <w:rsid w:val="00D27268"/>
    <w:rsid w:val="00D27540"/>
    <w:rsid w:val="00D2796D"/>
    <w:rsid w:val="00D27AB0"/>
    <w:rsid w:val="00D27B86"/>
    <w:rsid w:val="00D27ED4"/>
    <w:rsid w:val="00D27FC9"/>
    <w:rsid w:val="00D27FE2"/>
    <w:rsid w:val="00D303E7"/>
    <w:rsid w:val="00D30422"/>
    <w:rsid w:val="00D30F75"/>
    <w:rsid w:val="00D31646"/>
    <w:rsid w:val="00D3168D"/>
    <w:rsid w:val="00D3169D"/>
    <w:rsid w:val="00D31705"/>
    <w:rsid w:val="00D31A11"/>
    <w:rsid w:val="00D31C6A"/>
    <w:rsid w:val="00D31D01"/>
    <w:rsid w:val="00D31D63"/>
    <w:rsid w:val="00D324E6"/>
    <w:rsid w:val="00D32772"/>
    <w:rsid w:val="00D32835"/>
    <w:rsid w:val="00D329DF"/>
    <w:rsid w:val="00D330FE"/>
    <w:rsid w:val="00D335DE"/>
    <w:rsid w:val="00D3369D"/>
    <w:rsid w:val="00D33BA9"/>
    <w:rsid w:val="00D33F4D"/>
    <w:rsid w:val="00D3443D"/>
    <w:rsid w:val="00D34814"/>
    <w:rsid w:val="00D34C79"/>
    <w:rsid w:val="00D34DA7"/>
    <w:rsid w:val="00D34DEC"/>
    <w:rsid w:val="00D35015"/>
    <w:rsid w:val="00D3522F"/>
    <w:rsid w:val="00D354C8"/>
    <w:rsid w:val="00D35A19"/>
    <w:rsid w:val="00D35A50"/>
    <w:rsid w:val="00D35B6E"/>
    <w:rsid w:val="00D35C7B"/>
    <w:rsid w:val="00D360DB"/>
    <w:rsid w:val="00D36470"/>
    <w:rsid w:val="00D367F0"/>
    <w:rsid w:val="00D36CFE"/>
    <w:rsid w:val="00D370EF"/>
    <w:rsid w:val="00D3761C"/>
    <w:rsid w:val="00D37F3D"/>
    <w:rsid w:val="00D401CF"/>
    <w:rsid w:val="00D402E5"/>
    <w:rsid w:val="00D403A3"/>
    <w:rsid w:val="00D4058A"/>
    <w:rsid w:val="00D405AC"/>
    <w:rsid w:val="00D410B8"/>
    <w:rsid w:val="00D415CE"/>
    <w:rsid w:val="00D41BAB"/>
    <w:rsid w:val="00D41C27"/>
    <w:rsid w:val="00D4278E"/>
    <w:rsid w:val="00D42B4B"/>
    <w:rsid w:val="00D42BFE"/>
    <w:rsid w:val="00D42D09"/>
    <w:rsid w:val="00D42D82"/>
    <w:rsid w:val="00D4308A"/>
    <w:rsid w:val="00D43379"/>
    <w:rsid w:val="00D434AE"/>
    <w:rsid w:val="00D436E1"/>
    <w:rsid w:val="00D43BC6"/>
    <w:rsid w:val="00D43C0B"/>
    <w:rsid w:val="00D43D32"/>
    <w:rsid w:val="00D44031"/>
    <w:rsid w:val="00D44067"/>
    <w:rsid w:val="00D4418C"/>
    <w:rsid w:val="00D442FD"/>
    <w:rsid w:val="00D4461F"/>
    <w:rsid w:val="00D44759"/>
    <w:rsid w:val="00D449BA"/>
    <w:rsid w:val="00D44DF1"/>
    <w:rsid w:val="00D45022"/>
    <w:rsid w:val="00D45090"/>
    <w:rsid w:val="00D454AC"/>
    <w:rsid w:val="00D45714"/>
    <w:rsid w:val="00D45D33"/>
    <w:rsid w:val="00D46793"/>
    <w:rsid w:val="00D46860"/>
    <w:rsid w:val="00D46872"/>
    <w:rsid w:val="00D468CA"/>
    <w:rsid w:val="00D46A86"/>
    <w:rsid w:val="00D471AA"/>
    <w:rsid w:val="00D47784"/>
    <w:rsid w:val="00D47DBB"/>
    <w:rsid w:val="00D47E5A"/>
    <w:rsid w:val="00D502FC"/>
    <w:rsid w:val="00D5039E"/>
    <w:rsid w:val="00D5064E"/>
    <w:rsid w:val="00D5112C"/>
    <w:rsid w:val="00D51581"/>
    <w:rsid w:val="00D516DE"/>
    <w:rsid w:val="00D5189A"/>
    <w:rsid w:val="00D51DEF"/>
    <w:rsid w:val="00D52312"/>
    <w:rsid w:val="00D524AC"/>
    <w:rsid w:val="00D525B0"/>
    <w:rsid w:val="00D526FA"/>
    <w:rsid w:val="00D52718"/>
    <w:rsid w:val="00D52BD0"/>
    <w:rsid w:val="00D52D83"/>
    <w:rsid w:val="00D52F35"/>
    <w:rsid w:val="00D5302A"/>
    <w:rsid w:val="00D53159"/>
    <w:rsid w:val="00D532B4"/>
    <w:rsid w:val="00D534A7"/>
    <w:rsid w:val="00D537C4"/>
    <w:rsid w:val="00D53EA0"/>
    <w:rsid w:val="00D54081"/>
    <w:rsid w:val="00D54445"/>
    <w:rsid w:val="00D54676"/>
    <w:rsid w:val="00D54C9F"/>
    <w:rsid w:val="00D54D81"/>
    <w:rsid w:val="00D551A2"/>
    <w:rsid w:val="00D557EA"/>
    <w:rsid w:val="00D560F4"/>
    <w:rsid w:val="00D56F5B"/>
    <w:rsid w:val="00D5724F"/>
    <w:rsid w:val="00D57C38"/>
    <w:rsid w:val="00D57C6F"/>
    <w:rsid w:val="00D60014"/>
    <w:rsid w:val="00D605CB"/>
    <w:rsid w:val="00D606CE"/>
    <w:rsid w:val="00D60B1C"/>
    <w:rsid w:val="00D60B8A"/>
    <w:rsid w:val="00D60C92"/>
    <w:rsid w:val="00D6107C"/>
    <w:rsid w:val="00D61245"/>
    <w:rsid w:val="00D6155D"/>
    <w:rsid w:val="00D616DD"/>
    <w:rsid w:val="00D61A71"/>
    <w:rsid w:val="00D6219A"/>
    <w:rsid w:val="00D62230"/>
    <w:rsid w:val="00D62300"/>
    <w:rsid w:val="00D6238F"/>
    <w:rsid w:val="00D62429"/>
    <w:rsid w:val="00D6249E"/>
    <w:rsid w:val="00D6299C"/>
    <w:rsid w:val="00D62C6B"/>
    <w:rsid w:val="00D62E29"/>
    <w:rsid w:val="00D634EB"/>
    <w:rsid w:val="00D6375C"/>
    <w:rsid w:val="00D638F1"/>
    <w:rsid w:val="00D63B53"/>
    <w:rsid w:val="00D63BB7"/>
    <w:rsid w:val="00D63F2A"/>
    <w:rsid w:val="00D64774"/>
    <w:rsid w:val="00D649A2"/>
    <w:rsid w:val="00D64A70"/>
    <w:rsid w:val="00D655D0"/>
    <w:rsid w:val="00D65673"/>
    <w:rsid w:val="00D663F2"/>
    <w:rsid w:val="00D66435"/>
    <w:rsid w:val="00D669ED"/>
    <w:rsid w:val="00D66A3D"/>
    <w:rsid w:val="00D66CF1"/>
    <w:rsid w:val="00D66D20"/>
    <w:rsid w:val="00D66D9E"/>
    <w:rsid w:val="00D66DA3"/>
    <w:rsid w:val="00D672B1"/>
    <w:rsid w:val="00D67F78"/>
    <w:rsid w:val="00D70634"/>
    <w:rsid w:val="00D70997"/>
    <w:rsid w:val="00D70D3F"/>
    <w:rsid w:val="00D712A2"/>
    <w:rsid w:val="00D7132A"/>
    <w:rsid w:val="00D71411"/>
    <w:rsid w:val="00D715B8"/>
    <w:rsid w:val="00D71B52"/>
    <w:rsid w:val="00D72192"/>
    <w:rsid w:val="00D726FE"/>
    <w:rsid w:val="00D72EBA"/>
    <w:rsid w:val="00D73260"/>
    <w:rsid w:val="00D737B1"/>
    <w:rsid w:val="00D73996"/>
    <w:rsid w:val="00D73C4F"/>
    <w:rsid w:val="00D740DD"/>
    <w:rsid w:val="00D743E5"/>
    <w:rsid w:val="00D74591"/>
    <w:rsid w:val="00D74604"/>
    <w:rsid w:val="00D74701"/>
    <w:rsid w:val="00D74A00"/>
    <w:rsid w:val="00D75110"/>
    <w:rsid w:val="00D755E7"/>
    <w:rsid w:val="00D756E5"/>
    <w:rsid w:val="00D757CD"/>
    <w:rsid w:val="00D75BBE"/>
    <w:rsid w:val="00D76884"/>
    <w:rsid w:val="00D768A7"/>
    <w:rsid w:val="00D76E91"/>
    <w:rsid w:val="00D770C6"/>
    <w:rsid w:val="00D77500"/>
    <w:rsid w:val="00D7776F"/>
    <w:rsid w:val="00D77913"/>
    <w:rsid w:val="00D779CB"/>
    <w:rsid w:val="00D77B45"/>
    <w:rsid w:val="00D77C33"/>
    <w:rsid w:val="00D802FA"/>
    <w:rsid w:val="00D80A47"/>
    <w:rsid w:val="00D80AD4"/>
    <w:rsid w:val="00D80ADA"/>
    <w:rsid w:val="00D80CA6"/>
    <w:rsid w:val="00D8113B"/>
    <w:rsid w:val="00D815F5"/>
    <w:rsid w:val="00D816B2"/>
    <w:rsid w:val="00D816F0"/>
    <w:rsid w:val="00D81915"/>
    <w:rsid w:val="00D81AB2"/>
    <w:rsid w:val="00D8296C"/>
    <w:rsid w:val="00D82E70"/>
    <w:rsid w:val="00D83257"/>
    <w:rsid w:val="00D840F0"/>
    <w:rsid w:val="00D841C5"/>
    <w:rsid w:val="00D842B6"/>
    <w:rsid w:val="00D84BA9"/>
    <w:rsid w:val="00D84FD0"/>
    <w:rsid w:val="00D85051"/>
    <w:rsid w:val="00D863D8"/>
    <w:rsid w:val="00D86779"/>
    <w:rsid w:val="00D87108"/>
    <w:rsid w:val="00D87123"/>
    <w:rsid w:val="00D87446"/>
    <w:rsid w:val="00D8762B"/>
    <w:rsid w:val="00D8795A"/>
    <w:rsid w:val="00D87AA0"/>
    <w:rsid w:val="00D87D73"/>
    <w:rsid w:val="00D9068F"/>
    <w:rsid w:val="00D90F21"/>
    <w:rsid w:val="00D91179"/>
    <w:rsid w:val="00D9142D"/>
    <w:rsid w:val="00D925FE"/>
    <w:rsid w:val="00D926E2"/>
    <w:rsid w:val="00D9271D"/>
    <w:rsid w:val="00D92A04"/>
    <w:rsid w:val="00D92F2D"/>
    <w:rsid w:val="00D93088"/>
    <w:rsid w:val="00D93115"/>
    <w:rsid w:val="00D93338"/>
    <w:rsid w:val="00D93626"/>
    <w:rsid w:val="00D939AD"/>
    <w:rsid w:val="00D941DB"/>
    <w:rsid w:val="00D9437E"/>
    <w:rsid w:val="00D94924"/>
    <w:rsid w:val="00D9506F"/>
    <w:rsid w:val="00D95270"/>
    <w:rsid w:val="00D95458"/>
    <w:rsid w:val="00D955D4"/>
    <w:rsid w:val="00D959B1"/>
    <w:rsid w:val="00D95B3E"/>
    <w:rsid w:val="00D9607F"/>
    <w:rsid w:val="00D968D0"/>
    <w:rsid w:val="00D970F2"/>
    <w:rsid w:val="00D9727F"/>
    <w:rsid w:val="00D97AE9"/>
    <w:rsid w:val="00DA03D8"/>
    <w:rsid w:val="00DA048E"/>
    <w:rsid w:val="00DA0C09"/>
    <w:rsid w:val="00DA0C98"/>
    <w:rsid w:val="00DA1012"/>
    <w:rsid w:val="00DA11C7"/>
    <w:rsid w:val="00DA14A4"/>
    <w:rsid w:val="00DA1FD0"/>
    <w:rsid w:val="00DA2009"/>
    <w:rsid w:val="00DA243A"/>
    <w:rsid w:val="00DA2528"/>
    <w:rsid w:val="00DA26CB"/>
    <w:rsid w:val="00DA2937"/>
    <w:rsid w:val="00DA297D"/>
    <w:rsid w:val="00DA2A89"/>
    <w:rsid w:val="00DA2C72"/>
    <w:rsid w:val="00DA2E72"/>
    <w:rsid w:val="00DA306E"/>
    <w:rsid w:val="00DA31E9"/>
    <w:rsid w:val="00DA34E4"/>
    <w:rsid w:val="00DA3E14"/>
    <w:rsid w:val="00DA4CDB"/>
    <w:rsid w:val="00DA51C0"/>
    <w:rsid w:val="00DA546D"/>
    <w:rsid w:val="00DA5E6D"/>
    <w:rsid w:val="00DA65FF"/>
    <w:rsid w:val="00DA6B1C"/>
    <w:rsid w:val="00DA70A3"/>
    <w:rsid w:val="00DA7653"/>
    <w:rsid w:val="00DB01F3"/>
    <w:rsid w:val="00DB05D7"/>
    <w:rsid w:val="00DB0ABE"/>
    <w:rsid w:val="00DB0E71"/>
    <w:rsid w:val="00DB0F08"/>
    <w:rsid w:val="00DB0FEF"/>
    <w:rsid w:val="00DB10F1"/>
    <w:rsid w:val="00DB11BF"/>
    <w:rsid w:val="00DB1924"/>
    <w:rsid w:val="00DB1A42"/>
    <w:rsid w:val="00DB2703"/>
    <w:rsid w:val="00DB2848"/>
    <w:rsid w:val="00DB2863"/>
    <w:rsid w:val="00DB29B4"/>
    <w:rsid w:val="00DB2AA4"/>
    <w:rsid w:val="00DB2D2C"/>
    <w:rsid w:val="00DB2DA4"/>
    <w:rsid w:val="00DB32B0"/>
    <w:rsid w:val="00DB33E0"/>
    <w:rsid w:val="00DB4090"/>
    <w:rsid w:val="00DB413F"/>
    <w:rsid w:val="00DB45E0"/>
    <w:rsid w:val="00DB4DAF"/>
    <w:rsid w:val="00DB4E9C"/>
    <w:rsid w:val="00DB5522"/>
    <w:rsid w:val="00DB5838"/>
    <w:rsid w:val="00DB5F82"/>
    <w:rsid w:val="00DB651D"/>
    <w:rsid w:val="00DB68FE"/>
    <w:rsid w:val="00DB6A41"/>
    <w:rsid w:val="00DB6CC7"/>
    <w:rsid w:val="00DB6D32"/>
    <w:rsid w:val="00DB7BAC"/>
    <w:rsid w:val="00DB7F3E"/>
    <w:rsid w:val="00DC0148"/>
    <w:rsid w:val="00DC0475"/>
    <w:rsid w:val="00DC049B"/>
    <w:rsid w:val="00DC0838"/>
    <w:rsid w:val="00DC144C"/>
    <w:rsid w:val="00DC199F"/>
    <w:rsid w:val="00DC1E29"/>
    <w:rsid w:val="00DC23CB"/>
    <w:rsid w:val="00DC25BF"/>
    <w:rsid w:val="00DC272C"/>
    <w:rsid w:val="00DC273A"/>
    <w:rsid w:val="00DC2839"/>
    <w:rsid w:val="00DC2A17"/>
    <w:rsid w:val="00DC2B5A"/>
    <w:rsid w:val="00DC2F98"/>
    <w:rsid w:val="00DC38AA"/>
    <w:rsid w:val="00DC43FA"/>
    <w:rsid w:val="00DC4718"/>
    <w:rsid w:val="00DC481B"/>
    <w:rsid w:val="00DC485F"/>
    <w:rsid w:val="00DC4A7B"/>
    <w:rsid w:val="00DC5555"/>
    <w:rsid w:val="00DC5BDD"/>
    <w:rsid w:val="00DC643D"/>
    <w:rsid w:val="00DC6AE2"/>
    <w:rsid w:val="00DC6BE8"/>
    <w:rsid w:val="00DC6CCF"/>
    <w:rsid w:val="00DC7AF0"/>
    <w:rsid w:val="00DD012C"/>
    <w:rsid w:val="00DD020C"/>
    <w:rsid w:val="00DD0406"/>
    <w:rsid w:val="00DD0490"/>
    <w:rsid w:val="00DD051B"/>
    <w:rsid w:val="00DD088B"/>
    <w:rsid w:val="00DD0D36"/>
    <w:rsid w:val="00DD0EAA"/>
    <w:rsid w:val="00DD0FEA"/>
    <w:rsid w:val="00DD11DD"/>
    <w:rsid w:val="00DD12A9"/>
    <w:rsid w:val="00DD1495"/>
    <w:rsid w:val="00DD1C90"/>
    <w:rsid w:val="00DD1EB1"/>
    <w:rsid w:val="00DD25B1"/>
    <w:rsid w:val="00DD27F6"/>
    <w:rsid w:val="00DD2DA0"/>
    <w:rsid w:val="00DD2E30"/>
    <w:rsid w:val="00DD2FD7"/>
    <w:rsid w:val="00DD341B"/>
    <w:rsid w:val="00DD34BF"/>
    <w:rsid w:val="00DD37DD"/>
    <w:rsid w:val="00DD3C76"/>
    <w:rsid w:val="00DD3CD9"/>
    <w:rsid w:val="00DD3DD7"/>
    <w:rsid w:val="00DD4043"/>
    <w:rsid w:val="00DD4327"/>
    <w:rsid w:val="00DD4A79"/>
    <w:rsid w:val="00DD5197"/>
    <w:rsid w:val="00DD5254"/>
    <w:rsid w:val="00DD6540"/>
    <w:rsid w:val="00DD6944"/>
    <w:rsid w:val="00DD6FB6"/>
    <w:rsid w:val="00DD70B9"/>
    <w:rsid w:val="00DD786C"/>
    <w:rsid w:val="00DD79E4"/>
    <w:rsid w:val="00DD7B45"/>
    <w:rsid w:val="00DD7DBC"/>
    <w:rsid w:val="00DD7E80"/>
    <w:rsid w:val="00DE02F1"/>
    <w:rsid w:val="00DE0610"/>
    <w:rsid w:val="00DE074E"/>
    <w:rsid w:val="00DE0C61"/>
    <w:rsid w:val="00DE23CF"/>
    <w:rsid w:val="00DE344B"/>
    <w:rsid w:val="00DE35F8"/>
    <w:rsid w:val="00DE3619"/>
    <w:rsid w:val="00DE3954"/>
    <w:rsid w:val="00DE3B86"/>
    <w:rsid w:val="00DE3E0C"/>
    <w:rsid w:val="00DE46BC"/>
    <w:rsid w:val="00DE4E59"/>
    <w:rsid w:val="00DE5159"/>
    <w:rsid w:val="00DE5DC9"/>
    <w:rsid w:val="00DE5DE2"/>
    <w:rsid w:val="00DE625F"/>
    <w:rsid w:val="00DE6C71"/>
    <w:rsid w:val="00DE76AE"/>
    <w:rsid w:val="00DE7762"/>
    <w:rsid w:val="00DE7945"/>
    <w:rsid w:val="00DE7AA3"/>
    <w:rsid w:val="00DE7E6D"/>
    <w:rsid w:val="00DF0423"/>
    <w:rsid w:val="00DF089A"/>
    <w:rsid w:val="00DF0ACF"/>
    <w:rsid w:val="00DF1143"/>
    <w:rsid w:val="00DF1395"/>
    <w:rsid w:val="00DF1620"/>
    <w:rsid w:val="00DF19D2"/>
    <w:rsid w:val="00DF1D06"/>
    <w:rsid w:val="00DF1F02"/>
    <w:rsid w:val="00DF23EE"/>
    <w:rsid w:val="00DF2DD9"/>
    <w:rsid w:val="00DF3792"/>
    <w:rsid w:val="00DF3B66"/>
    <w:rsid w:val="00DF3BE1"/>
    <w:rsid w:val="00DF3C28"/>
    <w:rsid w:val="00DF3CF5"/>
    <w:rsid w:val="00DF4078"/>
    <w:rsid w:val="00DF4E3D"/>
    <w:rsid w:val="00DF5208"/>
    <w:rsid w:val="00DF5294"/>
    <w:rsid w:val="00DF5533"/>
    <w:rsid w:val="00DF55A1"/>
    <w:rsid w:val="00DF585C"/>
    <w:rsid w:val="00DF5A4F"/>
    <w:rsid w:val="00DF5EE6"/>
    <w:rsid w:val="00DF6486"/>
    <w:rsid w:val="00DF658C"/>
    <w:rsid w:val="00DF6743"/>
    <w:rsid w:val="00DF6749"/>
    <w:rsid w:val="00DF69C6"/>
    <w:rsid w:val="00DF69D3"/>
    <w:rsid w:val="00DF6E00"/>
    <w:rsid w:val="00DF765D"/>
    <w:rsid w:val="00DF79E2"/>
    <w:rsid w:val="00DF7A7A"/>
    <w:rsid w:val="00DF7B6F"/>
    <w:rsid w:val="00DF7BEE"/>
    <w:rsid w:val="00E001D1"/>
    <w:rsid w:val="00E00792"/>
    <w:rsid w:val="00E00DBF"/>
    <w:rsid w:val="00E00E04"/>
    <w:rsid w:val="00E012C1"/>
    <w:rsid w:val="00E0131F"/>
    <w:rsid w:val="00E01386"/>
    <w:rsid w:val="00E01960"/>
    <w:rsid w:val="00E020A1"/>
    <w:rsid w:val="00E023EE"/>
    <w:rsid w:val="00E02756"/>
    <w:rsid w:val="00E02DA8"/>
    <w:rsid w:val="00E02EDE"/>
    <w:rsid w:val="00E02FA3"/>
    <w:rsid w:val="00E03143"/>
    <w:rsid w:val="00E0392B"/>
    <w:rsid w:val="00E03AC5"/>
    <w:rsid w:val="00E03C0D"/>
    <w:rsid w:val="00E03FC1"/>
    <w:rsid w:val="00E04645"/>
    <w:rsid w:val="00E046F0"/>
    <w:rsid w:val="00E047FE"/>
    <w:rsid w:val="00E04DDE"/>
    <w:rsid w:val="00E04EC1"/>
    <w:rsid w:val="00E04FC4"/>
    <w:rsid w:val="00E04FC5"/>
    <w:rsid w:val="00E050EC"/>
    <w:rsid w:val="00E05259"/>
    <w:rsid w:val="00E05A1F"/>
    <w:rsid w:val="00E06494"/>
    <w:rsid w:val="00E064DE"/>
    <w:rsid w:val="00E06785"/>
    <w:rsid w:val="00E06C4D"/>
    <w:rsid w:val="00E06EFF"/>
    <w:rsid w:val="00E07234"/>
    <w:rsid w:val="00E079DD"/>
    <w:rsid w:val="00E07D3C"/>
    <w:rsid w:val="00E07FDC"/>
    <w:rsid w:val="00E10BC9"/>
    <w:rsid w:val="00E10CFE"/>
    <w:rsid w:val="00E10D69"/>
    <w:rsid w:val="00E11107"/>
    <w:rsid w:val="00E1145A"/>
    <w:rsid w:val="00E1199C"/>
    <w:rsid w:val="00E11EEA"/>
    <w:rsid w:val="00E120A2"/>
    <w:rsid w:val="00E12741"/>
    <w:rsid w:val="00E13093"/>
    <w:rsid w:val="00E13A1F"/>
    <w:rsid w:val="00E13BBC"/>
    <w:rsid w:val="00E13F18"/>
    <w:rsid w:val="00E1440A"/>
    <w:rsid w:val="00E1490F"/>
    <w:rsid w:val="00E1518E"/>
    <w:rsid w:val="00E15303"/>
    <w:rsid w:val="00E15D67"/>
    <w:rsid w:val="00E15DA1"/>
    <w:rsid w:val="00E15E8D"/>
    <w:rsid w:val="00E1604C"/>
    <w:rsid w:val="00E16242"/>
    <w:rsid w:val="00E164FC"/>
    <w:rsid w:val="00E16653"/>
    <w:rsid w:val="00E1691A"/>
    <w:rsid w:val="00E16DAA"/>
    <w:rsid w:val="00E16DC0"/>
    <w:rsid w:val="00E1728F"/>
    <w:rsid w:val="00E175DD"/>
    <w:rsid w:val="00E1785E"/>
    <w:rsid w:val="00E17D5A"/>
    <w:rsid w:val="00E20012"/>
    <w:rsid w:val="00E20334"/>
    <w:rsid w:val="00E20362"/>
    <w:rsid w:val="00E204B6"/>
    <w:rsid w:val="00E205DD"/>
    <w:rsid w:val="00E21323"/>
    <w:rsid w:val="00E21746"/>
    <w:rsid w:val="00E223CC"/>
    <w:rsid w:val="00E22A00"/>
    <w:rsid w:val="00E230BD"/>
    <w:rsid w:val="00E2372A"/>
    <w:rsid w:val="00E2395F"/>
    <w:rsid w:val="00E23A08"/>
    <w:rsid w:val="00E241FA"/>
    <w:rsid w:val="00E247E5"/>
    <w:rsid w:val="00E24E52"/>
    <w:rsid w:val="00E24FF6"/>
    <w:rsid w:val="00E25166"/>
    <w:rsid w:val="00E252BE"/>
    <w:rsid w:val="00E2549B"/>
    <w:rsid w:val="00E2582A"/>
    <w:rsid w:val="00E258AE"/>
    <w:rsid w:val="00E25BB6"/>
    <w:rsid w:val="00E25EBB"/>
    <w:rsid w:val="00E262F1"/>
    <w:rsid w:val="00E2634D"/>
    <w:rsid w:val="00E26538"/>
    <w:rsid w:val="00E2674E"/>
    <w:rsid w:val="00E268B7"/>
    <w:rsid w:val="00E27124"/>
    <w:rsid w:val="00E27241"/>
    <w:rsid w:val="00E273E4"/>
    <w:rsid w:val="00E2746F"/>
    <w:rsid w:val="00E274C5"/>
    <w:rsid w:val="00E2757B"/>
    <w:rsid w:val="00E27581"/>
    <w:rsid w:val="00E27E95"/>
    <w:rsid w:val="00E300E7"/>
    <w:rsid w:val="00E30913"/>
    <w:rsid w:val="00E3146A"/>
    <w:rsid w:val="00E31588"/>
    <w:rsid w:val="00E319EA"/>
    <w:rsid w:val="00E31B55"/>
    <w:rsid w:val="00E32571"/>
    <w:rsid w:val="00E327E5"/>
    <w:rsid w:val="00E328F7"/>
    <w:rsid w:val="00E32DC7"/>
    <w:rsid w:val="00E33174"/>
    <w:rsid w:val="00E336F4"/>
    <w:rsid w:val="00E337ED"/>
    <w:rsid w:val="00E34206"/>
    <w:rsid w:val="00E346AD"/>
    <w:rsid w:val="00E34930"/>
    <w:rsid w:val="00E34D02"/>
    <w:rsid w:val="00E34D32"/>
    <w:rsid w:val="00E353A7"/>
    <w:rsid w:val="00E353AD"/>
    <w:rsid w:val="00E35660"/>
    <w:rsid w:val="00E35AFD"/>
    <w:rsid w:val="00E35BB8"/>
    <w:rsid w:val="00E3677F"/>
    <w:rsid w:val="00E36CAC"/>
    <w:rsid w:val="00E36E1B"/>
    <w:rsid w:val="00E36F4A"/>
    <w:rsid w:val="00E36FE2"/>
    <w:rsid w:val="00E37F73"/>
    <w:rsid w:val="00E407DB"/>
    <w:rsid w:val="00E40916"/>
    <w:rsid w:val="00E40DB3"/>
    <w:rsid w:val="00E41634"/>
    <w:rsid w:val="00E41652"/>
    <w:rsid w:val="00E42099"/>
    <w:rsid w:val="00E4274D"/>
    <w:rsid w:val="00E42F0F"/>
    <w:rsid w:val="00E430A0"/>
    <w:rsid w:val="00E43339"/>
    <w:rsid w:val="00E4385C"/>
    <w:rsid w:val="00E43FB1"/>
    <w:rsid w:val="00E44097"/>
    <w:rsid w:val="00E44478"/>
    <w:rsid w:val="00E44D2A"/>
    <w:rsid w:val="00E4529F"/>
    <w:rsid w:val="00E4550A"/>
    <w:rsid w:val="00E45BD3"/>
    <w:rsid w:val="00E45F1B"/>
    <w:rsid w:val="00E46287"/>
    <w:rsid w:val="00E46C6A"/>
    <w:rsid w:val="00E46E51"/>
    <w:rsid w:val="00E47719"/>
    <w:rsid w:val="00E47D21"/>
    <w:rsid w:val="00E501F2"/>
    <w:rsid w:val="00E50619"/>
    <w:rsid w:val="00E5064A"/>
    <w:rsid w:val="00E507E6"/>
    <w:rsid w:val="00E51410"/>
    <w:rsid w:val="00E51545"/>
    <w:rsid w:val="00E51656"/>
    <w:rsid w:val="00E51880"/>
    <w:rsid w:val="00E5206F"/>
    <w:rsid w:val="00E52171"/>
    <w:rsid w:val="00E52533"/>
    <w:rsid w:val="00E52683"/>
    <w:rsid w:val="00E528B8"/>
    <w:rsid w:val="00E529C4"/>
    <w:rsid w:val="00E52CC4"/>
    <w:rsid w:val="00E52F98"/>
    <w:rsid w:val="00E530D4"/>
    <w:rsid w:val="00E53731"/>
    <w:rsid w:val="00E5377C"/>
    <w:rsid w:val="00E538F8"/>
    <w:rsid w:val="00E539CF"/>
    <w:rsid w:val="00E53AD2"/>
    <w:rsid w:val="00E53E4E"/>
    <w:rsid w:val="00E543EA"/>
    <w:rsid w:val="00E543EB"/>
    <w:rsid w:val="00E548DE"/>
    <w:rsid w:val="00E54BF6"/>
    <w:rsid w:val="00E550AC"/>
    <w:rsid w:val="00E55271"/>
    <w:rsid w:val="00E55650"/>
    <w:rsid w:val="00E55710"/>
    <w:rsid w:val="00E5585A"/>
    <w:rsid w:val="00E56160"/>
    <w:rsid w:val="00E56298"/>
    <w:rsid w:val="00E5644C"/>
    <w:rsid w:val="00E5667E"/>
    <w:rsid w:val="00E5685E"/>
    <w:rsid w:val="00E56BC7"/>
    <w:rsid w:val="00E56BDD"/>
    <w:rsid w:val="00E56CFF"/>
    <w:rsid w:val="00E5708A"/>
    <w:rsid w:val="00E573A5"/>
    <w:rsid w:val="00E576B1"/>
    <w:rsid w:val="00E578A2"/>
    <w:rsid w:val="00E57BC5"/>
    <w:rsid w:val="00E600F6"/>
    <w:rsid w:val="00E603D1"/>
    <w:rsid w:val="00E6045A"/>
    <w:rsid w:val="00E607E3"/>
    <w:rsid w:val="00E60D99"/>
    <w:rsid w:val="00E61897"/>
    <w:rsid w:val="00E6209E"/>
    <w:rsid w:val="00E6273F"/>
    <w:rsid w:val="00E62B93"/>
    <w:rsid w:val="00E633ED"/>
    <w:rsid w:val="00E635AE"/>
    <w:rsid w:val="00E63D40"/>
    <w:rsid w:val="00E63E2D"/>
    <w:rsid w:val="00E640F2"/>
    <w:rsid w:val="00E64121"/>
    <w:rsid w:val="00E64DC1"/>
    <w:rsid w:val="00E65205"/>
    <w:rsid w:val="00E6543F"/>
    <w:rsid w:val="00E656BC"/>
    <w:rsid w:val="00E65A27"/>
    <w:rsid w:val="00E65BDA"/>
    <w:rsid w:val="00E65CE9"/>
    <w:rsid w:val="00E65DAD"/>
    <w:rsid w:val="00E6605B"/>
    <w:rsid w:val="00E66625"/>
    <w:rsid w:val="00E667A0"/>
    <w:rsid w:val="00E671A2"/>
    <w:rsid w:val="00E67311"/>
    <w:rsid w:val="00E674AF"/>
    <w:rsid w:val="00E67856"/>
    <w:rsid w:val="00E67A90"/>
    <w:rsid w:val="00E67C3B"/>
    <w:rsid w:val="00E67CB5"/>
    <w:rsid w:val="00E67D3F"/>
    <w:rsid w:val="00E67FEE"/>
    <w:rsid w:val="00E70068"/>
    <w:rsid w:val="00E70464"/>
    <w:rsid w:val="00E70B5B"/>
    <w:rsid w:val="00E70CED"/>
    <w:rsid w:val="00E70E80"/>
    <w:rsid w:val="00E70FB9"/>
    <w:rsid w:val="00E7172A"/>
    <w:rsid w:val="00E723A2"/>
    <w:rsid w:val="00E7271B"/>
    <w:rsid w:val="00E72A55"/>
    <w:rsid w:val="00E73522"/>
    <w:rsid w:val="00E735D5"/>
    <w:rsid w:val="00E736E0"/>
    <w:rsid w:val="00E73D8A"/>
    <w:rsid w:val="00E73EBE"/>
    <w:rsid w:val="00E73F38"/>
    <w:rsid w:val="00E74254"/>
    <w:rsid w:val="00E746B6"/>
    <w:rsid w:val="00E74D03"/>
    <w:rsid w:val="00E74E06"/>
    <w:rsid w:val="00E751DD"/>
    <w:rsid w:val="00E755B2"/>
    <w:rsid w:val="00E7573B"/>
    <w:rsid w:val="00E75897"/>
    <w:rsid w:val="00E75D20"/>
    <w:rsid w:val="00E75F2D"/>
    <w:rsid w:val="00E76064"/>
    <w:rsid w:val="00E76243"/>
    <w:rsid w:val="00E763F7"/>
    <w:rsid w:val="00E76716"/>
    <w:rsid w:val="00E767FD"/>
    <w:rsid w:val="00E76CCA"/>
    <w:rsid w:val="00E76CDE"/>
    <w:rsid w:val="00E76EDD"/>
    <w:rsid w:val="00E771B1"/>
    <w:rsid w:val="00E77288"/>
    <w:rsid w:val="00E77366"/>
    <w:rsid w:val="00E77727"/>
    <w:rsid w:val="00E8090B"/>
    <w:rsid w:val="00E80B5B"/>
    <w:rsid w:val="00E80BFF"/>
    <w:rsid w:val="00E80CD5"/>
    <w:rsid w:val="00E80D77"/>
    <w:rsid w:val="00E8121F"/>
    <w:rsid w:val="00E81464"/>
    <w:rsid w:val="00E81696"/>
    <w:rsid w:val="00E81F49"/>
    <w:rsid w:val="00E8230C"/>
    <w:rsid w:val="00E8293E"/>
    <w:rsid w:val="00E82E63"/>
    <w:rsid w:val="00E82EBE"/>
    <w:rsid w:val="00E83334"/>
    <w:rsid w:val="00E835B2"/>
    <w:rsid w:val="00E835D7"/>
    <w:rsid w:val="00E83969"/>
    <w:rsid w:val="00E8409C"/>
    <w:rsid w:val="00E84200"/>
    <w:rsid w:val="00E8448F"/>
    <w:rsid w:val="00E848EC"/>
    <w:rsid w:val="00E84C5D"/>
    <w:rsid w:val="00E84FAB"/>
    <w:rsid w:val="00E853EE"/>
    <w:rsid w:val="00E858A4"/>
    <w:rsid w:val="00E85BEC"/>
    <w:rsid w:val="00E85D7F"/>
    <w:rsid w:val="00E86035"/>
    <w:rsid w:val="00E8611F"/>
    <w:rsid w:val="00E8630E"/>
    <w:rsid w:val="00E86730"/>
    <w:rsid w:val="00E86861"/>
    <w:rsid w:val="00E86F6D"/>
    <w:rsid w:val="00E872AB"/>
    <w:rsid w:val="00E8750E"/>
    <w:rsid w:val="00E87696"/>
    <w:rsid w:val="00E876B9"/>
    <w:rsid w:val="00E87FD8"/>
    <w:rsid w:val="00E90443"/>
    <w:rsid w:val="00E90A1D"/>
    <w:rsid w:val="00E90B6B"/>
    <w:rsid w:val="00E90DE8"/>
    <w:rsid w:val="00E90F0E"/>
    <w:rsid w:val="00E9101B"/>
    <w:rsid w:val="00E91297"/>
    <w:rsid w:val="00E917E8"/>
    <w:rsid w:val="00E91956"/>
    <w:rsid w:val="00E925C5"/>
    <w:rsid w:val="00E92F1C"/>
    <w:rsid w:val="00E92F72"/>
    <w:rsid w:val="00E93881"/>
    <w:rsid w:val="00E93C9D"/>
    <w:rsid w:val="00E93DCE"/>
    <w:rsid w:val="00E93DFE"/>
    <w:rsid w:val="00E94093"/>
    <w:rsid w:val="00E9475C"/>
    <w:rsid w:val="00E9493E"/>
    <w:rsid w:val="00E94EFD"/>
    <w:rsid w:val="00E9510D"/>
    <w:rsid w:val="00E95497"/>
    <w:rsid w:val="00E95753"/>
    <w:rsid w:val="00E957D5"/>
    <w:rsid w:val="00E96367"/>
    <w:rsid w:val="00E9649A"/>
    <w:rsid w:val="00E9652B"/>
    <w:rsid w:val="00E9656D"/>
    <w:rsid w:val="00E9663B"/>
    <w:rsid w:val="00E96820"/>
    <w:rsid w:val="00E96F13"/>
    <w:rsid w:val="00E97190"/>
    <w:rsid w:val="00E979D1"/>
    <w:rsid w:val="00E979F6"/>
    <w:rsid w:val="00E97A48"/>
    <w:rsid w:val="00E97B07"/>
    <w:rsid w:val="00E97E11"/>
    <w:rsid w:val="00E97F41"/>
    <w:rsid w:val="00EA0378"/>
    <w:rsid w:val="00EA0589"/>
    <w:rsid w:val="00EA07AF"/>
    <w:rsid w:val="00EA09DA"/>
    <w:rsid w:val="00EA0AA6"/>
    <w:rsid w:val="00EA0F93"/>
    <w:rsid w:val="00EA14C6"/>
    <w:rsid w:val="00EA14F0"/>
    <w:rsid w:val="00EA161C"/>
    <w:rsid w:val="00EA1716"/>
    <w:rsid w:val="00EA1732"/>
    <w:rsid w:val="00EA21E7"/>
    <w:rsid w:val="00EA2A4D"/>
    <w:rsid w:val="00EA2BDC"/>
    <w:rsid w:val="00EA2D4F"/>
    <w:rsid w:val="00EA32D6"/>
    <w:rsid w:val="00EA3340"/>
    <w:rsid w:val="00EA345E"/>
    <w:rsid w:val="00EA39E9"/>
    <w:rsid w:val="00EA40D2"/>
    <w:rsid w:val="00EA4128"/>
    <w:rsid w:val="00EA495C"/>
    <w:rsid w:val="00EA4C5A"/>
    <w:rsid w:val="00EA4D98"/>
    <w:rsid w:val="00EA4DA6"/>
    <w:rsid w:val="00EA599E"/>
    <w:rsid w:val="00EA5ADA"/>
    <w:rsid w:val="00EA5C8C"/>
    <w:rsid w:val="00EA5F6C"/>
    <w:rsid w:val="00EA5F8B"/>
    <w:rsid w:val="00EA6087"/>
    <w:rsid w:val="00EA6858"/>
    <w:rsid w:val="00EA6F7C"/>
    <w:rsid w:val="00EA70DE"/>
    <w:rsid w:val="00EA70F0"/>
    <w:rsid w:val="00EA7164"/>
    <w:rsid w:val="00EA7212"/>
    <w:rsid w:val="00EA760B"/>
    <w:rsid w:val="00EA7A3A"/>
    <w:rsid w:val="00EA7C65"/>
    <w:rsid w:val="00EB0184"/>
    <w:rsid w:val="00EB031D"/>
    <w:rsid w:val="00EB0901"/>
    <w:rsid w:val="00EB10A7"/>
    <w:rsid w:val="00EB1486"/>
    <w:rsid w:val="00EB1641"/>
    <w:rsid w:val="00EB1737"/>
    <w:rsid w:val="00EB17A7"/>
    <w:rsid w:val="00EB1914"/>
    <w:rsid w:val="00EB1CB1"/>
    <w:rsid w:val="00EB27B6"/>
    <w:rsid w:val="00EB28CD"/>
    <w:rsid w:val="00EB2956"/>
    <w:rsid w:val="00EB2AED"/>
    <w:rsid w:val="00EB328E"/>
    <w:rsid w:val="00EB33B1"/>
    <w:rsid w:val="00EB3814"/>
    <w:rsid w:val="00EB39CE"/>
    <w:rsid w:val="00EB3AAB"/>
    <w:rsid w:val="00EB3B95"/>
    <w:rsid w:val="00EB3BC7"/>
    <w:rsid w:val="00EB3BD3"/>
    <w:rsid w:val="00EB3F0D"/>
    <w:rsid w:val="00EB40BE"/>
    <w:rsid w:val="00EB45C6"/>
    <w:rsid w:val="00EB46B2"/>
    <w:rsid w:val="00EB4F51"/>
    <w:rsid w:val="00EB4FEF"/>
    <w:rsid w:val="00EB5061"/>
    <w:rsid w:val="00EB548F"/>
    <w:rsid w:val="00EB5B60"/>
    <w:rsid w:val="00EB647D"/>
    <w:rsid w:val="00EB6AD6"/>
    <w:rsid w:val="00EB7085"/>
    <w:rsid w:val="00EB7552"/>
    <w:rsid w:val="00EB755C"/>
    <w:rsid w:val="00EB780A"/>
    <w:rsid w:val="00EB7A88"/>
    <w:rsid w:val="00EC0236"/>
    <w:rsid w:val="00EC0564"/>
    <w:rsid w:val="00EC0789"/>
    <w:rsid w:val="00EC089F"/>
    <w:rsid w:val="00EC13D3"/>
    <w:rsid w:val="00EC1430"/>
    <w:rsid w:val="00EC1D41"/>
    <w:rsid w:val="00EC2118"/>
    <w:rsid w:val="00EC2191"/>
    <w:rsid w:val="00EC2639"/>
    <w:rsid w:val="00EC27AC"/>
    <w:rsid w:val="00EC2CA1"/>
    <w:rsid w:val="00EC2D3D"/>
    <w:rsid w:val="00EC2DD7"/>
    <w:rsid w:val="00EC2EBA"/>
    <w:rsid w:val="00EC2EEF"/>
    <w:rsid w:val="00EC358A"/>
    <w:rsid w:val="00EC364B"/>
    <w:rsid w:val="00EC3B01"/>
    <w:rsid w:val="00EC407D"/>
    <w:rsid w:val="00EC4860"/>
    <w:rsid w:val="00EC49F4"/>
    <w:rsid w:val="00EC4FC8"/>
    <w:rsid w:val="00EC51F0"/>
    <w:rsid w:val="00EC53C5"/>
    <w:rsid w:val="00EC54BD"/>
    <w:rsid w:val="00EC5D61"/>
    <w:rsid w:val="00EC5F3C"/>
    <w:rsid w:val="00EC6110"/>
    <w:rsid w:val="00EC6578"/>
    <w:rsid w:val="00EC6596"/>
    <w:rsid w:val="00EC6656"/>
    <w:rsid w:val="00EC6960"/>
    <w:rsid w:val="00EC70FC"/>
    <w:rsid w:val="00EC739C"/>
    <w:rsid w:val="00EC7857"/>
    <w:rsid w:val="00EC797D"/>
    <w:rsid w:val="00EC7A34"/>
    <w:rsid w:val="00ED000E"/>
    <w:rsid w:val="00ED02E1"/>
    <w:rsid w:val="00ED0390"/>
    <w:rsid w:val="00ED06E6"/>
    <w:rsid w:val="00ED072B"/>
    <w:rsid w:val="00ED0BCE"/>
    <w:rsid w:val="00ED0C30"/>
    <w:rsid w:val="00ED1051"/>
    <w:rsid w:val="00ED113F"/>
    <w:rsid w:val="00ED1367"/>
    <w:rsid w:val="00ED1C19"/>
    <w:rsid w:val="00ED2166"/>
    <w:rsid w:val="00ED2469"/>
    <w:rsid w:val="00ED2BC6"/>
    <w:rsid w:val="00ED2DBB"/>
    <w:rsid w:val="00ED31F4"/>
    <w:rsid w:val="00ED349D"/>
    <w:rsid w:val="00ED3F21"/>
    <w:rsid w:val="00ED43AF"/>
    <w:rsid w:val="00ED44FA"/>
    <w:rsid w:val="00ED463A"/>
    <w:rsid w:val="00ED4692"/>
    <w:rsid w:val="00ED4786"/>
    <w:rsid w:val="00ED47E5"/>
    <w:rsid w:val="00ED48BD"/>
    <w:rsid w:val="00ED4940"/>
    <w:rsid w:val="00ED4E53"/>
    <w:rsid w:val="00ED5112"/>
    <w:rsid w:val="00ED55A0"/>
    <w:rsid w:val="00ED587F"/>
    <w:rsid w:val="00ED5C9C"/>
    <w:rsid w:val="00ED5EEE"/>
    <w:rsid w:val="00ED642A"/>
    <w:rsid w:val="00ED682F"/>
    <w:rsid w:val="00ED6BBD"/>
    <w:rsid w:val="00ED6E51"/>
    <w:rsid w:val="00ED6E69"/>
    <w:rsid w:val="00ED702A"/>
    <w:rsid w:val="00ED70F7"/>
    <w:rsid w:val="00ED74EC"/>
    <w:rsid w:val="00ED76A4"/>
    <w:rsid w:val="00ED7DE2"/>
    <w:rsid w:val="00ED7E93"/>
    <w:rsid w:val="00EE00BC"/>
    <w:rsid w:val="00EE058B"/>
    <w:rsid w:val="00EE0BC4"/>
    <w:rsid w:val="00EE0C43"/>
    <w:rsid w:val="00EE112D"/>
    <w:rsid w:val="00EE1A4E"/>
    <w:rsid w:val="00EE224A"/>
    <w:rsid w:val="00EE2904"/>
    <w:rsid w:val="00EE29D9"/>
    <w:rsid w:val="00EE3293"/>
    <w:rsid w:val="00EE37CB"/>
    <w:rsid w:val="00EE3991"/>
    <w:rsid w:val="00EE3B5E"/>
    <w:rsid w:val="00EE3D26"/>
    <w:rsid w:val="00EE3D33"/>
    <w:rsid w:val="00EE3F34"/>
    <w:rsid w:val="00EE4126"/>
    <w:rsid w:val="00EE41D0"/>
    <w:rsid w:val="00EE4333"/>
    <w:rsid w:val="00EE443D"/>
    <w:rsid w:val="00EE4761"/>
    <w:rsid w:val="00EE4ABD"/>
    <w:rsid w:val="00EE4BFF"/>
    <w:rsid w:val="00EE4E90"/>
    <w:rsid w:val="00EE55BA"/>
    <w:rsid w:val="00EE59C6"/>
    <w:rsid w:val="00EE632E"/>
    <w:rsid w:val="00EE6698"/>
    <w:rsid w:val="00EE6862"/>
    <w:rsid w:val="00EE6E4B"/>
    <w:rsid w:val="00EE6F22"/>
    <w:rsid w:val="00EE6FF9"/>
    <w:rsid w:val="00EE7B27"/>
    <w:rsid w:val="00EF0393"/>
    <w:rsid w:val="00EF049B"/>
    <w:rsid w:val="00EF0795"/>
    <w:rsid w:val="00EF07AB"/>
    <w:rsid w:val="00EF0A94"/>
    <w:rsid w:val="00EF0E2C"/>
    <w:rsid w:val="00EF0EE7"/>
    <w:rsid w:val="00EF1A61"/>
    <w:rsid w:val="00EF212C"/>
    <w:rsid w:val="00EF244E"/>
    <w:rsid w:val="00EF2577"/>
    <w:rsid w:val="00EF2684"/>
    <w:rsid w:val="00EF2DA9"/>
    <w:rsid w:val="00EF3421"/>
    <w:rsid w:val="00EF35E2"/>
    <w:rsid w:val="00EF3832"/>
    <w:rsid w:val="00EF38DA"/>
    <w:rsid w:val="00EF3C91"/>
    <w:rsid w:val="00EF3DF8"/>
    <w:rsid w:val="00EF4C9E"/>
    <w:rsid w:val="00EF4D90"/>
    <w:rsid w:val="00EF4E21"/>
    <w:rsid w:val="00EF5046"/>
    <w:rsid w:val="00EF5256"/>
    <w:rsid w:val="00EF5752"/>
    <w:rsid w:val="00EF5AC4"/>
    <w:rsid w:val="00EF5B7F"/>
    <w:rsid w:val="00EF5B98"/>
    <w:rsid w:val="00EF5CFC"/>
    <w:rsid w:val="00EF64BB"/>
    <w:rsid w:val="00EF6AB1"/>
    <w:rsid w:val="00EF6FD3"/>
    <w:rsid w:val="00EF72B8"/>
    <w:rsid w:val="00EF7589"/>
    <w:rsid w:val="00EF773C"/>
    <w:rsid w:val="00EF79A1"/>
    <w:rsid w:val="00F003C2"/>
    <w:rsid w:val="00F003E2"/>
    <w:rsid w:val="00F006D7"/>
    <w:rsid w:val="00F00A03"/>
    <w:rsid w:val="00F00B72"/>
    <w:rsid w:val="00F01861"/>
    <w:rsid w:val="00F01A25"/>
    <w:rsid w:val="00F01D20"/>
    <w:rsid w:val="00F020CE"/>
    <w:rsid w:val="00F02167"/>
    <w:rsid w:val="00F022E9"/>
    <w:rsid w:val="00F02731"/>
    <w:rsid w:val="00F0325E"/>
    <w:rsid w:val="00F0333A"/>
    <w:rsid w:val="00F0354D"/>
    <w:rsid w:val="00F039B3"/>
    <w:rsid w:val="00F04591"/>
    <w:rsid w:val="00F04932"/>
    <w:rsid w:val="00F04A8E"/>
    <w:rsid w:val="00F04D75"/>
    <w:rsid w:val="00F05060"/>
    <w:rsid w:val="00F0539E"/>
    <w:rsid w:val="00F0577E"/>
    <w:rsid w:val="00F059A2"/>
    <w:rsid w:val="00F05D8F"/>
    <w:rsid w:val="00F0670F"/>
    <w:rsid w:val="00F06A04"/>
    <w:rsid w:val="00F06B3F"/>
    <w:rsid w:val="00F06B7C"/>
    <w:rsid w:val="00F06B93"/>
    <w:rsid w:val="00F06E74"/>
    <w:rsid w:val="00F06F94"/>
    <w:rsid w:val="00F070A8"/>
    <w:rsid w:val="00F070E9"/>
    <w:rsid w:val="00F07761"/>
    <w:rsid w:val="00F077AA"/>
    <w:rsid w:val="00F07C76"/>
    <w:rsid w:val="00F07D0A"/>
    <w:rsid w:val="00F07FC9"/>
    <w:rsid w:val="00F10546"/>
    <w:rsid w:val="00F1057F"/>
    <w:rsid w:val="00F10A9D"/>
    <w:rsid w:val="00F10C48"/>
    <w:rsid w:val="00F10E0D"/>
    <w:rsid w:val="00F11BBB"/>
    <w:rsid w:val="00F11D92"/>
    <w:rsid w:val="00F122CF"/>
    <w:rsid w:val="00F12F82"/>
    <w:rsid w:val="00F13105"/>
    <w:rsid w:val="00F132FC"/>
    <w:rsid w:val="00F13637"/>
    <w:rsid w:val="00F1365C"/>
    <w:rsid w:val="00F13700"/>
    <w:rsid w:val="00F13E9F"/>
    <w:rsid w:val="00F141C1"/>
    <w:rsid w:val="00F14739"/>
    <w:rsid w:val="00F14992"/>
    <w:rsid w:val="00F14B75"/>
    <w:rsid w:val="00F14C2C"/>
    <w:rsid w:val="00F14EF7"/>
    <w:rsid w:val="00F15490"/>
    <w:rsid w:val="00F1574F"/>
    <w:rsid w:val="00F16648"/>
    <w:rsid w:val="00F16738"/>
    <w:rsid w:val="00F16F05"/>
    <w:rsid w:val="00F17678"/>
    <w:rsid w:val="00F17A3E"/>
    <w:rsid w:val="00F17BC0"/>
    <w:rsid w:val="00F17E4D"/>
    <w:rsid w:val="00F20186"/>
    <w:rsid w:val="00F206C4"/>
    <w:rsid w:val="00F2093F"/>
    <w:rsid w:val="00F21501"/>
    <w:rsid w:val="00F2161B"/>
    <w:rsid w:val="00F2179A"/>
    <w:rsid w:val="00F219EE"/>
    <w:rsid w:val="00F21B47"/>
    <w:rsid w:val="00F222ED"/>
    <w:rsid w:val="00F228B1"/>
    <w:rsid w:val="00F22A82"/>
    <w:rsid w:val="00F22C01"/>
    <w:rsid w:val="00F22C2D"/>
    <w:rsid w:val="00F22CD2"/>
    <w:rsid w:val="00F22F11"/>
    <w:rsid w:val="00F23332"/>
    <w:rsid w:val="00F23449"/>
    <w:rsid w:val="00F23548"/>
    <w:rsid w:val="00F236AB"/>
    <w:rsid w:val="00F24998"/>
    <w:rsid w:val="00F24A6F"/>
    <w:rsid w:val="00F24E98"/>
    <w:rsid w:val="00F24F45"/>
    <w:rsid w:val="00F250CB"/>
    <w:rsid w:val="00F25698"/>
    <w:rsid w:val="00F25805"/>
    <w:rsid w:val="00F2600B"/>
    <w:rsid w:val="00F260C2"/>
    <w:rsid w:val="00F2622F"/>
    <w:rsid w:val="00F2650F"/>
    <w:rsid w:val="00F2654A"/>
    <w:rsid w:val="00F266AE"/>
    <w:rsid w:val="00F2671B"/>
    <w:rsid w:val="00F2688B"/>
    <w:rsid w:val="00F2740B"/>
    <w:rsid w:val="00F276C3"/>
    <w:rsid w:val="00F27845"/>
    <w:rsid w:val="00F3004D"/>
    <w:rsid w:val="00F30266"/>
    <w:rsid w:val="00F302A6"/>
    <w:rsid w:val="00F305C7"/>
    <w:rsid w:val="00F308B0"/>
    <w:rsid w:val="00F30B97"/>
    <w:rsid w:val="00F3103F"/>
    <w:rsid w:val="00F317FA"/>
    <w:rsid w:val="00F31FAA"/>
    <w:rsid w:val="00F3207F"/>
    <w:rsid w:val="00F322B6"/>
    <w:rsid w:val="00F3258D"/>
    <w:rsid w:val="00F326F8"/>
    <w:rsid w:val="00F32B57"/>
    <w:rsid w:val="00F333A4"/>
    <w:rsid w:val="00F3364B"/>
    <w:rsid w:val="00F33D35"/>
    <w:rsid w:val="00F33E13"/>
    <w:rsid w:val="00F340C9"/>
    <w:rsid w:val="00F34168"/>
    <w:rsid w:val="00F3440F"/>
    <w:rsid w:val="00F3485C"/>
    <w:rsid w:val="00F34C8C"/>
    <w:rsid w:val="00F34E70"/>
    <w:rsid w:val="00F34EF2"/>
    <w:rsid w:val="00F352E3"/>
    <w:rsid w:val="00F3541E"/>
    <w:rsid w:val="00F3568C"/>
    <w:rsid w:val="00F356BB"/>
    <w:rsid w:val="00F3591B"/>
    <w:rsid w:val="00F35CDB"/>
    <w:rsid w:val="00F36365"/>
    <w:rsid w:val="00F36590"/>
    <w:rsid w:val="00F367CE"/>
    <w:rsid w:val="00F36E24"/>
    <w:rsid w:val="00F370D4"/>
    <w:rsid w:val="00F373F2"/>
    <w:rsid w:val="00F374B7"/>
    <w:rsid w:val="00F3750E"/>
    <w:rsid w:val="00F40387"/>
    <w:rsid w:val="00F40B42"/>
    <w:rsid w:val="00F411DF"/>
    <w:rsid w:val="00F41BF6"/>
    <w:rsid w:val="00F4252B"/>
    <w:rsid w:val="00F42ABA"/>
    <w:rsid w:val="00F43089"/>
    <w:rsid w:val="00F43632"/>
    <w:rsid w:val="00F436BE"/>
    <w:rsid w:val="00F4387F"/>
    <w:rsid w:val="00F438ED"/>
    <w:rsid w:val="00F43A3B"/>
    <w:rsid w:val="00F43DDF"/>
    <w:rsid w:val="00F4441C"/>
    <w:rsid w:val="00F445FC"/>
    <w:rsid w:val="00F44AFB"/>
    <w:rsid w:val="00F4556F"/>
    <w:rsid w:val="00F455EF"/>
    <w:rsid w:val="00F45A31"/>
    <w:rsid w:val="00F45A32"/>
    <w:rsid w:val="00F46632"/>
    <w:rsid w:val="00F46678"/>
    <w:rsid w:val="00F4677F"/>
    <w:rsid w:val="00F46927"/>
    <w:rsid w:val="00F46C70"/>
    <w:rsid w:val="00F46D12"/>
    <w:rsid w:val="00F4793B"/>
    <w:rsid w:val="00F47ABA"/>
    <w:rsid w:val="00F50128"/>
    <w:rsid w:val="00F504EF"/>
    <w:rsid w:val="00F5078F"/>
    <w:rsid w:val="00F50E72"/>
    <w:rsid w:val="00F50EE0"/>
    <w:rsid w:val="00F5138B"/>
    <w:rsid w:val="00F51566"/>
    <w:rsid w:val="00F516C8"/>
    <w:rsid w:val="00F51723"/>
    <w:rsid w:val="00F51CD1"/>
    <w:rsid w:val="00F51F4E"/>
    <w:rsid w:val="00F51FD5"/>
    <w:rsid w:val="00F5232B"/>
    <w:rsid w:val="00F52C7D"/>
    <w:rsid w:val="00F53174"/>
    <w:rsid w:val="00F533D6"/>
    <w:rsid w:val="00F53C03"/>
    <w:rsid w:val="00F54512"/>
    <w:rsid w:val="00F546CE"/>
    <w:rsid w:val="00F547AF"/>
    <w:rsid w:val="00F547F7"/>
    <w:rsid w:val="00F5480A"/>
    <w:rsid w:val="00F54DAB"/>
    <w:rsid w:val="00F5501B"/>
    <w:rsid w:val="00F55A23"/>
    <w:rsid w:val="00F55F09"/>
    <w:rsid w:val="00F5609D"/>
    <w:rsid w:val="00F568DB"/>
    <w:rsid w:val="00F56EBD"/>
    <w:rsid w:val="00F570D8"/>
    <w:rsid w:val="00F57149"/>
    <w:rsid w:val="00F57251"/>
    <w:rsid w:val="00F57383"/>
    <w:rsid w:val="00F577C8"/>
    <w:rsid w:val="00F57E87"/>
    <w:rsid w:val="00F60C2E"/>
    <w:rsid w:val="00F60D0C"/>
    <w:rsid w:val="00F6123C"/>
    <w:rsid w:val="00F613D8"/>
    <w:rsid w:val="00F613E0"/>
    <w:rsid w:val="00F61C17"/>
    <w:rsid w:val="00F6200D"/>
    <w:rsid w:val="00F62125"/>
    <w:rsid w:val="00F62349"/>
    <w:rsid w:val="00F624CA"/>
    <w:rsid w:val="00F627F0"/>
    <w:rsid w:val="00F62B66"/>
    <w:rsid w:val="00F62D37"/>
    <w:rsid w:val="00F6328F"/>
    <w:rsid w:val="00F6387B"/>
    <w:rsid w:val="00F639E8"/>
    <w:rsid w:val="00F63EA6"/>
    <w:rsid w:val="00F64350"/>
    <w:rsid w:val="00F64354"/>
    <w:rsid w:val="00F6455E"/>
    <w:rsid w:val="00F64953"/>
    <w:rsid w:val="00F64EAD"/>
    <w:rsid w:val="00F64F73"/>
    <w:rsid w:val="00F6513F"/>
    <w:rsid w:val="00F655B6"/>
    <w:rsid w:val="00F655F1"/>
    <w:rsid w:val="00F65A4D"/>
    <w:rsid w:val="00F66194"/>
    <w:rsid w:val="00F6688D"/>
    <w:rsid w:val="00F66994"/>
    <w:rsid w:val="00F66BA7"/>
    <w:rsid w:val="00F670C5"/>
    <w:rsid w:val="00F671AC"/>
    <w:rsid w:val="00F674DE"/>
    <w:rsid w:val="00F67B18"/>
    <w:rsid w:val="00F67D25"/>
    <w:rsid w:val="00F67D7A"/>
    <w:rsid w:val="00F67DA3"/>
    <w:rsid w:val="00F67E01"/>
    <w:rsid w:val="00F67E8B"/>
    <w:rsid w:val="00F702FD"/>
    <w:rsid w:val="00F70C91"/>
    <w:rsid w:val="00F719C2"/>
    <w:rsid w:val="00F71CAB"/>
    <w:rsid w:val="00F7204E"/>
    <w:rsid w:val="00F721CC"/>
    <w:rsid w:val="00F7268A"/>
    <w:rsid w:val="00F7283F"/>
    <w:rsid w:val="00F72CEA"/>
    <w:rsid w:val="00F7319F"/>
    <w:rsid w:val="00F7331A"/>
    <w:rsid w:val="00F73A50"/>
    <w:rsid w:val="00F740F2"/>
    <w:rsid w:val="00F74152"/>
    <w:rsid w:val="00F742A8"/>
    <w:rsid w:val="00F74906"/>
    <w:rsid w:val="00F74A08"/>
    <w:rsid w:val="00F74F99"/>
    <w:rsid w:val="00F7519F"/>
    <w:rsid w:val="00F75C58"/>
    <w:rsid w:val="00F75CC8"/>
    <w:rsid w:val="00F7636F"/>
    <w:rsid w:val="00F7641F"/>
    <w:rsid w:val="00F7644D"/>
    <w:rsid w:val="00F767DA"/>
    <w:rsid w:val="00F7690D"/>
    <w:rsid w:val="00F77A62"/>
    <w:rsid w:val="00F77AEF"/>
    <w:rsid w:val="00F77FF4"/>
    <w:rsid w:val="00F80379"/>
    <w:rsid w:val="00F805D9"/>
    <w:rsid w:val="00F80EA6"/>
    <w:rsid w:val="00F81144"/>
    <w:rsid w:val="00F81665"/>
    <w:rsid w:val="00F81889"/>
    <w:rsid w:val="00F81942"/>
    <w:rsid w:val="00F819BD"/>
    <w:rsid w:val="00F81B9D"/>
    <w:rsid w:val="00F81D29"/>
    <w:rsid w:val="00F81DA1"/>
    <w:rsid w:val="00F82235"/>
    <w:rsid w:val="00F82901"/>
    <w:rsid w:val="00F82DB4"/>
    <w:rsid w:val="00F83102"/>
    <w:rsid w:val="00F83A42"/>
    <w:rsid w:val="00F83C7D"/>
    <w:rsid w:val="00F83E27"/>
    <w:rsid w:val="00F840BB"/>
    <w:rsid w:val="00F840DF"/>
    <w:rsid w:val="00F843F0"/>
    <w:rsid w:val="00F845D6"/>
    <w:rsid w:val="00F8460E"/>
    <w:rsid w:val="00F84D3A"/>
    <w:rsid w:val="00F8506D"/>
    <w:rsid w:val="00F8513F"/>
    <w:rsid w:val="00F858B6"/>
    <w:rsid w:val="00F85906"/>
    <w:rsid w:val="00F85DEA"/>
    <w:rsid w:val="00F86305"/>
    <w:rsid w:val="00F86574"/>
    <w:rsid w:val="00F86A3A"/>
    <w:rsid w:val="00F86E3E"/>
    <w:rsid w:val="00F872AA"/>
    <w:rsid w:val="00F87614"/>
    <w:rsid w:val="00F876A8"/>
    <w:rsid w:val="00F87DCC"/>
    <w:rsid w:val="00F9060F"/>
    <w:rsid w:val="00F90A0A"/>
    <w:rsid w:val="00F90C60"/>
    <w:rsid w:val="00F90D41"/>
    <w:rsid w:val="00F90FAE"/>
    <w:rsid w:val="00F91733"/>
    <w:rsid w:val="00F91DCB"/>
    <w:rsid w:val="00F921FD"/>
    <w:rsid w:val="00F92AFC"/>
    <w:rsid w:val="00F92C3A"/>
    <w:rsid w:val="00F930A1"/>
    <w:rsid w:val="00F93563"/>
    <w:rsid w:val="00F93726"/>
    <w:rsid w:val="00F93939"/>
    <w:rsid w:val="00F93A47"/>
    <w:rsid w:val="00F93C2C"/>
    <w:rsid w:val="00F93FFD"/>
    <w:rsid w:val="00F9424D"/>
    <w:rsid w:val="00F9441C"/>
    <w:rsid w:val="00F9475A"/>
    <w:rsid w:val="00F94921"/>
    <w:rsid w:val="00F94E19"/>
    <w:rsid w:val="00F951CC"/>
    <w:rsid w:val="00F95491"/>
    <w:rsid w:val="00F957FE"/>
    <w:rsid w:val="00F95CCD"/>
    <w:rsid w:val="00F95F1F"/>
    <w:rsid w:val="00F96053"/>
    <w:rsid w:val="00F96101"/>
    <w:rsid w:val="00F969C6"/>
    <w:rsid w:val="00F96B60"/>
    <w:rsid w:val="00F96D4C"/>
    <w:rsid w:val="00F973FA"/>
    <w:rsid w:val="00F97A04"/>
    <w:rsid w:val="00F97D8A"/>
    <w:rsid w:val="00FA0207"/>
    <w:rsid w:val="00FA0252"/>
    <w:rsid w:val="00FA04A6"/>
    <w:rsid w:val="00FA085B"/>
    <w:rsid w:val="00FA08D1"/>
    <w:rsid w:val="00FA1C35"/>
    <w:rsid w:val="00FA216C"/>
    <w:rsid w:val="00FA259F"/>
    <w:rsid w:val="00FA2E42"/>
    <w:rsid w:val="00FA301A"/>
    <w:rsid w:val="00FA38F4"/>
    <w:rsid w:val="00FA399C"/>
    <w:rsid w:val="00FA3B32"/>
    <w:rsid w:val="00FA3D88"/>
    <w:rsid w:val="00FA407A"/>
    <w:rsid w:val="00FA41AA"/>
    <w:rsid w:val="00FA432A"/>
    <w:rsid w:val="00FA47FF"/>
    <w:rsid w:val="00FA4B8A"/>
    <w:rsid w:val="00FA4FB2"/>
    <w:rsid w:val="00FA56C2"/>
    <w:rsid w:val="00FA57E4"/>
    <w:rsid w:val="00FA5E36"/>
    <w:rsid w:val="00FA5F37"/>
    <w:rsid w:val="00FA6060"/>
    <w:rsid w:val="00FA6210"/>
    <w:rsid w:val="00FA6485"/>
    <w:rsid w:val="00FA6488"/>
    <w:rsid w:val="00FA6DB2"/>
    <w:rsid w:val="00FA6DE5"/>
    <w:rsid w:val="00FA6FCC"/>
    <w:rsid w:val="00FA7033"/>
    <w:rsid w:val="00FA71E1"/>
    <w:rsid w:val="00FA74CA"/>
    <w:rsid w:val="00FA76B3"/>
    <w:rsid w:val="00FA7CB4"/>
    <w:rsid w:val="00FA7E39"/>
    <w:rsid w:val="00FB007D"/>
    <w:rsid w:val="00FB01E7"/>
    <w:rsid w:val="00FB02DF"/>
    <w:rsid w:val="00FB03F6"/>
    <w:rsid w:val="00FB06A8"/>
    <w:rsid w:val="00FB0752"/>
    <w:rsid w:val="00FB0E24"/>
    <w:rsid w:val="00FB1208"/>
    <w:rsid w:val="00FB240E"/>
    <w:rsid w:val="00FB2852"/>
    <w:rsid w:val="00FB28F9"/>
    <w:rsid w:val="00FB2B38"/>
    <w:rsid w:val="00FB2B75"/>
    <w:rsid w:val="00FB2CA8"/>
    <w:rsid w:val="00FB30CA"/>
    <w:rsid w:val="00FB3263"/>
    <w:rsid w:val="00FB36A0"/>
    <w:rsid w:val="00FB3918"/>
    <w:rsid w:val="00FB4233"/>
    <w:rsid w:val="00FB4742"/>
    <w:rsid w:val="00FB4B48"/>
    <w:rsid w:val="00FB56A3"/>
    <w:rsid w:val="00FB5A4C"/>
    <w:rsid w:val="00FB5B97"/>
    <w:rsid w:val="00FB5C2F"/>
    <w:rsid w:val="00FB5C73"/>
    <w:rsid w:val="00FB6D2C"/>
    <w:rsid w:val="00FB7B39"/>
    <w:rsid w:val="00FB7E34"/>
    <w:rsid w:val="00FC001B"/>
    <w:rsid w:val="00FC025F"/>
    <w:rsid w:val="00FC04AD"/>
    <w:rsid w:val="00FC1A44"/>
    <w:rsid w:val="00FC1C0A"/>
    <w:rsid w:val="00FC261A"/>
    <w:rsid w:val="00FC27BD"/>
    <w:rsid w:val="00FC3081"/>
    <w:rsid w:val="00FC35D9"/>
    <w:rsid w:val="00FC3602"/>
    <w:rsid w:val="00FC42AC"/>
    <w:rsid w:val="00FC4339"/>
    <w:rsid w:val="00FC4475"/>
    <w:rsid w:val="00FC5159"/>
    <w:rsid w:val="00FC5807"/>
    <w:rsid w:val="00FC59D9"/>
    <w:rsid w:val="00FC5AF1"/>
    <w:rsid w:val="00FC64D5"/>
    <w:rsid w:val="00FC65E0"/>
    <w:rsid w:val="00FC6639"/>
    <w:rsid w:val="00FC6C7D"/>
    <w:rsid w:val="00FC70F5"/>
    <w:rsid w:val="00FC7517"/>
    <w:rsid w:val="00FC7D0D"/>
    <w:rsid w:val="00FD0B5B"/>
    <w:rsid w:val="00FD0EA2"/>
    <w:rsid w:val="00FD1040"/>
    <w:rsid w:val="00FD1140"/>
    <w:rsid w:val="00FD2477"/>
    <w:rsid w:val="00FD29C6"/>
    <w:rsid w:val="00FD29F5"/>
    <w:rsid w:val="00FD2BA1"/>
    <w:rsid w:val="00FD3154"/>
    <w:rsid w:val="00FD32DF"/>
    <w:rsid w:val="00FD361E"/>
    <w:rsid w:val="00FD37B8"/>
    <w:rsid w:val="00FD3C80"/>
    <w:rsid w:val="00FD402A"/>
    <w:rsid w:val="00FD510E"/>
    <w:rsid w:val="00FD5707"/>
    <w:rsid w:val="00FD5839"/>
    <w:rsid w:val="00FD58FB"/>
    <w:rsid w:val="00FD5BBF"/>
    <w:rsid w:val="00FD6001"/>
    <w:rsid w:val="00FD6232"/>
    <w:rsid w:val="00FD63BA"/>
    <w:rsid w:val="00FD6739"/>
    <w:rsid w:val="00FD67C7"/>
    <w:rsid w:val="00FD6920"/>
    <w:rsid w:val="00FD692A"/>
    <w:rsid w:val="00FD6A52"/>
    <w:rsid w:val="00FD6E14"/>
    <w:rsid w:val="00FD7408"/>
    <w:rsid w:val="00FD7569"/>
    <w:rsid w:val="00FD7934"/>
    <w:rsid w:val="00FE013A"/>
    <w:rsid w:val="00FE0962"/>
    <w:rsid w:val="00FE1179"/>
    <w:rsid w:val="00FE12FA"/>
    <w:rsid w:val="00FE13A4"/>
    <w:rsid w:val="00FE18FD"/>
    <w:rsid w:val="00FE1F13"/>
    <w:rsid w:val="00FE26EF"/>
    <w:rsid w:val="00FE2DBD"/>
    <w:rsid w:val="00FE30F4"/>
    <w:rsid w:val="00FE31B8"/>
    <w:rsid w:val="00FE3488"/>
    <w:rsid w:val="00FE359A"/>
    <w:rsid w:val="00FE397C"/>
    <w:rsid w:val="00FE3DF0"/>
    <w:rsid w:val="00FE4A3C"/>
    <w:rsid w:val="00FE4E70"/>
    <w:rsid w:val="00FE4FBD"/>
    <w:rsid w:val="00FE5004"/>
    <w:rsid w:val="00FE57CB"/>
    <w:rsid w:val="00FE5A69"/>
    <w:rsid w:val="00FE5B4B"/>
    <w:rsid w:val="00FE5B9E"/>
    <w:rsid w:val="00FE5CF8"/>
    <w:rsid w:val="00FE5E00"/>
    <w:rsid w:val="00FE6961"/>
    <w:rsid w:val="00FE6D8D"/>
    <w:rsid w:val="00FE7119"/>
    <w:rsid w:val="00FE71FE"/>
    <w:rsid w:val="00FE7530"/>
    <w:rsid w:val="00FE7654"/>
    <w:rsid w:val="00FE7C2C"/>
    <w:rsid w:val="00FE7DC0"/>
    <w:rsid w:val="00FF01EF"/>
    <w:rsid w:val="00FF0734"/>
    <w:rsid w:val="00FF092E"/>
    <w:rsid w:val="00FF094D"/>
    <w:rsid w:val="00FF0BB1"/>
    <w:rsid w:val="00FF0C8A"/>
    <w:rsid w:val="00FF119B"/>
    <w:rsid w:val="00FF1280"/>
    <w:rsid w:val="00FF12FA"/>
    <w:rsid w:val="00FF198D"/>
    <w:rsid w:val="00FF1B36"/>
    <w:rsid w:val="00FF1C21"/>
    <w:rsid w:val="00FF2420"/>
    <w:rsid w:val="00FF26D8"/>
    <w:rsid w:val="00FF2A62"/>
    <w:rsid w:val="00FF33C5"/>
    <w:rsid w:val="00FF33DD"/>
    <w:rsid w:val="00FF3514"/>
    <w:rsid w:val="00FF3585"/>
    <w:rsid w:val="00FF35F8"/>
    <w:rsid w:val="00FF3649"/>
    <w:rsid w:val="00FF39B4"/>
    <w:rsid w:val="00FF4F01"/>
    <w:rsid w:val="00FF51AF"/>
    <w:rsid w:val="00FF547E"/>
    <w:rsid w:val="00FF54B6"/>
    <w:rsid w:val="00FF5537"/>
    <w:rsid w:val="00FF5F42"/>
    <w:rsid w:val="00FF6DC1"/>
    <w:rsid w:val="00FF6E65"/>
    <w:rsid w:val="00FF6F3B"/>
    <w:rsid w:val="00FF717D"/>
    <w:rsid w:val="00FF740A"/>
    <w:rsid w:val="00FF7E60"/>
    <w:rsid w:val="066CA897"/>
    <w:rsid w:val="13558DDF"/>
    <w:rsid w:val="15ABC2C6"/>
    <w:rsid w:val="1B901FBF"/>
    <w:rsid w:val="1E46A2B6"/>
    <w:rsid w:val="3AEDE3CC"/>
    <w:rsid w:val="3B1C476B"/>
    <w:rsid w:val="40D0480E"/>
    <w:rsid w:val="429D02E5"/>
    <w:rsid w:val="48D766A6"/>
    <w:rsid w:val="4C27F7F9"/>
    <w:rsid w:val="55DAC1C9"/>
    <w:rsid w:val="576A7EB8"/>
    <w:rsid w:val="57AF75A7"/>
    <w:rsid w:val="5A15DDD4"/>
    <w:rsid w:val="5C790287"/>
    <w:rsid w:val="5C948613"/>
    <w:rsid w:val="5EB2A8D6"/>
    <w:rsid w:val="60DD725B"/>
    <w:rsid w:val="724D6F7C"/>
    <w:rsid w:val="749E16D1"/>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C6FACB"/>
  <w15:chartTrackingRefBased/>
  <w15:docId w15:val="{A6C31600-AEE4-4129-AE20-2DC48330C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056"/>
    <w:pPr>
      <w:spacing w:before="240" w:after="240" w:line="264" w:lineRule="auto"/>
    </w:pPr>
    <w:rPr>
      <w:rFonts w:ascii="Arial" w:eastAsia="Times New Roman" w:hAnsi="Arial" w:cs="Times New Roman"/>
      <w:color w:val="000000"/>
      <w:kern w:val="18"/>
      <w:sz w:val="20"/>
      <w:szCs w:val="20"/>
      <w:lang w:eastAsia="en-AU"/>
    </w:rPr>
  </w:style>
  <w:style w:type="paragraph" w:styleId="Heading1">
    <w:name w:val="heading 1"/>
    <w:basedOn w:val="Normal"/>
    <w:next w:val="Normal"/>
    <w:link w:val="Heading1Char"/>
    <w:qFormat/>
    <w:rsid w:val="00F40387"/>
    <w:pPr>
      <w:keepNext/>
      <w:numPr>
        <w:numId w:val="27"/>
      </w:numPr>
      <w:tabs>
        <w:tab w:val="left" w:pos="709"/>
      </w:tabs>
      <w:spacing w:before="0" w:after="360" w:line="240" w:lineRule="auto"/>
      <w:ind w:left="709" w:hanging="709"/>
      <w:outlineLvl w:val="0"/>
    </w:pPr>
    <w:rPr>
      <w:rFonts w:asciiTheme="majorHAnsi" w:hAnsiTheme="majorHAnsi" w:cs="Arial"/>
      <w:b/>
      <w:bCs/>
      <w:color w:val="0E4E77" w:themeColor="accent2"/>
      <w:kern w:val="32"/>
      <w:sz w:val="44"/>
      <w:szCs w:val="36"/>
    </w:rPr>
  </w:style>
  <w:style w:type="paragraph" w:styleId="Heading2">
    <w:name w:val="heading 2"/>
    <w:basedOn w:val="Normal"/>
    <w:next w:val="Normal"/>
    <w:link w:val="Heading2Char"/>
    <w:qFormat/>
    <w:rsid w:val="00515E14"/>
    <w:pPr>
      <w:keepNext/>
      <w:numPr>
        <w:ilvl w:val="1"/>
        <w:numId w:val="27"/>
      </w:numPr>
      <w:tabs>
        <w:tab w:val="left" w:pos="709"/>
      </w:tabs>
      <w:spacing w:line="252" w:lineRule="auto"/>
      <w:ind w:left="709" w:hanging="709"/>
      <w:outlineLvl w:val="1"/>
    </w:pPr>
    <w:rPr>
      <w:rFonts w:asciiTheme="minorHAnsi" w:hAnsiTheme="minorHAnsi" w:cs="Arial"/>
      <w:b/>
      <w:bCs/>
      <w:iCs/>
      <w:color w:val="74000E" w:themeColor="accent1"/>
      <w:sz w:val="22"/>
      <w:szCs w:val="28"/>
    </w:rPr>
  </w:style>
  <w:style w:type="paragraph" w:styleId="Heading3">
    <w:name w:val="heading 3"/>
    <w:basedOn w:val="Normal"/>
    <w:next w:val="Normal"/>
    <w:link w:val="Heading3Char"/>
    <w:qFormat/>
    <w:rsid w:val="00A65707"/>
    <w:pPr>
      <w:keepNext/>
      <w:spacing w:line="240" w:lineRule="auto"/>
      <w:outlineLvl w:val="2"/>
    </w:pPr>
    <w:rPr>
      <w:rFonts w:cs="Arial"/>
      <w:b/>
      <w:bCs/>
      <w:color w:val="74000E" w:themeColor="accent1"/>
      <w:sz w:val="26"/>
      <w:szCs w:val="26"/>
    </w:rPr>
  </w:style>
  <w:style w:type="paragraph" w:styleId="Heading4">
    <w:name w:val="heading 4"/>
    <w:basedOn w:val="Normal"/>
    <w:next w:val="Normal"/>
    <w:link w:val="Heading4Char"/>
    <w:qFormat/>
    <w:rsid w:val="00E37F73"/>
    <w:pPr>
      <w:keepNext/>
      <w:numPr>
        <w:ilvl w:val="3"/>
        <w:numId w:val="27"/>
      </w:numPr>
      <w:spacing w:before="120" w:after="120" w:line="240" w:lineRule="auto"/>
      <w:ind w:left="851" w:hanging="851"/>
      <w:outlineLvl w:val="3"/>
    </w:pPr>
    <w:rPr>
      <w:b/>
      <w:bCs/>
      <w:color w:val="9B0014"/>
      <w:sz w:val="22"/>
      <w:szCs w:val="22"/>
    </w:rPr>
  </w:style>
  <w:style w:type="paragraph" w:styleId="Heading5">
    <w:name w:val="heading 5"/>
    <w:basedOn w:val="Normal"/>
    <w:next w:val="Normal"/>
    <w:link w:val="Heading5Char"/>
    <w:qFormat/>
    <w:rsid w:val="00A65707"/>
    <w:pPr>
      <w:keepNext/>
      <w:numPr>
        <w:ilvl w:val="4"/>
        <w:numId w:val="27"/>
      </w:numPr>
      <w:spacing w:after="60" w:line="240" w:lineRule="auto"/>
      <w:outlineLvl w:val="4"/>
    </w:pPr>
    <w:rPr>
      <w:b/>
      <w:bCs/>
      <w:iCs/>
      <w:color w:val="9B0014"/>
    </w:rPr>
  </w:style>
  <w:style w:type="paragraph" w:styleId="Heading6">
    <w:name w:val="heading 6"/>
    <w:basedOn w:val="Normal"/>
    <w:next w:val="Normal"/>
    <w:link w:val="Heading6Char"/>
    <w:qFormat/>
    <w:rsid w:val="00A65707"/>
    <w:pPr>
      <w:keepNext/>
      <w:numPr>
        <w:ilvl w:val="5"/>
        <w:numId w:val="27"/>
      </w:numPr>
      <w:spacing w:after="120" w:line="240" w:lineRule="auto"/>
      <w:outlineLvl w:val="5"/>
    </w:pPr>
    <w:rPr>
      <w:bCs/>
      <w:color w:val="9B0014"/>
      <w:szCs w:val="22"/>
    </w:rPr>
  </w:style>
  <w:style w:type="paragraph" w:styleId="Heading7">
    <w:name w:val="heading 7"/>
    <w:basedOn w:val="Normal"/>
    <w:next w:val="Normal"/>
    <w:link w:val="Heading7Char"/>
    <w:qFormat/>
    <w:rsid w:val="00A65707"/>
    <w:pPr>
      <w:keepNext/>
      <w:numPr>
        <w:ilvl w:val="6"/>
        <w:numId w:val="27"/>
      </w:numPr>
      <w:spacing w:after="120" w:line="240" w:lineRule="auto"/>
      <w:outlineLvl w:val="6"/>
    </w:pPr>
    <w:rPr>
      <w:color w:val="9B0014"/>
      <w:szCs w:val="24"/>
    </w:rPr>
  </w:style>
  <w:style w:type="paragraph" w:styleId="Heading8">
    <w:name w:val="heading 8"/>
    <w:basedOn w:val="Normal"/>
    <w:next w:val="Normal"/>
    <w:link w:val="Heading8Char"/>
    <w:rsid w:val="00A65707"/>
    <w:pPr>
      <w:keepNext/>
      <w:numPr>
        <w:ilvl w:val="7"/>
        <w:numId w:val="27"/>
      </w:numPr>
      <w:spacing w:after="120" w:line="240" w:lineRule="auto"/>
      <w:outlineLvl w:val="7"/>
    </w:pPr>
    <w:rPr>
      <w:iCs/>
      <w:color w:val="9B0014"/>
      <w:szCs w:val="24"/>
    </w:rPr>
  </w:style>
  <w:style w:type="paragraph" w:styleId="Heading9">
    <w:name w:val="heading 9"/>
    <w:basedOn w:val="Normal"/>
    <w:next w:val="Normal"/>
    <w:link w:val="Heading9Char"/>
    <w:rsid w:val="00A65707"/>
    <w:pPr>
      <w:keepNext/>
      <w:numPr>
        <w:ilvl w:val="8"/>
        <w:numId w:val="27"/>
      </w:numPr>
      <w:spacing w:after="120" w:line="240" w:lineRule="auto"/>
      <w:outlineLvl w:val="8"/>
    </w:pPr>
    <w:rPr>
      <w:rFonts w:cs="Arial"/>
      <w:color w:val="9B001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0387"/>
    <w:rPr>
      <w:rFonts w:asciiTheme="majorHAnsi" w:eastAsia="Times New Roman" w:hAnsiTheme="majorHAnsi" w:cs="Arial"/>
      <w:b/>
      <w:bCs/>
      <w:color w:val="0E4E77" w:themeColor="accent2"/>
      <w:kern w:val="32"/>
      <w:sz w:val="44"/>
      <w:szCs w:val="36"/>
      <w:lang w:eastAsia="en-AU"/>
    </w:rPr>
  </w:style>
  <w:style w:type="character" w:customStyle="1" w:styleId="Heading2Char">
    <w:name w:val="Heading 2 Char"/>
    <w:basedOn w:val="DefaultParagraphFont"/>
    <w:link w:val="Heading2"/>
    <w:rsid w:val="00515E14"/>
    <w:rPr>
      <w:rFonts w:eastAsia="Times New Roman" w:cs="Arial"/>
      <w:b/>
      <w:bCs/>
      <w:iCs/>
      <w:color w:val="74000E" w:themeColor="accent1"/>
      <w:kern w:val="18"/>
      <w:szCs w:val="28"/>
      <w:lang w:eastAsia="en-AU"/>
    </w:rPr>
  </w:style>
  <w:style w:type="paragraph" w:styleId="NoSpacing">
    <w:name w:val="No Spacing"/>
    <w:basedOn w:val="Normal"/>
    <w:link w:val="NoSpacingChar"/>
    <w:qFormat/>
    <w:rsid w:val="00E37F73"/>
    <w:pPr>
      <w:spacing w:before="0" w:after="0"/>
    </w:pPr>
  </w:style>
  <w:style w:type="character" w:customStyle="1" w:styleId="Heading3Char">
    <w:name w:val="Heading 3 Char"/>
    <w:basedOn w:val="DefaultParagraphFont"/>
    <w:link w:val="Heading3"/>
    <w:rsid w:val="00A65707"/>
    <w:rPr>
      <w:rFonts w:ascii="Arial" w:eastAsia="Times New Roman" w:hAnsi="Arial" w:cs="Arial"/>
      <w:b/>
      <w:bCs/>
      <w:color w:val="74000E" w:themeColor="accent1"/>
      <w:sz w:val="26"/>
      <w:szCs w:val="26"/>
      <w:lang w:eastAsia="en-AU"/>
    </w:rPr>
  </w:style>
  <w:style w:type="character" w:customStyle="1" w:styleId="Heading4Char">
    <w:name w:val="Heading 4 Char"/>
    <w:basedOn w:val="DefaultParagraphFont"/>
    <w:link w:val="Heading4"/>
    <w:rsid w:val="00E37F73"/>
    <w:rPr>
      <w:rFonts w:ascii="Arial" w:eastAsia="Times New Roman" w:hAnsi="Arial" w:cs="Times New Roman"/>
      <w:b/>
      <w:bCs/>
      <w:color w:val="9B0014"/>
      <w:lang w:eastAsia="en-AU"/>
    </w:rPr>
  </w:style>
  <w:style w:type="character" w:customStyle="1" w:styleId="Heading5Char">
    <w:name w:val="Heading 5 Char"/>
    <w:basedOn w:val="DefaultParagraphFont"/>
    <w:link w:val="Heading5"/>
    <w:rsid w:val="00A65707"/>
    <w:rPr>
      <w:rFonts w:ascii="Arial" w:eastAsia="Times New Roman" w:hAnsi="Arial" w:cs="Times New Roman"/>
      <w:b/>
      <w:bCs/>
      <w:iCs/>
      <w:color w:val="9B0014"/>
      <w:sz w:val="20"/>
      <w:szCs w:val="20"/>
      <w:lang w:eastAsia="en-AU"/>
    </w:rPr>
  </w:style>
  <w:style w:type="character" w:customStyle="1" w:styleId="Heading6Char">
    <w:name w:val="Heading 6 Char"/>
    <w:basedOn w:val="DefaultParagraphFont"/>
    <w:link w:val="Heading6"/>
    <w:rsid w:val="00A65707"/>
    <w:rPr>
      <w:rFonts w:ascii="Arial" w:eastAsia="Times New Roman" w:hAnsi="Arial" w:cs="Times New Roman"/>
      <w:bCs/>
      <w:color w:val="9B0014"/>
      <w:sz w:val="20"/>
      <w:lang w:eastAsia="en-AU"/>
    </w:rPr>
  </w:style>
  <w:style w:type="character" w:customStyle="1" w:styleId="Heading7Char">
    <w:name w:val="Heading 7 Char"/>
    <w:basedOn w:val="DefaultParagraphFont"/>
    <w:link w:val="Heading7"/>
    <w:rsid w:val="00A65707"/>
    <w:rPr>
      <w:rFonts w:ascii="Arial" w:eastAsia="Times New Roman" w:hAnsi="Arial" w:cs="Times New Roman"/>
      <w:color w:val="9B0014"/>
      <w:sz w:val="20"/>
      <w:szCs w:val="24"/>
      <w:lang w:eastAsia="en-AU"/>
    </w:rPr>
  </w:style>
  <w:style w:type="character" w:customStyle="1" w:styleId="Heading8Char">
    <w:name w:val="Heading 8 Char"/>
    <w:basedOn w:val="DefaultParagraphFont"/>
    <w:link w:val="Heading8"/>
    <w:rsid w:val="00A65707"/>
    <w:rPr>
      <w:rFonts w:ascii="Arial" w:eastAsia="Times New Roman" w:hAnsi="Arial" w:cs="Times New Roman"/>
      <w:iCs/>
      <w:color w:val="9B0014"/>
      <w:sz w:val="20"/>
      <w:szCs w:val="24"/>
      <w:lang w:eastAsia="en-AU"/>
    </w:rPr>
  </w:style>
  <w:style w:type="character" w:customStyle="1" w:styleId="Heading9Char">
    <w:name w:val="Heading 9 Char"/>
    <w:basedOn w:val="DefaultParagraphFont"/>
    <w:link w:val="Heading9"/>
    <w:rsid w:val="00A65707"/>
    <w:rPr>
      <w:rFonts w:ascii="Arial" w:eastAsia="Times New Roman" w:hAnsi="Arial" w:cs="Arial"/>
      <w:color w:val="9B0014"/>
      <w:sz w:val="20"/>
      <w:lang w:eastAsia="en-AU"/>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0"/>
    <w:qFormat/>
    <w:rsid w:val="004B54CA"/>
    <w:rPr>
      <w:b/>
      <w:bCs/>
    </w:rPr>
  </w:style>
  <w:style w:type="paragraph" w:styleId="ListParagraph">
    <w:name w:val="List Paragraph"/>
    <w:basedOn w:val="Normal"/>
    <w:uiPriority w:val="34"/>
    <w:qFormat/>
    <w:rsid w:val="00A65707"/>
    <w:pPr>
      <w:ind w:left="720"/>
    </w:pPr>
  </w:style>
  <w:style w:type="character" w:styleId="Emphasis">
    <w:name w:val="Emphasis"/>
    <w:basedOn w:val="DefaultParagraphFont"/>
    <w:uiPriority w:val="20"/>
    <w:qFormat/>
    <w:rsid w:val="00A65707"/>
    <w:rPr>
      <w:i/>
      <w:iCs/>
    </w:rPr>
  </w:style>
  <w:style w:type="character" w:styleId="IntenseEmphasis">
    <w:name w:val="Intense Emphasis"/>
    <w:uiPriority w:val="21"/>
    <w:qFormat/>
    <w:rsid w:val="004B54CA"/>
    <w:rPr>
      <w:b/>
      <w:bCs/>
    </w:rPr>
  </w:style>
  <w:style w:type="paragraph" w:styleId="Quote">
    <w:name w:val="Quote"/>
    <w:basedOn w:val="Normal"/>
    <w:next w:val="Normal"/>
    <w:link w:val="QuoteChar"/>
    <w:qFormat/>
    <w:rsid w:val="004B54CA"/>
    <w:pPr>
      <w:spacing w:before="200" w:after="0"/>
      <w:ind w:left="360" w:right="360"/>
    </w:pPr>
    <w:rPr>
      <w:i/>
      <w:iCs/>
    </w:rPr>
  </w:style>
  <w:style w:type="character" w:customStyle="1" w:styleId="QuoteChar">
    <w:name w:val="Quote Char"/>
    <w:basedOn w:val="DefaultParagraphFont"/>
    <w:link w:val="Quote"/>
    <w:rsid w:val="00F322B6"/>
    <w:rPr>
      <w:rFonts w:ascii="Arial" w:eastAsia="Times New Roman" w:hAnsi="Arial" w:cs="Times New Roman"/>
      <w:i/>
      <w:iCs/>
      <w:color w:val="000000"/>
      <w:sz w:val="20"/>
      <w:szCs w:val="20"/>
      <w:lang w:eastAsia="en-AU"/>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autoRedefine/>
    <w:unhideWhenUsed/>
    <w:qFormat/>
    <w:rsid w:val="00A65707"/>
    <w:pPr>
      <w:keepNext/>
      <w:spacing w:after="200" w:line="240" w:lineRule="auto"/>
    </w:pPr>
    <w:rPr>
      <w:b/>
      <w:bCs/>
      <w:snapToGrid w:val="0"/>
      <w:color w:val="74000E" w:themeColor="accent1"/>
      <w:sz w:val="18"/>
      <w:szCs w:val="18"/>
    </w:rPr>
  </w:style>
  <w:style w:type="paragraph" w:styleId="TOCHeading">
    <w:name w:val="TOC Heading"/>
    <w:basedOn w:val="Heading1notnumbered"/>
    <w:next w:val="Normal"/>
    <w:uiPriority w:val="39"/>
    <w:unhideWhenUsed/>
    <w:qFormat/>
    <w:rsid w:val="00F40387"/>
  </w:style>
  <w:style w:type="character" w:customStyle="1" w:styleId="NoSpacingChar">
    <w:name w:val="No Spacing Char"/>
    <w:basedOn w:val="DefaultParagraphFont"/>
    <w:link w:val="NoSpacing"/>
    <w:rsid w:val="00E37F73"/>
    <w:rPr>
      <w:rFonts w:ascii="Arial" w:eastAsia="Times New Roman" w:hAnsi="Arial" w:cs="Times New Roman"/>
      <w:color w:val="000000"/>
      <w:sz w:val="20"/>
      <w:szCs w:val="20"/>
      <w:lang w:eastAsia="en-AU"/>
    </w:rPr>
  </w:style>
  <w:style w:type="paragraph" w:styleId="NormalWeb">
    <w:name w:val="Normal (Web)"/>
    <w:basedOn w:val="Normal"/>
    <w:uiPriority w:val="99"/>
    <w:unhideWhenUsed/>
    <w:rsid w:val="00A0028C"/>
    <w:pPr>
      <w:spacing w:before="100" w:beforeAutospacing="1" w:after="100" w:afterAutospacing="1" w:line="240" w:lineRule="auto"/>
    </w:pPr>
    <w:rPr>
      <w:rFonts w:ascii="Times New Roman" w:eastAsiaTheme="minorEastAsia" w:hAnsi="Times New Roman"/>
      <w:sz w:val="24"/>
      <w:szCs w:val="24"/>
    </w:rPr>
  </w:style>
  <w:style w:type="paragraph" w:styleId="Header">
    <w:name w:val="header"/>
    <w:basedOn w:val="Normal"/>
    <w:link w:val="HeaderChar"/>
    <w:rsid w:val="005B52A1"/>
    <w:pPr>
      <w:keepNext/>
      <w:tabs>
        <w:tab w:val="left" w:pos="0"/>
        <w:tab w:val="right" w:pos="14572"/>
      </w:tabs>
      <w:spacing w:after="0" w:line="240" w:lineRule="auto"/>
      <w:jc w:val="right"/>
    </w:pPr>
    <w:rPr>
      <w:color w:val="0E4E77" w:themeColor="accent2"/>
      <w:sz w:val="18"/>
    </w:rPr>
  </w:style>
  <w:style w:type="character" w:customStyle="1" w:styleId="HeaderChar">
    <w:name w:val="Header Char"/>
    <w:basedOn w:val="DefaultParagraphFont"/>
    <w:link w:val="Header"/>
    <w:rsid w:val="005B52A1"/>
    <w:rPr>
      <w:rFonts w:ascii="Arial" w:eastAsia="Times New Roman" w:hAnsi="Arial" w:cs="Times New Roman"/>
      <w:color w:val="0E4E77" w:themeColor="accent2"/>
      <w:sz w:val="18"/>
      <w:szCs w:val="20"/>
      <w:lang w:eastAsia="en-AU"/>
    </w:rPr>
  </w:style>
  <w:style w:type="paragraph" w:styleId="Footer">
    <w:name w:val="footer"/>
    <w:basedOn w:val="Normal"/>
    <w:link w:val="FooterChar"/>
    <w:rsid w:val="00CD6F90"/>
    <w:pPr>
      <w:keepNext/>
      <w:tabs>
        <w:tab w:val="left" w:pos="0"/>
        <w:tab w:val="right" w:pos="14572"/>
      </w:tabs>
      <w:spacing w:before="120" w:after="0" w:line="240" w:lineRule="auto"/>
      <w:jc w:val="right"/>
    </w:pPr>
    <w:rPr>
      <w:noProof/>
      <w:color w:val="9B0014"/>
      <w:sz w:val="18"/>
    </w:rPr>
  </w:style>
  <w:style w:type="character" w:customStyle="1" w:styleId="FooterChar">
    <w:name w:val="Footer Char"/>
    <w:basedOn w:val="DefaultParagraphFont"/>
    <w:link w:val="Footer"/>
    <w:rsid w:val="00CD6F90"/>
    <w:rPr>
      <w:rFonts w:ascii="Arial" w:eastAsia="Times New Roman" w:hAnsi="Arial" w:cs="Times New Roman"/>
      <w:noProof/>
      <w:color w:val="9B0014"/>
      <w:kern w:val="18"/>
      <w:sz w:val="18"/>
      <w:szCs w:val="20"/>
      <w:lang w:eastAsia="en-AU"/>
    </w:rPr>
  </w:style>
  <w:style w:type="character" w:styleId="LineNumber">
    <w:name w:val="line number"/>
    <w:basedOn w:val="DefaultParagraphFont"/>
    <w:uiPriority w:val="99"/>
    <w:semiHidden/>
    <w:unhideWhenUsed/>
    <w:rsid w:val="00CE38A5"/>
  </w:style>
  <w:style w:type="paragraph" w:styleId="TOC1">
    <w:name w:val="toc 1"/>
    <w:basedOn w:val="Normal"/>
    <w:next w:val="Normal"/>
    <w:uiPriority w:val="39"/>
    <w:rsid w:val="00A860AA"/>
    <w:pPr>
      <w:keepNext/>
      <w:tabs>
        <w:tab w:val="right" w:leader="dot" w:pos="8789"/>
      </w:tabs>
      <w:spacing w:before="180" w:after="0" w:line="240" w:lineRule="auto"/>
      <w:ind w:left="284" w:hanging="284"/>
    </w:pPr>
    <w:rPr>
      <w:rFonts w:asciiTheme="minorHAnsi" w:hAnsiTheme="minorHAnsi"/>
      <w:noProof/>
      <w:color w:val="auto"/>
      <w:sz w:val="22"/>
      <w:szCs w:val="22"/>
    </w:rPr>
  </w:style>
  <w:style w:type="paragraph" w:styleId="TOC2">
    <w:name w:val="toc 2"/>
    <w:basedOn w:val="Normal"/>
    <w:next w:val="Normal"/>
    <w:uiPriority w:val="39"/>
    <w:rsid w:val="00A65707"/>
    <w:pPr>
      <w:keepNext/>
      <w:tabs>
        <w:tab w:val="right" w:leader="dot" w:pos="8789"/>
      </w:tabs>
      <w:spacing w:before="40" w:after="20" w:line="240" w:lineRule="auto"/>
      <w:ind w:left="964" w:right="851" w:hanging="556"/>
    </w:pPr>
    <w:rPr>
      <w:noProof/>
      <w:color w:val="000000" w:themeColor="text1"/>
      <w:lang w:eastAsia="en-US"/>
    </w:rPr>
  </w:style>
  <w:style w:type="character" w:styleId="Hyperlink">
    <w:name w:val="Hyperlink"/>
    <w:uiPriority w:val="99"/>
    <w:rsid w:val="000D69EF"/>
    <w:rPr>
      <w:b w:val="0"/>
      <w:color w:val="74000E" w:themeColor="accent1"/>
      <w:u w:val="single"/>
    </w:rPr>
  </w:style>
  <w:style w:type="paragraph" w:styleId="TOC3">
    <w:name w:val="toc 3"/>
    <w:basedOn w:val="Normal"/>
    <w:next w:val="Normal"/>
    <w:uiPriority w:val="39"/>
    <w:rsid w:val="00A65707"/>
    <w:pPr>
      <w:tabs>
        <w:tab w:val="left" w:pos="1320"/>
        <w:tab w:val="right" w:leader="dot" w:pos="7700"/>
      </w:tabs>
      <w:spacing w:before="60" w:after="0" w:line="240" w:lineRule="auto"/>
      <w:ind w:right="851"/>
    </w:pPr>
    <w:rPr>
      <w:color w:val="000000" w:themeColor="text1"/>
    </w:rPr>
  </w:style>
  <w:style w:type="character" w:styleId="CommentReference">
    <w:name w:val="annotation reference"/>
    <w:semiHidden/>
    <w:rsid w:val="00A65707"/>
    <w:rPr>
      <w:sz w:val="16"/>
      <w:szCs w:val="16"/>
    </w:rPr>
  </w:style>
  <w:style w:type="paragraph" w:styleId="CommentText">
    <w:name w:val="annotation text"/>
    <w:basedOn w:val="Normal"/>
    <w:link w:val="CommentTextChar"/>
    <w:rsid w:val="00A65707"/>
  </w:style>
  <w:style w:type="character" w:customStyle="1" w:styleId="CommentTextChar">
    <w:name w:val="Comment Text Char"/>
    <w:basedOn w:val="DefaultParagraphFont"/>
    <w:link w:val="CommentText"/>
    <w:rsid w:val="00A65707"/>
    <w:rPr>
      <w:rFonts w:ascii="Arial" w:eastAsia="Times New Roman" w:hAnsi="Arial" w:cs="Times New Roman"/>
      <w:color w:val="000000"/>
      <w:sz w:val="20"/>
      <w:szCs w:val="20"/>
      <w:lang w:eastAsia="en-AU"/>
    </w:rPr>
  </w:style>
  <w:style w:type="paragraph" w:styleId="CommentSubject">
    <w:name w:val="annotation subject"/>
    <w:basedOn w:val="CommentText"/>
    <w:next w:val="CommentText"/>
    <w:link w:val="CommentSubjectChar"/>
    <w:semiHidden/>
    <w:rsid w:val="00A65707"/>
    <w:rPr>
      <w:b/>
      <w:bCs/>
    </w:rPr>
  </w:style>
  <w:style w:type="character" w:customStyle="1" w:styleId="CommentSubjectChar">
    <w:name w:val="Comment Subject Char"/>
    <w:basedOn w:val="CommentTextChar"/>
    <w:link w:val="CommentSubject"/>
    <w:semiHidden/>
    <w:rsid w:val="00A65707"/>
    <w:rPr>
      <w:rFonts w:ascii="Arial" w:eastAsia="Times New Roman" w:hAnsi="Arial" w:cs="Times New Roman"/>
      <w:b/>
      <w:bCs/>
      <w:color w:val="000000"/>
      <w:sz w:val="20"/>
      <w:szCs w:val="20"/>
      <w:lang w:eastAsia="en-AU"/>
    </w:rPr>
  </w:style>
  <w:style w:type="paragraph" w:styleId="BalloonText">
    <w:name w:val="Balloon Text"/>
    <w:basedOn w:val="Normal"/>
    <w:link w:val="BalloonTextChar"/>
    <w:semiHidden/>
    <w:rsid w:val="00A65707"/>
    <w:rPr>
      <w:rFonts w:ascii="Tahoma" w:hAnsi="Tahoma" w:cs="Tahoma"/>
      <w:sz w:val="16"/>
      <w:szCs w:val="16"/>
    </w:rPr>
  </w:style>
  <w:style w:type="character" w:customStyle="1" w:styleId="BalloonTextChar">
    <w:name w:val="Balloon Text Char"/>
    <w:basedOn w:val="DefaultParagraphFont"/>
    <w:link w:val="BalloonText"/>
    <w:semiHidden/>
    <w:rsid w:val="00A65707"/>
    <w:rPr>
      <w:rFonts w:ascii="Tahoma" w:eastAsia="Times New Roman" w:hAnsi="Tahoma" w:cs="Tahoma"/>
      <w:color w:val="000000"/>
      <w:sz w:val="16"/>
      <w:szCs w:val="16"/>
      <w:lang w:eastAsia="en-AU"/>
    </w:rPr>
  </w:style>
  <w:style w:type="paragraph" w:styleId="Revision">
    <w:name w:val="Revision"/>
    <w:hidden/>
    <w:uiPriority w:val="99"/>
    <w:semiHidden/>
    <w:rsid w:val="00A65707"/>
    <w:pPr>
      <w:spacing w:after="0" w:line="240" w:lineRule="auto"/>
    </w:pPr>
    <w:rPr>
      <w:rFonts w:ascii="Arial" w:eastAsia="Times New Roman" w:hAnsi="Arial" w:cs="Times New Roman"/>
      <w:color w:val="000000"/>
      <w:sz w:val="20"/>
      <w:szCs w:val="20"/>
      <w:lang w:eastAsia="en-AU"/>
    </w:rPr>
  </w:style>
  <w:style w:type="paragraph" w:customStyle="1" w:styleId="OutlineNumbered1">
    <w:name w:val="Outline Numbered 1"/>
    <w:basedOn w:val="OutlineNumbered3"/>
    <w:link w:val="OutlineNumbered1Char"/>
    <w:rsid w:val="00A65707"/>
    <w:pPr>
      <w:numPr>
        <w:numId w:val="27"/>
      </w:numPr>
      <w:ind w:left="709" w:hanging="709"/>
    </w:pPr>
  </w:style>
  <w:style w:type="character" w:customStyle="1" w:styleId="OutlineNumbered1Char">
    <w:name w:val="Outline Numbered 1 Char"/>
    <w:basedOn w:val="Heading1Char"/>
    <w:link w:val="OutlineNumbered1"/>
    <w:rsid w:val="004154BD"/>
    <w:rPr>
      <w:rFonts w:ascii="Arial" w:eastAsia="Times New Roman" w:hAnsi="Arial" w:cs="Times New Roman"/>
      <w:b w:val="0"/>
      <w:bCs w:val="0"/>
      <w:color w:val="000000"/>
      <w:kern w:val="32"/>
      <w:sz w:val="20"/>
      <w:szCs w:val="20"/>
      <w:lang w:eastAsia="en-AU"/>
    </w:rPr>
  </w:style>
  <w:style w:type="paragraph" w:customStyle="1" w:styleId="OutlineNumbered2">
    <w:name w:val="Outline Numbered 2"/>
    <w:basedOn w:val="Normal"/>
    <w:link w:val="OutlineNumbered2Char"/>
    <w:rsid w:val="00A65707"/>
    <w:pPr>
      <w:numPr>
        <w:ilvl w:val="1"/>
        <w:numId w:val="15"/>
      </w:numPr>
    </w:pPr>
  </w:style>
  <w:style w:type="character" w:customStyle="1" w:styleId="OutlineNumbered2Char">
    <w:name w:val="Outline Numbered 2 Char"/>
    <w:basedOn w:val="Heading1Char"/>
    <w:link w:val="OutlineNumbered2"/>
    <w:rsid w:val="004154BD"/>
    <w:rPr>
      <w:rFonts w:ascii="Arial" w:eastAsia="Times New Roman" w:hAnsi="Arial" w:cs="Times New Roman"/>
      <w:b w:val="0"/>
      <w:bCs w:val="0"/>
      <w:color w:val="000000"/>
      <w:kern w:val="32"/>
      <w:sz w:val="20"/>
      <w:szCs w:val="20"/>
      <w:lang w:eastAsia="en-AU"/>
    </w:rPr>
  </w:style>
  <w:style w:type="paragraph" w:customStyle="1" w:styleId="OutlineNumbered3">
    <w:name w:val="Outline Numbered 3"/>
    <w:basedOn w:val="Normal"/>
    <w:link w:val="OutlineNumbered3Char"/>
    <w:rsid w:val="00A65707"/>
    <w:pPr>
      <w:numPr>
        <w:ilvl w:val="2"/>
        <w:numId w:val="15"/>
      </w:numPr>
    </w:pPr>
  </w:style>
  <w:style w:type="character" w:customStyle="1" w:styleId="OutlineNumbered3Char">
    <w:name w:val="Outline Numbered 3 Char"/>
    <w:link w:val="OutlineNumbered3"/>
    <w:rsid w:val="00A65707"/>
    <w:rPr>
      <w:rFonts w:ascii="Arial" w:eastAsia="Times New Roman" w:hAnsi="Arial" w:cs="Times New Roman"/>
      <w:color w:val="000000"/>
      <w:sz w:val="20"/>
      <w:szCs w:val="20"/>
      <w:lang w:eastAsia="en-AU"/>
    </w:rPr>
  </w:style>
  <w:style w:type="character" w:customStyle="1" w:styleId="Mention1">
    <w:name w:val="Mention1"/>
    <w:basedOn w:val="DefaultParagraphFont"/>
    <w:uiPriority w:val="99"/>
    <w:unhideWhenUsed/>
    <w:rsid w:val="00EC13D3"/>
    <w:rPr>
      <w:color w:val="2B579A"/>
      <w:shd w:val="clear" w:color="auto" w:fill="E1DFDD"/>
    </w:rPr>
  </w:style>
  <w:style w:type="table" w:styleId="TableGrid">
    <w:name w:val="Table Grid"/>
    <w:aliases w:val="Smart Text Table"/>
    <w:basedOn w:val="TableNormal"/>
    <w:uiPriority w:val="59"/>
    <w:rsid w:val="00A65707"/>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character" w:styleId="FollowedHyperlink">
    <w:name w:val="FollowedHyperlink"/>
    <w:basedOn w:val="DefaultParagraphFont"/>
    <w:uiPriority w:val="99"/>
    <w:semiHidden/>
    <w:unhideWhenUsed/>
    <w:rsid w:val="00717712"/>
    <w:rPr>
      <w:color w:val="954F72" w:themeColor="followedHyperlink"/>
      <w:u w:val="single"/>
    </w:rPr>
  </w:style>
  <w:style w:type="character" w:styleId="PlaceholderText">
    <w:name w:val="Placeholder Text"/>
    <w:basedOn w:val="DefaultParagraphFont"/>
    <w:uiPriority w:val="99"/>
    <w:semiHidden/>
    <w:rsid w:val="00A65707"/>
    <w:rPr>
      <w:color w:val="808080"/>
    </w:rPr>
  </w:style>
  <w:style w:type="character" w:styleId="FootnoteReference">
    <w:name w:val="footnote reference"/>
    <w:rsid w:val="00A65707"/>
    <w:rPr>
      <w:vertAlign w:val="superscript"/>
    </w:rPr>
  </w:style>
  <w:style w:type="character" w:styleId="PageNumber">
    <w:name w:val="page number"/>
    <w:rsid w:val="00A65707"/>
  </w:style>
  <w:style w:type="paragraph" w:customStyle="1" w:styleId="Bullet">
    <w:name w:val="Bullet"/>
    <w:basedOn w:val="Normal"/>
    <w:link w:val="BulletChar"/>
    <w:rsid w:val="00E37F73"/>
    <w:pPr>
      <w:numPr>
        <w:numId w:val="12"/>
      </w:numPr>
      <w:tabs>
        <w:tab w:val="clear" w:pos="992"/>
      </w:tabs>
      <w:spacing w:before="120" w:after="120"/>
      <w:ind w:left="284" w:hanging="284"/>
    </w:pPr>
  </w:style>
  <w:style w:type="paragraph" w:customStyle="1" w:styleId="AppendixHeading">
    <w:name w:val="Appendix Heading"/>
    <w:basedOn w:val="Normal"/>
    <w:next w:val="AppendixParagraph"/>
    <w:rsid w:val="00A65707"/>
    <w:pPr>
      <w:keepNext/>
      <w:tabs>
        <w:tab w:val="num" w:pos="0"/>
      </w:tabs>
      <w:spacing w:line="240" w:lineRule="auto"/>
      <w:outlineLvl w:val="0"/>
    </w:pPr>
    <w:rPr>
      <w:rFonts w:ascii="Arial Bold" w:hAnsi="Arial Bold"/>
      <w:b/>
      <w:caps/>
      <w:color w:val="74000E" w:themeColor="accent1"/>
      <w:sz w:val="36"/>
      <w:szCs w:val="36"/>
    </w:rPr>
  </w:style>
  <w:style w:type="paragraph" w:customStyle="1" w:styleId="BoxHeading">
    <w:name w:val="Box Heading"/>
    <w:basedOn w:val="Normal"/>
    <w:next w:val="BoxText"/>
    <w:rsid w:val="00AE1935"/>
    <w:pPr>
      <w:keepNext/>
      <w:spacing w:before="120" w:after="120" w:line="240" w:lineRule="auto"/>
    </w:pPr>
    <w:rPr>
      <w:b/>
      <w:color w:val="74000E" w:themeColor="accent1"/>
      <w:sz w:val="22"/>
    </w:rPr>
  </w:style>
  <w:style w:type="paragraph" w:customStyle="1" w:styleId="ChartGraphic">
    <w:name w:val="Chart Graphic"/>
    <w:basedOn w:val="Normal"/>
    <w:next w:val="Normal"/>
    <w:rsid w:val="00515E14"/>
    <w:pPr>
      <w:spacing w:before="120" w:after="120" w:line="240" w:lineRule="auto"/>
    </w:pPr>
    <w:rPr>
      <w:color w:val="auto"/>
    </w:rPr>
  </w:style>
  <w:style w:type="paragraph" w:customStyle="1" w:styleId="ChartMainHeading">
    <w:name w:val="Chart Main Heading"/>
    <w:basedOn w:val="Normal"/>
    <w:next w:val="ChartGraphic"/>
    <w:rsid w:val="00905C52"/>
    <w:pPr>
      <w:keepNext/>
      <w:spacing w:before="120" w:after="120" w:line="240" w:lineRule="auto"/>
    </w:pPr>
    <w:rPr>
      <w:b/>
      <w:color w:val="74000E" w:themeColor="accent1"/>
      <w:sz w:val="22"/>
    </w:rPr>
  </w:style>
  <w:style w:type="paragraph" w:customStyle="1" w:styleId="ChartSecondHeading">
    <w:name w:val="Chart Second Heading"/>
    <w:basedOn w:val="Normal"/>
    <w:next w:val="ChartGraphic"/>
    <w:rsid w:val="00A65707"/>
    <w:pPr>
      <w:keepNext/>
      <w:spacing w:after="20" w:line="240" w:lineRule="auto"/>
      <w:jc w:val="center"/>
    </w:pPr>
    <w:rPr>
      <w:color w:val="9B0014"/>
    </w:rPr>
  </w:style>
  <w:style w:type="paragraph" w:customStyle="1" w:styleId="Classification">
    <w:name w:val="Classification"/>
    <w:basedOn w:val="Normal"/>
    <w:next w:val="Footer"/>
    <w:rsid w:val="00A65707"/>
    <w:pPr>
      <w:keepNext/>
      <w:spacing w:after="120" w:line="240" w:lineRule="auto"/>
      <w:jc w:val="center"/>
    </w:pPr>
    <w:rPr>
      <w:b/>
      <w:smallCaps/>
      <w:color w:val="9B0014"/>
    </w:rPr>
  </w:style>
  <w:style w:type="paragraph" w:customStyle="1" w:styleId="ContentsHeading">
    <w:name w:val="Contents Heading"/>
    <w:basedOn w:val="Normal"/>
    <w:next w:val="Normal"/>
    <w:rsid w:val="00A65707"/>
    <w:pPr>
      <w:keepNext/>
      <w:spacing w:after="360" w:line="240" w:lineRule="auto"/>
    </w:pPr>
    <w:rPr>
      <w:rFonts w:ascii="Arial Bold" w:hAnsi="Arial Bold"/>
      <w:b/>
      <w:color w:val="000000" w:themeColor="text1"/>
      <w:sz w:val="36"/>
      <w:szCs w:val="36"/>
    </w:rPr>
  </w:style>
  <w:style w:type="paragraph" w:customStyle="1" w:styleId="FooterCentered">
    <w:name w:val="Footer Centered"/>
    <w:basedOn w:val="Footer"/>
    <w:rsid w:val="00A65707"/>
    <w:pPr>
      <w:jc w:val="center"/>
    </w:pPr>
  </w:style>
  <w:style w:type="paragraph" w:customStyle="1" w:styleId="FooterEven">
    <w:name w:val="Footer Even"/>
    <w:basedOn w:val="Footer"/>
    <w:rsid w:val="00A65707"/>
    <w:rPr>
      <w:color w:val="000000" w:themeColor="text1"/>
    </w:rPr>
  </w:style>
  <w:style w:type="paragraph" w:customStyle="1" w:styleId="FooterOdd">
    <w:name w:val="Footer Odd"/>
    <w:basedOn w:val="Footer"/>
    <w:rsid w:val="00A65707"/>
    <w:rPr>
      <w:color w:val="000000" w:themeColor="text1"/>
    </w:rPr>
  </w:style>
  <w:style w:type="paragraph" w:customStyle="1" w:styleId="HeaderEven">
    <w:name w:val="Header Even"/>
    <w:basedOn w:val="Header"/>
    <w:rsid w:val="00A65707"/>
    <w:pPr>
      <w:pBdr>
        <w:bottom w:val="single" w:sz="4" w:space="1" w:color="9B0014"/>
      </w:pBdr>
    </w:pPr>
    <w:rPr>
      <w:spacing w:val="-4"/>
    </w:rPr>
  </w:style>
  <w:style w:type="paragraph" w:customStyle="1" w:styleId="HeaderOdd">
    <w:name w:val="Header Odd"/>
    <w:basedOn w:val="Header"/>
    <w:rsid w:val="00A65707"/>
    <w:pPr>
      <w:pBdr>
        <w:bottom w:val="single" w:sz="4" w:space="1" w:color="9B0014"/>
      </w:pBdr>
    </w:pPr>
    <w:rPr>
      <w:spacing w:val="-4"/>
    </w:rPr>
  </w:style>
  <w:style w:type="paragraph" w:customStyle="1" w:styleId="RecommendationHeading">
    <w:name w:val="Recommendation Heading"/>
    <w:basedOn w:val="Normal"/>
    <w:next w:val="RecommendationText"/>
    <w:rsid w:val="00A65707"/>
    <w:pPr>
      <w:keepNext/>
      <w:spacing w:line="240" w:lineRule="auto"/>
    </w:pPr>
    <w:rPr>
      <w:b/>
      <w:color w:val="9B0014"/>
      <w:sz w:val="22"/>
    </w:rPr>
  </w:style>
  <w:style w:type="paragraph" w:customStyle="1" w:styleId="RecommendationBaseText">
    <w:name w:val="Recommendation Base Text"/>
    <w:basedOn w:val="Normal"/>
    <w:rsid w:val="00A65707"/>
  </w:style>
  <w:style w:type="paragraph" w:customStyle="1" w:styleId="RecommendationText">
    <w:name w:val="Recommendation Text"/>
    <w:basedOn w:val="RecommendationBaseText"/>
    <w:rsid w:val="00A65707"/>
  </w:style>
  <w:style w:type="paragraph" w:customStyle="1" w:styleId="TableTextBase">
    <w:name w:val="Table Text Base"/>
    <w:rsid w:val="00A65707"/>
    <w:pPr>
      <w:spacing w:before="120" w:after="120" w:line="240" w:lineRule="auto"/>
    </w:pPr>
    <w:rPr>
      <w:rFonts w:ascii="Arial" w:eastAsia="Times New Roman" w:hAnsi="Arial" w:cs="Times New Roman"/>
      <w:color w:val="000000"/>
      <w:sz w:val="20"/>
      <w:szCs w:val="20"/>
      <w:lang w:eastAsia="en-AU"/>
    </w:rPr>
  </w:style>
  <w:style w:type="paragraph" w:customStyle="1" w:styleId="TableColumnHeadingCentred">
    <w:name w:val="Table Column Heading Centred"/>
    <w:basedOn w:val="TableTextBase"/>
    <w:rsid w:val="00A65707"/>
    <w:pPr>
      <w:jc w:val="center"/>
    </w:pPr>
    <w:rPr>
      <w:color w:val="FFFFFF" w:themeColor="background1"/>
    </w:rPr>
  </w:style>
  <w:style w:type="paragraph" w:customStyle="1" w:styleId="TableColumnHeadingLeft">
    <w:name w:val="Table Column Heading Left"/>
    <w:basedOn w:val="TableTextBase"/>
    <w:rsid w:val="00A65707"/>
    <w:rPr>
      <w:color w:val="FFFFFF" w:themeColor="background1"/>
    </w:rPr>
  </w:style>
  <w:style w:type="paragraph" w:customStyle="1" w:styleId="TableColumnHeadingRight">
    <w:name w:val="Table Column Heading Right"/>
    <w:basedOn w:val="TableTextBase"/>
    <w:rsid w:val="00A65707"/>
    <w:pPr>
      <w:jc w:val="right"/>
    </w:pPr>
    <w:rPr>
      <w:b/>
    </w:rPr>
  </w:style>
  <w:style w:type="paragraph" w:customStyle="1" w:styleId="TableGraphic">
    <w:name w:val="Table Graphic"/>
    <w:basedOn w:val="Normal"/>
    <w:next w:val="Normal"/>
    <w:rsid w:val="00A65707"/>
    <w:pPr>
      <w:spacing w:after="20" w:line="240" w:lineRule="auto"/>
      <w:ind w:right="-113"/>
    </w:pPr>
    <w:rPr>
      <w:color w:val="9B0014"/>
    </w:rPr>
  </w:style>
  <w:style w:type="paragraph" w:customStyle="1" w:styleId="TableMainHeading">
    <w:name w:val="Table Main Heading"/>
    <w:basedOn w:val="Normal"/>
    <w:next w:val="TableGraphic"/>
    <w:rsid w:val="00A65707"/>
    <w:pPr>
      <w:keepNext/>
      <w:spacing w:before="120" w:after="120" w:line="240" w:lineRule="auto"/>
    </w:pPr>
    <w:rPr>
      <w:b/>
      <w:color w:val="74000E" w:themeColor="accent1"/>
      <w:sz w:val="22"/>
    </w:rPr>
  </w:style>
  <w:style w:type="paragraph" w:customStyle="1" w:styleId="TableMainHeadingContd">
    <w:name w:val="Table Main Heading Contd"/>
    <w:basedOn w:val="Normal"/>
    <w:next w:val="TableGraphic"/>
    <w:rsid w:val="00A65707"/>
    <w:pPr>
      <w:keepNext/>
      <w:spacing w:after="20" w:line="240" w:lineRule="auto"/>
    </w:pPr>
    <w:rPr>
      <w:b/>
      <w:color w:val="9B0014"/>
      <w:sz w:val="22"/>
    </w:rPr>
  </w:style>
  <w:style w:type="paragraph" w:customStyle="1" w:styleId="TableSecondHeading">
    <w:name w:val="Table Second Heading"/>
    <w:basedOn w:val="Normal"/>
    <w:next w:val="TableGraphic"/>
    <w:rsid w:val="00A65707"/>
    <w:pPr>
      <w:keepNext/>
      <w:spacing w:after="20" w:line="240" w:lineRule="auto"/>
    </w:pPr>
    <w:rPr>
      <w:color w:val="9B0014"/>
    </w:rPr>
  </w:style>
  <w:style w:type="paragraph" w:customStyle="1" w:styleId="TableTextCentered">
    <w:name w:val="Table Text Centered"/>
    <w:basedOn w:val="TableTextBase"/>
    <w:rsid w:val="00A65707"/>
    <w:pPr>
      <w:jc w:val="center"/>
    </w:pPr>
  </w:style>
  <w:style w:type="paragraph" w:customStyle="1" w:styleId="TableTextIndented">
    <w:name w:val="Table Text Indented"/>
    <w:basedOn w:val="TableTextBase"/>
    <w:rsid w:val="00A65707"/>
    <w:pPr>
      <w:ind w:left="284"/>
    </w:pPr>
  </w:style>
  <w:style w:type="paragraph" w:customStyle="1" w:styleId="TableTextLeft">
    <w:name w:val="Table Text Left"/>
    <w:basedOn w:val="TableTextBase"/>
    <w:rsid w:val="00A65707"/>
  </w:style>
  <w:style w:type="paragraph" w:customStyle="1" w:styleId="TableTextRight">
    <w:name w:val="Table Text Right"/>
    <w:basedOn w:val="TableTextBase"/>
    <w:rsid w:val="00A65707"/>
    <w:pPr>
      <w:jc w:val="right"/>
    </w:pPr>
  </w:style>
  <w:style w:type="paragraph" w:styleId="TOC4">
    <w:name w:val="toc 4"/>
    <w:basedOn w:val="Normal"/>
    <w:next w:val="Normal"/>
    <w:uiPriority w:val="39"/>
    <w:rsid w:val="00A65707"/>
    <w:pPr>
      <w:tabs>
        <w:tab w:val="right" w:leader="dot" w:pos="7700"/>
      </w:tabs>
      <w:spacing w:after="0" w:line="240" w:lineRule="auto"/>
      <w:ind w:left="284" w:right="851"/>
    </w:pPr>
  </w:style>
  <w:style w:type="paragraph" w:customStyle="1" w:styleId="BoxText">
    <w:name w:val="Box Text"/>
    <w:basedOn w:val="Normal"/>
    <w:rsid w:val="00A860AA"/>
    <w:pPr>
      <w:spacing w:before="120" w:after="120" w:line="240" w:lineRule="auto"/>
    </w:pPr>
  </w:style>
  <w:style w:type="paragraph" w:customStyle="1" w:styleId="BoxDoubleDot">
    <w:name w:val="Box Double Dot"/>
    <w:basedOn w:val="Normal"/>
    <w:rsid w:val="00A65707"/>
    <w:pPr>
      <w:numPr>
        <w:ilvl w:val="2"/>
        <w:numId w:val="13"/>
      </w:numPr>
      <w:spacing w:before="120" w:after="120" w:line="240" w:lineRule="auto"/>
    </w:pPr>
  </w:style>
  <w:style w:type="paragraph" w:customStyle="1" w:styleId="RecommendationBullet">
    <w:name w:val="Recommendation Bullet"/>
    <w:basedOn w:val="RecommendationBaseText"/>
    <w:rsid w:val="00A65707"/>
    <w:pPr>
      <w:numPr>
        <w:numId w:val="14"/>
      </w:numPr>
      <w:tabs>
        <w:tab w:val="clear" w:pos="283"/>
      </w:tabs>
      <w:ind w:left="0" w:firstLine="0"/>
    </w:pPr>
  </w:style>
  <w:style w:type="paragraph" w:customStyle="1" w:styleId="RecommendationDash">
    <w:name w:val="Recommendation Dash"/>
    <w:basedOn w:val="RecommendationBaseText"/>
    <w:rsid w:val="00A65707"/>
    <w:pPr>
      <w:numPr>
        <w:ilvl w:val="1"/>
        <w:numId w:val="14"/>
      </w:numPr>
      <w:tabs>
        <w:tab w:val="clear" w:pos="567"/>
      </w:tabs>
      <w:ind w:left="0" w:firstLine="0"/>
    </w:pPr>
  </w:style>
  <w:style w:type="paragraph" w:customStyle="1" w:styleId="RecommendationDoubleDot">
    <w:name w:val="Recommendation Double Dot"/>
    <w:basedOn w:val="RecommendationBaseText"/>
    <w:rsid w:val="00A65707"/>
    <w:pPr>
      <w:numPr>
        <w:ilvl w:val="2"/>
        <w:numId w:val="14"/>
      </w:numPr>
      <w:tabs>
        <w:tab w:val="clear" w:pos="850"/>
      </w:tabs>
      <w:ind w:left="0" w:firstLine="0"/>
    </w:pPr>
  </w:style>
  <w:style w:type="paragraph" w:customStyle="1" w:styleId="Heading1notnumbered">
    <w:name w:val="Heading 1 not numbered"/>
    <w:basedOn w:val="Normal"/>
    <w:next w:val="Normal"/>
    <w:rsid w:val="00F40387"/>
    <w:pPr>
      <w:keepNext/>
      <w:spacing w:before="0" w:after="360" w:line="240" w:lineRule="auto"/>
      <w:outlineLvl w:val="0"/>
    </w:pPr>
    <w:rPr>
      <w:rFonts w:asciiTheme="majorHAnsi" w:hAnsiTheme="majorHAnsi"/>
      <w:b/>
      <w:color w:val="0E4E77" w:themeColor="accent2"/>
      <w:sz w:val="44"/>
      <w:szCs w:val="36"/>
    </w:rPr>
  </w:style>
  <w:style w:type="paragraph" w:customStyle="1" w:styleId="Heading2notnumbered">
    <w:name w:val="Heading 2 not numbered"/>
    <w:basedOn w:val="Normal"/>
    <w:next w:val="Normal"/>
    <w:rsid w:val="00B5424B"/>
    <w:pPr>
      <w:keepNext/>
      <w:keepLines/>
      <w:tabs>
        <w:tab w:val="left" w:pos="567"/>
      </w:tabs>
      <w:spacing w:before="360" w:line="252" w:lineRule="auto"/>
    </w:pPr>
    <w:rPr>
      <w:rFonts w:asciiTheme="minorHAnsi" w:hAnsiTheme="minorHAnsi"/>
      <w:b/>
      <w:color w:val="74000E" w:themeColor="accent1"/>
      <w:kern w:val="20"/>
      <w:szCs w:val="28"/>
    </w:rPr>
  </w:style>
  <w:style w:type="paragraph" w:customStyle="1" w:styleId="Heading3notnumbered">
    <w:name w:val="Heading 3 not numbered"/>
    <w:basedOn w:val="Normal"/>
    <w:next w:val="Normal"/>
    <w:rsid w:val="00B75CE4"/>
    <w:pPr>
      <w:keepNext/>
      <w:spacing w:before="360" w:line="240" w:lineRule="auto"/>
    </w:pPr>
    <w:rPr>
      <w:rFonts w:asciiTheme="minorHAnsi" w:hAnsiTheme="minorHAnsi"/>
      <w:b/>
      <w:color w:val="A00013" w:themeColor="accent5"/>
      <w:szCs w:val="26"/>
    </w:rPr>
  </w:style>
  <w:style w:type="paragraph" w:customStyle="1" w:styleId="AppendixParagraph">
    <w:name w:val="Appendix Paragraph"/>
    <w:basedOn w:val="Normal"/>
    <w:rsid w:val="00A65707"/>
    <w:pPr>
      <w:tabs>
        <w:tab w:val="num" w:pos="709"/>
      </w:tabs>
    </w:pPr>
    <w:rPr>
      <w:lang w:val="en-US"/>
    </w:rPr>
  </w:style>
  <w:style w:type="numbering" w:customStyle="1" w:styleId="Numbers">
    <w:name w:val="Numbers"/>
    <w:uiPriority w:val="99"/>
    <w:rsid w:val="00A65707"/>
    <w:pPr>
      <w:numPr>
        <w:numId w:val="16"/>
      </w:numPr>
    </w:pPr>
  </w:style>
  <w:style w:type="paragraph" w:customStyle="1" w:styleId="OutlineNumbered37">
    <w:name w:val="Outline Numbered 3.7"/>
    <w:basedOn w:val="OutlineNumbered3"/>
    <w:qFormat/>
    <w:rsid w:val="00A65707"/>
    <w:pPr>
      <w:numPr>
        <w:numId w:val="17"/>
      </w:numPr>
      <w:tabs>
        <w:tab w:val="clear" w:pos="1416"/>
        <w:tab w:val="left" w:pos="709"/>
      </w:tabs>
      <w:ind w:left="0" w:firstLine="0"/>
    </w:pPr>
    <w:rPr>
      <w:color w:val="auto"/>
    </w:rPr>
  </w:style>
  <w:style w:type="paragraph" w:customStyle="1" w:styleId="OutlineNumbered372">
    <w:name w:val="Outline Numbered 3.7.2"/>
    <w:basedOn w:val="OutlineNumbered37"/>
    <w:qFormat/>
    <w:rsid w:val="00A65707"/>
    <w:pPr>
      <w:numPr>
        <w:ilvl w:val="0"/>
        <w:numId w:val="18"/>
      </w:numPr>
      <w:ind w:left="0" w:firstLine="0"/>
    </w:pPr>
  </w:style>
  <w:style w:type="paragraph" w:customStyle="1" w:styleId="OutlineNumbered373">
    <w:name w:val="Outline Numbered 3.7.3"/>
    <w:basedOn w:val="OutlineNumbered372"/>
    <w:qFormat/>
    <w:rsid w:val="00A65707"/>
    <w:pPr>
      <w:numPr>
        <w:numId w:val="19"/>
      </w:numPr>
      <w:ind w:left="0" w:firstLine="0"/>
    </w:pPr>
  </w:style>
  <w:style w:type="paragraph" w:customStyle="1" w:styleId="Heading2Appendix">
    <w:name w:val="Heading 2 (Appendix)"/>
    <w:basedOn w:val="Heading2notnumbered"/>
    <w:qFormat/>
    <w:rsid w:val="004624F8"/>
    <w:pPr>
      <w:outlineLvl w:val="1"/>
    </w:pPr>
    <w:rPr>
      <w:sz w:val="24"/>
    </w:rPr>
  </w:style>
  <w:style w:type="paragraph" w:customStyle="1" w:styleId="OutlineNumbered1Hidden">
    <w:name w:val="Outline Numbered 1 (Hidden)"/>
    <w:basedOn w:val="OutlineNumbered1"/>
    <w:qFormat/>
    <w:rsid w:val="00A65707"/>
    <w:pPr>
      <w:spacing w:after="0" w:line="240" w:lineRule="auto"/>
      <w:ind w:left="471" w:hanging="471"/>
    </w:pPr>
    <w:rPr>
      <w:vanish/>
    </w:rPr>
  </w:style>
  <w:style w:type="paragraph" w:customStyle="1" w:styleId="OutlineNumbered2Hidden">
    <w:name w:val="Outline Numbered 2 (Hidden)"/>
    <w:basedOn w:val="OutlineNumbered2"/>
    <w:qFormat/>
    <w:rsid w:val="00A65707"/>
    <w:rPr>
      <w:vanish/>
    </w:rPr>
  </w:style>
  <w:style w:type="paragraph" w:customStyle="1" w:styleId="Heading3Appendix">
    <w:name w:val="Heading 3 (Appendix)"/>
    <w:basedOn w:val="Heading3notnumbered"/>
    <w:rsid w:val="00CD30E8"/>
    <w:pPr>
      <w:spacing w:before="300"/>
      <w:outlineLvl w:val="2"/>
    </w:pPr>
  </w:style>
  <w:style w:type="paragraph" w:customStyle="1" w:styleId="OutlineNumbered43">
    <w:name w:val="Outline Numbered 4.3"/>
    <w:basedOn w:val="OutlineNumbered3"/>
    <w:rsid w:val="00A65707"/>
    <w:pPr>
      <w:numPr>
        <w:ilvl w:val="0"/>
        <w:numId w:val="20"/>
      </w:numPr>
      <w:tabs>
        <w:tab w:val="left" w:pos="709"/>
      </w:tabs>
      <w:ind w:left="709" w:hanging="709"/>
    </w:pPr>
  </w:style>
  <w:style w:type="paragraph" w:customStyle="1" w:styleId="OutlineNumbered44">
    <w:name w:val="Outline Numbered 4.4"/>
    <w:basedOn w:val="OutlineNumbered43"/>
    <w:rsid w:val="00A65707"/>
    <w:pPr>
      <w:numPr>
        <w:numId w:val="21"/>
      </w:numPr>
      <w:ind w:left="709" w:hanging="709"/>
    </w:pPr>
  </w:style>
  <w:style w:type="paragraph" w:customStyle="1" w:styleId="OutlineNumbered45">
    <w:name w:val="Outline Numbered 4.5"/>
    <w:basedOn w:val="OutlineNumbered44"/>
    <w:rsid w:val="00A65707"/>
    <w:pPr>
      <w:numPr>
        <w:numId w:val="22"/>
      </w:numPr>
      <w:ind w:left="709" w:hanging="709"/>
    </w:pPr>
  </w:style>
  <w:style w:type="paragraph" w:customStyle="1" w:styleId="OutlineNumbered46">
    <w:name w:val="Outline Numbered 4.6"/>
    <w:basedOn w:val="OutlineNumbered45"/>
    <w:rsid w:val="00A65707"/>
    <w:pPr>
      <w:numPr>
        <w:numId w:val="23"/>
      </w:numPr>
      <w:ind w:left="709" w:hanging="709"/>
    </w:pPr>
  </w:style>
  <w:style w:type="character" w:customStyle="1" w:styleId="BulletChar">
    <w:name w:val="Bullet Char"/>
    <w:basedOn w:val="DefaultParagraphFont"/>
    <w:link w:val="Bullet"/>
    <w:rsid w:val="00E37F73"/>
    <w:rPr>
      <w:rFonts w:ascii="Arial" w:eastAsia="Times New Roman" w:hAnsi="Arial" w:cs="Times New Roman"/>
      <w:color w:val="000000"/>
      <w:sz w:val="20"/>
      <w:szCs w:val="20"/>
      <w:lang w:eastAsia="en-AU"/>
    </w:rPr>
  </w:style>
  <w:style w:type="table" w:styleId="LightShading-Accent1">
    <w:name w:val="Light Shading Accent 1"/>
    <w:basedOn w:val="TableNormal"/>
    <w:uiPriority w:val="60"/>
    <w:rsid w:val="00A65707"/>
    <w:pPr>
      <w:spacing w:after="0" w:line="240" w:lineRule="auto"/>
    </w:pPr>
    <w:rPr>
      <w:color w:val="56000A" w:themeColor="accent1" w:themeShade="BF"/>
    </w:rPr>
    <w:tblPr>
      <w:tblStyleRowBandSize w:val="1"/>
      <w:tblStyleColBandSize w:val="1"/>
      <w:tblBorders>
        <w:top w:val="single" w:sz="8" w:space="0" w:color="74000E" w:themeColor="accent1"/>
        <w:bottom w:val="single" w:sz="8" w:space="0" w:color="74000E" w:themeColor="accent1"/>
      </w:tblBorders>
    </w:tblPr>
    <w:tblStylePr w:type="fir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la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DA8" w:themeFill="accent1" w:themeFillTint="3F"/>
      </w:tcPr>
    </w:tblStylePr>
    <w:tblStylePr w:type="band1Horz">
      <w:tblPr/>
      <w:tcPr>
        <w:tcBorders>
          <w:left w:val="nil"/>
          <w:right w:val="nil"/>
          <w:insideH w:val="nil"/>
          <w:insideV w:val="nil"/>
        </w:tcBorders>
        <w:shd w:val="clear" w:color="auto" w:fill="FF9DA8" w:themeFill="accent1" w:themeFillTint="3F"/>
      </w:tcPr>
    </w:tblStylePr>
  </w:style>
  <w:style w:type="table" w:styleId="LightShading">
    <w:name w:val="Light Shading"/>
    <w:basedOn w:val="TableNormal"/>
    <w:uiPriority w:val="60"/>
    <w:rsid w:val="00A6570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CoverPage">
    <w:name w:val="Heading Cover Page"/>
    <w:basedOn w:val="Normal"/>
    <w:next w:val="Normal"/>
    <w:uiPriority w:val="99"/>
    <w:rsid w:val="00F41BF6"/>
    <w:pPr>
      <w:kinsoku w:val="0"/>
      <w:overflowPunct w:val="0"/>
      <w:autoSpaceDE w:val="0"/>
      <w:autoSpaceDN w:val="0"/>
      <w:adjustRightInd w:val="0"/>
      <w:snapToGrid w:val="0"/>
      <w:spacing w:before="960" w:line="240" w:lineRule="auto"/>
      <w:outlineLvl w:val="0"/>
    </w:pPr>
    <w:rPr>
      <w:rFonts w:cs="Arial"/>
      <w:b/>
      <w:bCs/>
      <w:snapToGrid w:val="0"/>
      <w:color w:val="0E4E77" w:themeColor="accent2"/>
      <w:sz w:val="56"/>
      <w:szCs w:val="56"/>
      <w:lang w:eastAsia="en-US"/>
    </w:rPr>
  </w:style>
  <w:style w:type="numbering" w:customStyle="1" w:styleId="Bullets">
    <w:name w:val="Bullets"/>
    <w:uiPriority w:val="99"/>
    <w:rsid w:val="00A65707"/>
    <w:pPr>
      <w:numPr>
        <w:numId w:val="24"/>
      </w:numPr>
    </w:pPr>
  </w:style>
  <w:style w:type="character" w:customStyle="1" w:styleId="TableTextSmallChar">
    <w:name w:val="Table Text Small Char"/>
    <w:basedOn w:val="DefaultParagraphFont"/>
    <w:link w:val="TableTextSmall"/>
    <w:locked/>
    <w:rsid w:val="007E2C15"/>
    <w:rPr>
      <w:rFonts w:cs="Arial"/>
      <w:sz w:val="16"/>
      <w:szCs w:val="18"/>
    </w:rPr>
  </w:style>
  <w:style w:type="paragraph" w:customStyle="1" w:styleId="TableTextSmall">
    <w:name w:val="Table Text Small"/>
    <w:basedOn w:val="Normal"/>
    <w:link w:val="TableTextSmallChar"/>
    <w:rsid w:val="007E2C15"/>
    <w:pPr>
      <w:kinsoku w:val="0"/>
      <w:overflowPunct w:val="0"/>
      <w:autoSpaceDE w:val="0"/>
      <w:autoSpaceDN w:val="0"/>
      <w:adjustRightInd w:val="0"/>
      <w:snapToGrid w:val="0"/>
      <w:spacing w:before="40" w:after="40" w:line="240" w:lineRule="auto"/>
    </w:pPr>
    <w:rPr>
      <w:rFonts w:asciiTheme="minorHAnsi" w:eastAsiaTheme="minorHAnsi" w:hAnsiTheme="minorHAnsi" w:cs="Arial"/>
      <w:color w:val="auto"/>
      <w:sz w:val="16"/>
      <w:szCs w:val="18"/>
      <w:lang w:eastAsia="en-US"/>
    </w:rPr>
  </w:style>
  <w:style w:type="paragraph" w:customStyle="1" w:styleId="TableColumnHeadingSmall">
    <w:name w:val="Table Column Heading Small"/>
    <w:basedOn w:val="TableTextSmall"/>
    <w:next w:val="TableTextSmall"/>
    <w:rsid w:val="00A65707"/>
    <w:pPr>
      <w:keepNext/>
      <w:keepLines/>
    </w:pPr>
    <w:rPr>
      <w:b/>
      <w:color w:val="F2D2D5" w:themeColor="background2"/>
      <w:szCs w:val="16"/>
    </w:rPr>
  </w:style>
  <w:style w:type="paragraph" w:customStyle="1" w:styleId="Heading3ExecutiveSummary">
    <w:name w:val="Heading 3 Executive Summary"/>
    <w:basedOn w:val="Heading3"/>
    <w:uiPriority w:val="99"/>
    <w:qFormat/>
    <w:rsid w:val="00A65707"/>
    <w:pPr>
      <w:kinsoku w:val="0"/>
      <w:overflowPunct w:val="0"/>
      <w:autoSpaceDE w:val="0"/>
      <w:autoSpaceDN w:val="0"/>
      <w:adjustRightInd w:val="0"/>
      <w:snapToGrid w:val="0"/>
      <w:spacing w:after="40" w:line="320" w:lineRule="atLeast"/>
    </w:pPr>
    <w:rPr>
      <w:rFonts w:asciiTheme="minorHAnsi" w:hAnsiTheme="minorHAnsi"/>
      <w:color w:val="E03028"/>
      <w:sz w:val="28"/>
      <w:szCs w:val="20"/>
      <w:lang w:eastAsia="en-US"/>
    </w:rPr>
  </w:style>
  <w:style w:type="table" w:customStyle="1" w:styleId="ListTable3-Accent61">
    <w:name w:val="List Table 3 - Accent 61"/>
    <w:basedOn w:val="TableNormal"/>
    <w:uiPriority w:val="48"/>
    <w:rsid w:val="00A65707"/>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198DD5" w:themeColor="accent6"/>
        <w:left w:val="single" w:sz="4" w:space="0" w:color="198DD5" w:themeColor="accent6"/>
        <w:bottom w:val="single" w:sz="4" w:space="0" w:color="198DD5" w:themeColor="accent6"/>
        <w:right w:val="single" w:sz="4" w:space="0" w:color="198DD5" w:themeColor="accent6"/>
      </w:tblBorders>
    </w:tblPr>
    <w:tblStylePr w:type="firstRow">
      <w:rPr>
        <w:b/>
        <w:bCs/>
        <w:color w:val="FFFFFF" w:themeColor="background1"/>
      </w:rPr>
      <w:tblPr/>
      <w:tcPr>
        <w:shd w:val="clear" w:color="auto" w:fill="198DD5" w:themeFill="accent6"/>
      </w:tcPr>
    </w:tblStylePr>
    <w:tblStylePr w:type="lastRow">
      <w:rPr>
        <w:b/>
        <w:bCs/>
        <w:color w:val="auto"/>
      </w:rPr>
      <w:tblPr/>
      <w:tcPr>
        <w:tcBorders>
          <w:top w:val="double" w:sz="4" w:space="0" w:color="198DD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8DD5" w:themeColor="accent6"/>
          <w:right w:val="single" w:sz="4" w:space="0" w:color="198DD5" w:themeColor="accent6"/>
        </w:tcBorders>
      </w:tcPr>
    </w:tblStylePr>
    <w:tblStylePr w:type="band1Horz">
      <w:tblPr/>
      <w:tcPr>
        <w:tcBorders>
          <w:top w:val="single" w:sz="4" w:space="0" w:color="198DD5" w:themeColor="accent6"/>
          <w:bottom w:val="single" w:sz="4" w:space="0" w:color="198DD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8DD5" w:themeColor="accent6"/>
          <w:left w:val="nil"/>
        </w:tcBorders>
      </w:tcPr>
    </w:tblStylePr>
    <w:tblStylePr w:type="swCell">
      <w:tblPr/>
      <w:tcPr>
        <w:tcBorders>
          <w:top w:val="double" w:sz="4" w:space="0" w:color="198DD5" w:themeColor="accent6"/>
          <w:right w:val="nil"/>
        </w:tcBorders>
      </w:tcPr>
    </w:tblStylePr>
  </w:style>
  <w:style w:type="paragraph" w:customStyle="1" w:styleId="Sources">
    <w:name w:val="Sources"/>
    <w:basedOn w:val="Normal"/>
    <w:next w:val="Normal"/>
    <w:rsid w:val="00A65707"/>
    <w:pPr>
      <w:kinsoku w:val="0"/>
      <w:overflowPunct w:val="0"/>
      <w:autoSpaceDE w:val="0"/>
      <w:autoSpaceDN w:val="0"/>
      <w:adjustRightInd w:val="0"/>
      <w:snapToGrid w:val="0"/>
      <w:spacing w:before="80" w:after="80" w:line="180" w:lineRule="atLeast"/>
    </w:pPr>
    <w:rPr>
      <w:rFonts w:asciiTheme="minorHAnsi" w:hAnsiTheme="minorHAnsi" w:cs="Arial"/>
      <w:color w:val="E0301E"/>
      <w:sz w:val="16"/>
      <w:lang w:eastAsia="en-US"/>
    </w:rPr>
  </w:style>
  <w:style w:type="table" w:customStyle="1" w:styleId="SmartTextTable1">
    <w:name w:val="Smart Text Table1"/>
    <w:basedOn w:val="TableNormal"/>
    <w:next w:val="TableGrid"/>
    <w:uiPriority w:val="59"/>
    <w:rsid w:val="00A65707"/>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ExecutiveSummaryChar">
    <w:name w:val="Heading 2 Executive Summary Char"/>
    <w:basedOn w:val="DefaultParagraphFont"/>
    <w:link w:val="Heading2ExecutiveSummary"/>
    <w:uiPriority w:val="99"/>
    <w:locked/>
    <w:rsid w:val="00A65707"/>
    <w:rPr>
      <w:rFonts w:asciiTheme="majorHAnsi" w:eastAsiaTheme="majorEastAsia" w:hAnsiTheme="majorHAnsi" w:cs="Arial"/>
      <w:bCs/>
      <w:iCs/>
      <w:color w:val="E0301E"/>
      <w:sz w:val="32"/>
      <w:szCs w:val="36"/>
    </w:rPr>
  </w:style>
  <w:style w:type="paragraph" w:customStyle="1" w:styleId="Heading2ExecutiveSummary">
    <w:name w:val="Heading 2 Executive Summary"/>
    <w:basedOn w:val="Heading2"/>
    <w:link w:val="Heading2ExecutiveSummaryChar"/>
    <w:uiPriority w:val="99"/>
    <w:qFormat/>
    <w:rsid w:val="00A65707"/>
    <w:pPr>
      <w:keepLines/>
      <w:numPr>
        <w:numId w:val="25"/>
      </w:numPr>
      <w:tabs>
        <w:tab w:val="clear" w:pos="709"/>
      </w:tabs>
      <w:kinsoku w:val="0"/>
      <w:overflowPunct w:val="0"/>
      <w:autoSpaceDE w:val="0"/>
      <w:autoSpaceDN w:val="0"/>
      <w:adjustRightInd w:val="0"/>
      <w:snapToGrid w:val="0"/>
      <w:spacing w:after="0"/>
    </w:pPr>
    <w:rPr>
      <w:rFonts w:asciiTheme="majorHAnsi" w:eastAsiaTheme="majorEastAsia" w:hAnsiTheme="majorHAnsi"/>
      <w:b w:val="0"/>
      <w:color w:val="E0301E"/>
      <w:sz w:val="32"/>
      <w:szCs w:val="36"/>
      <w:lang w:eastAsia="en-US"/>
    </w:rPr>
  </w:style>
  <w:style w:type="paragraph" w:customStyle="1" w:styleId="TableTextSmalltopic">
    <w:name w:val="Table Text Small topic"/>
    <w:basedOn w:val="TableTextSmall"/>
    <w:uiPriority w:val="99"/>
    <w:qFormat/>
    <w:rsid w:val="00A65707"/>
    <w:rPr>
      <w:b/>
    </w:rPr>
  </w:style>
  <w:style w:type="table" w:customStyle="1" w:styleId="Tables-APBase">
    <w:name w:val="Tables - AP Base"/>
    <w:basedOn w:val="TableNormal"/>
    <w:rsid w:val="00A65707"/>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FFFFFF"/>
        <w:left w:val="single" w:sz="4" w:space="0" w:color="FFFFFF"/>
        <w:bottom w:val="single" w:sz="6" w:space="0" w:color="CEDBE3" w:themeColor="text2"/>
        <w:right w:val="single" w:sz="4" w:space="0" w:color="FFFFFF"/>
        <w:insideH w:val="single" w:sz="6" w:space="0" w:color="CEDBE3" w:themeColor="text2"/>
        <w:insideV w:val="single" w:sz="4" w:space="0" w:color="FFFFFF"/>
      </w:tblBorders>
    </w:tblPr>
    <w:tcPr>
      <w:shd w:val="clear" w:color="auto" w:fill="F2D2D5" w:themeFill="background2"/>
    </w:tcPr>
    <w:tblStylePr w:type="firstRow">
      <w:pPr>
        <w:jc w:val="left"/>
      </w:pPr>
      <w:rPr>
        <w:rFonts w:ascii="Malgun Gothic" w:hAnsi="Malgun Gothic" w:hint="default"/>
        <w:b w:val="0"/>
        <w:color w:val="auto"/>
      </w:rPr>
      <w:tblPr/>
      <w:tcPr>
        <w:shd w:val="clear" w:color="auto" w:fill="CEDBE3" w:themeFill="text2"/>
        <w:vAlign w:val="bottom"/>
      </w:tcPr>
    </w:tblStylePr>
    <w:tblStylePr w:type="lastRow">
      <w:rPr>
        <w:color w:val="auto"/>
      </w:rPr>
      <w:tblPr/>
      <w:tcPr>
        <w:tcBorders>
          <w:top w:val="single" w:sz="4" w:space="0" w:color="CEDBE3" w:themeColor="text2"/>
        </w:tcBorders>
      </w:tcPr>
    </w:tblStylePr>
    <w:tblStylePr w:type="nwCell">
      <w:pPr>
        <w:jc w:val="left"/>
      </w:pPr>
      <w:tblPr/>
      <w:tcPr>
        <w:vAlign w:val="bottom"/>
      </w:tcPr>
    </w:tblStylePr>
  </w:style>
  <w:style w:type="table" w:customStyle="1" w:styleId="SmartTextTable2">
    <w:name w:val="Smart Text Table2"/>
    <w:basedOn w:val="TableNormal"/>
    <w:next w:val="TableGrid"/>
    <w:uiPriority w:val="59"/>
    <w:rsid w:val="00A65707"/>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A6570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198DD5" w:themeColor="accent6"/>
        <w:left w:val="single" w:sz="8" w:space="0" w:color="198DD5" w:themeColor="accent6"/>
        <w:bottom w:val="single" w:sz="8" w:space="0" w:color="198DD5" w:themeColor="accent6"/>
        <w:right w:val="single" w:sz="8" w:space="0" w:color="198DD5" w:themeColor="accent6"/>
      </w:tblBorders>
    </w:tblPr>
    <w:tblStylePr w:type="firstRow">
      <w:pPr>
        <w:spacing w:before="0" w:after="0" w:line="240" w:lineRule="auto"/>
      </w:pPr>
      <w:rPr>
        <w:b/>
        <w:bCs/>
        <w:color w:val="FFFFFF" w:themeColor="background1"/>
      </w:rPr>
      <w:tblPr/>
      <w:tcPr>
        <w:shd w:val="clear" w:color="auto" w:fill="198DD5" w:themeFill="accent6"/>
      </w:tcPr>
    </w:tblStylePr>
    <w:tblStylePr w:type="lastRow">
      <w:pPr>
        <w:spacing w:before="0" w:after="0" w:line="240" w:lineRule="auto"/>
      </w:pPr>
      <w:rPr>
        <w:b/>
        <w:bCs/>
      </w:rPr>
      <w:tblPr/>
      <w:tcPr>
        <w:tcBorders>
          <w:top w:val="double" w:sz="6" w:space="0" w:color="198DD5" w:themeColor="accent6"/>
          <w:left w:val="single" w:sz="8" w:space="0" w:color="198DD5" w:themeColor="accent6"/>
          <w:bottom w:val="single" w:sz="8" w:space="0" w:color="198DD5" w:themeColor="accent6"/>
          <w:right w:val="single" w:sz="8" w:space="0" w:color="198DD5" w:themeColor="accent6"/>
        </w:tcBorders>
      </w:tcPr>
    </w:tblStylePr>
    <w:tblStylePr w:type="firstCol">
      <w:rPr>
        <w:b/>
        <w:bCs/>
      </w:rPr>
    </w:tblStylePr>
    <w:tblStylePr w:type="lastCol">
      <w:rPr>
        <w:b/>
        <w:bCs/>
      </w:rPr>
    </w:tblStylePr>
    <w:tblStylePr w:type="band1Vert">
      <w:tblPr/>
      <w:tcPr>
        <w:tcBorders>
          <w:top w:val="single" w:sz="8" w:space="0" w:color="198DD5" w:themeColor="accent6"/>
          <w:left w:val="single" w:sz="8" w:space="0" w:color="198DD5" w:themeColor="accent6"/>
          <w:bottom w:val="single" w:sz="8" w:space="0" w:color="198DD5" w:themeColor="accent6"/>
          <w:right w:val="single" w:sz="8" w:space="0" w:color="198DD5" w:themeColor="accent6"/>
        </w:tcBorders>
      </w:tcPr>
    </w:tblStylePr>
    <w:tblStylePr w:type="band1Horz">
      <w:tblPr/>
      <w:tcPr>
        <w:tcBorders>
          <w:top w:val="single" w:sz="8" w:space="0" w:color="198DD5" w:themeColor="accent6"/>
          <w:left w:val="single" w:sz="8" w:space="0" w:color="198DD5" w:themeColor="accent6"/>
          <w:bottom w:val="single" w:sz="8" w:space="0" w:color="198DD5" w:themeColor="accent6"/>
          <w:right w:val="single" w:sz="8" w:space="0" w:color="198DD5" w:themeColor="accent6"/>
        </w:tcBorders>
      </w:tcPr>
    </w:tblStylePr>
  </w:style>
  <w:style w:type="numbering" w:customStyle="1" w:styleId="NormalWhiteBullet">
    <w:name w:val="Normal White Bullet"/>
    <w:uiPriority w:val="99"/>
    <w:rsid w:val="00A65707"/>
    <w:pPr>
      <w:numPr>
        <w:numId w:val="26"/>
      </w:numPr>
    </w:pPr>
  </w:style>
  <w:style w:type="paragraph" w:customStyle="1" w:styleId="TableTextNormalWhiteBullet">
    <w:name w:val="Table Text Normal White Bullet"/>
    <w:basedOn w:val="Normal"/>
    <w:uiPriority w:val="99"/>
    <w:qFormat/>
    <w:rsid w:val="00A65707"/>
    <w:pPr>
      <w:numPr>
        <w:numId w:val="26"/>
      </w:numPr>
      <w:kinsoku w:val="0"/>
      <w:overflowPunct w:val="0"/>
      <w:autoSpaceDE w:val="0"/>
      <w:autoSpaceDN w:val="0"/>
      <w:adjustRightInd w:val="0"/>
      <w:snapToGrid w:val="0"/>
      <w:spacing w:before="40" w:after="40" w:line="240" w:lineRule="auto"/>
    </w:pPr>
    <w:rPr>
      <w:rFonts w:asciiTheme="minorHAnsi" w:hAnsiTheme="minorHAnsi" w:cs="Arial"/>
      <w:snapToGrid w:val="0"/>
      <w:color w:val="FFFFFF" w:themeColor="background1"/>
      <w:lang w:eastAsia="en-US"/>
    </w:rPr>
  </w:style>
  <w:style w:type="paragraph" w:styleId="ListContinue">
    <w:name w:val="List Continue"/>
    <w:basedOn w:val="Normal"/>
    <w:semiHidden/>
    <w:rsid w:val="00A65707"/>
    <w:pPr>
      <w:kinsoku w:val="0"/>
      <w:overflowPunct w:val="0"/>
      <w:autoSpaceDE w:val="0"/>
      <w:autoSpaceDN w:val="0"/>
      <w:adjustRightInd w:val="0"/>
      <w:snapToGrid w:val="0"/>
      <w:spacing w:after="120" w:line="240" w:lineRule="auto"/>
      <w:ind w:left="283"/>
      <w:contextualSpacing/>
    </w:pPr>
    <w:rPr>
      <w:rFonts w:asciiTheme="minorHAnsi" w:hAnsiTheme="minorHAnsi" w:cs="Arial"/>
      <w:snapToGrid w:val="0"/>
      <w:color w:val="404040" w:themeColor="text1" w:themeTint="BF"/>
      <w:lang w:eastAsia="en-US"/>
    </w:rPr>
  </w:style>
  <w:style w:type="table" w:customStyle="1" w:styleId="SmartTextTable3">
    <w:name w:val="Smart Text Table3"/>
    <w:basedOn w:val="TableNormal"/>
    <w:next w:val="TableGrid"/>
    <w:uiPriority w:val="59"/>
    <w:rsid w:val="00A65707"/>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4">
    <w:name w:val="Smart Text Table4"/>
    <w:basedOn w:val="TableNormal"/>
    <w:next w:val="TableGrid"/>
    <w:uiPriority w:val="59"/>
    <w:rsid w:val="00A65707"/>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5">
    <w:name w:val="Smart Text Table5"/>
    <w:basedOn w:val="TableNormal"/>
    <w:next w:val="TableGrid"/>
    <w:uiPriority w:val="59"/>
    <w:rsid w:val="00A65707"/>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6">
    <w:name w:val="Smart Text Table6"/>
    <w:basedOn w:val="TableNormal"/>
    <w:next w:val="TableGrid"/>
    <w:uiPriority w:val="59"/>
    <w:rsid w:val="00A65707"/>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7">
    <w:name w:val="Smart Text Table7"/>
    <w:basedOn w:val="TableNormal"/>
    <w:next w:val="TableGrid"/>
    <w:uiPriority w:val="59"/>
    <w:rsid w:val="00A65707"/>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A65707"/>
    <w:pPr>
      <w:spacing w:after="0" w:line="240" w:lineRule="auto"/>
    </w:pPr>
    <w:tblPr>
      <w:tblStyleRowBandSize w:val="1"/>
      <w:tblStyleColBandSize w:val="1"/>
      <w:tblBorders>
        <w:top w:val="single" w:sz="4" w:space="0" w:color="0E4E77" w:themeColor="accent2"/>
        <w:left w:val="single" w:sz="4" w:space="0" w:color="0E4E77" w:themeColor="accent2"/>
        <w:bottom w:val="single" w:sz="4" w:space="0" w:color="0E4E77" w:themeColor="accent2"/>
        <w:right w:val="single" w:sz="4" w:space="0" w:color="0E4E77" w:themeColor="accent2"/>
      </w:tblBorders>
    </w:tblPr>
    <w:tblStylePr w:type="firstRow">
      <w:rPr>
        <w:b/>
        <w:bCs/>
        <w:color w:val="FFFFFF" w:themeColor="background1"/>
      </w:rPr>
      <w:tblPr/>
      <w:tcPr>
        <w:shd w:val="clear" w:color="auto" w:fill="0E4E77" w:themeFill="accent2"/>
      </w:tcPr>
    </w:tblStylePr>
    <w:tblStylePr w:type="lastRow">
      <w:rPr>
        <w:b/>
        <w:bCs/>
      </w:rPr>
      <w:tblPr/>
      <w:tcPr>
        <w:tcBorders>
          <w:top w:val="double" w:sz="4" w:space="0" w:color="0E4E7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4E77" w:themeColor="accent2"/>
          <w:right w:val="single" w:sz="4" w:space="0" w:color="0E4E77" w:themeColor="accent2"/>
        </w:tcBorders>
      </w:tcPr>
    </w:tblStylePr>
    <w:tblStylePr w:type="band1Horz">
      <w:tblPr/>
      <w:tcPr>
        <w:tcBorders>
          <w:top w:val="single" w:sz="4" w:space="0" w:color="0E4E77" w:themeColor="accent2"/>
          <w:bottom w:val="single" w:sz="4" w:space="0" w:color="0E4E7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4E77" w:themeColor="accent2"/>
          <w:left w:val="nil"/>
        </w:tcBorders>
      </w:tcPr>
    </w:tblStylePr>
    <w:tblStylePr w:type="swCell">
      <w:tblPr/>
      <w:tcPr>
        <w:tcBorders>
          <w:top w:val="double" w:sz="4" w:space="0" w:color="0E4E77" w:themeColor="accent2"/>
          <w:right w:val="nil"/>
        </w:tcBorders>
      </w:tcPr>
    </w:tblStylePr>
  </w:style>
  <w:style w:type="table" w:styleId="ListTable3-Accent1">
    <w:name w:val="List Table 3 Accent 1"/>
    <w:basedOn w:val="TableNormal"/>
    <w:uiPriority w:val="48"/>
    <w:rsid w:val="00A65707"/>
    <w:pPr>
      <w:spacing w:after="0" w:line="240" w:lineRule="auto"/>
    </w:pPr>
    <w:tblPr>
      <w:tblStyleRowBandSize w:val="1"/>
      <w:tblStyleColBandSize w:val="1"/>
      <w:tblBorders>
        <w:top w:val="single" w:sz="4" w:space="0" w:color="74000E" w:themeColor="accent1"/>
        <w:left w:val="single" w:sz="4" w:space="0" w:color="74000E" w:themeColor="accent1"/>
        <w:bottom w:val="single" w:sz="4" w:space="0" w:color="74000E" w:themeColor="accent1"/>
        <w:right w:val="single" w:sz="4" w:space="0" w:color="74000E" w:themeColor="accent1"/>
      </w:tblBorders>
    </w:tblPr>
    <w:tblStylePr w:type="firstRow">
      <w:rPr>
        <w:b/>
        <w:bCs/>
        <w:color w:val="FFFFFF" w:themeColor="background1"/>
      </w:rPr>
      <w:tblPr/>
      <w:trPr>
        <w:tblHeader/>
      </w:trPr>
      <w:tcPr>
        <w:shd w:val="clear" w:color="auto" w:fill="74000E" w:themeFill="accent1"/>
      </w:tcPr>
    </w:tblStylePr>
    <w:tblStylePr w:type="lastRow">
      <w:rPr>
        <w:b/>
        <w:bCs/>
      </w:rPr>
      <w:tblPr/>
      <w:tcPr>
        <w:tcBorders>
          <w:top w:val="double" w:sz="4" w:space="0" w:color="74000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000E" w:themeColor="accent1"/>
          <w:right w:val="single" w:sz="4" w:space="0" w:color="74000E" w:themeColor="accent1"/>
        </w:tcBorders>
      </w:tcPr>
    </w:tblStylePr>
    <w:tblStylePr w:type="band1Horz">
      <w:tblPr/>
      <w:tcPr>
        <w:tcBorders>
          <w:top w:val="single" w:sz="4" w:space="0" w:color="74000E" w:themeColor="accent1"/>
          <w:bottom w:val="single" w:sz="4" w:space="0" w:color="74000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000E" w:themeColor="accent1"/>
          <w:left w:val="nil"/>
        </w:tcBorders>
      </w:tcPr>
    </w:tblStylePr>
    <w:tblStylePr w:type="swCell">
      <w:tblPr/>
      <w:tcPr>
        <w:tcBorders>
          <w:top w:val="double" w:sz="4" w:space="0" w:color="74000E" w:themeColor="accent1"/>
          <w:right w:val="nil"/>
        </w:tcBorders>
      </w:tcPr>
    </w:tblStylePr>
  </w:style>
  <w:style w:type="paragraph" w:customStyle="1" w:styleId="Subheadingcoverpage">
    <w:name w:val="Sub heading cover page"/>
    <w:basedOn w:val="HeadingCoverPage"/>
    <w:qFormat/>
    <w:rsid w:val="00F41BF6"/>
    <w:pPr>
      <w:spacing w:before="120"/>
      <w:outlineLvl w:val="9"/>
    </w:pPr>
    <w:rPr>
      <w:b w:val="0"/>
      <w:color w:val="74000E" w:themeColor="accent1"/>
      <w:sz w:val="48"/>
    </w:rPr>
  </w:style>
  <w:style w:type="paragraph" w:customStyle="1" w:styleId="Glossaryterm">
    <w:name w:val="Glossary term"/>
    <w:basedOn w:val="Normal"/>
    <w:qFormat/>
    <w:rsid w:val="00A65707"/>
    <w:pPr>
      <w:spacing w:after="0"/>
    </w:pPr>
    <w:rPr>
      <w:color w:val="74000E" w:themeColor="accent1"/>
    </w:rPr>
  </w:style>
  <w:style w:type="paragraph" w:styleId="TableofFigures">
    <w:name w:val="table of figures"/>
    <w:basedOn w:val="Normal"/>
    <w:next w:val="Normal"/>
    <w:uiPriority w:val="99"/>
    <w:unhideWhenUsed/>
    <w:rsid w:val="00A65707"/>
    <w:pPr>
      <w:tabs>
        <w:tab w:val="right" w:leader="dot" w:pos="8789"/>
      </w:tabs>
      <w:spacing w:after="0"/>
    </w:pPr>
  </w:style>
  <w:style w:type="table" w:styleId="ListTable3-Accent5">
    <w:name w:val="List Table 3 Accent 5"/>
    <w:basedOn w:val="TableNormal"/>
    <w:uiPriority w:val="48"/>
    <w:rsid w:val="00A65707"/>
    <w:pPr>
      <w:spacing w:after="0" w:line="240" w:lineRule="auto"/>
    </w:pPr>
    <w:tblPr>
      <w:tblStyleRowBandSize w:val="1"/>
      <w:tblStyleColBandSize w:val="1"/>
      <w:tblBorders>
        <w:top w:val="single" w:sz="4" w:space="0" w:color="A00013" w:themeColor="accent5"/>
        <w:left w:val="single" w:sz="4" w:space="0" w:color="A00013" w:themeColor="accent5"/>
        <w:bottom w:val="single" w:sz="4" w:space="0" w:color="A00013" w:themeColor="accent5"/>
        <w:right w:val="single" w:sz="4" w:space="0" w:color="A00013" w:themeColor="accent5"/>
      </w:tblBorders>
    </w:tblPr>
    <w:tblStylePr w:type="firstRow">
      <w:rPr>
        <w:b/>
        <w:bCs/>
        <w:color w:val="FFFFFF" w:themeColor="background1"/>
      </w:rPr>
      <w:tblPr/>
      <w:tcPr>
        <w:shd w:val="clear" w:color="auto" w:fill="A00013" w:themeFill="accent5"/>
      </w:tcPr>
    </w:tblStylePr>
    <w:tblStylePr w:type="lastRow">
      <w:rPr>
        <w:b/>
        <w:bCs/>
      </w:rPr>
      <w:tblPr/>
      <w:tcPr>
        <w:tcBorders>
          <w:top w:val="double" w:sz="4" w:space="0" w:color="A0001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0013" w:themeColor="accent5"/>
          <w:right w:val="single" w:sz="4" w:space="0" w:color="A00013" w:themeColor="accent5"/>
        </w:tcBorders>
      </w:tcPr>
    </w:tblStylePr>
    <w:tblStylePr w:type="band1Horz">
      <w:tblPr/>
      <w:tcPr>
        <w:tcBorders>
          <w:top w:val="single" w:sz="4" w:space="0" w:color="A00013" w:themeColor="accent5"/>
          <w:bottom w:val="single" w:sz="4" w:space="0" w:color="A0001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0013" w:themeColor="accent5"/>
          <w:left w:val="nil"/>
        </w:tcBorders>
      </w:tcPr>
    </w:tblStylePr>
    <w:tblStylePr w:type="swCell">
      <w:tblPr/>
      <w:tcPr>
        <w:tcBorders>
          <w:top w:val="double" w:sz="4" w:space="0" w:color="A00013" w:themeColor="accent5"/>
          <w:right w:val="nil"/>
        </w:tcBorders>
      </w:tcPr>
    </w:tblStylePr>
  </w:style>
  <w:style w:type="paragraph" w:styleId="NormalIndent">
    <w:name w:val="Normal Indent"/>
    <w:basedOn w:val="Normal"/>
    <w:rsid w:val="00E37F73"/>
    <w:pPr>
      <w:ind w:left="567"/>
    </w:pPr>
  </w:style>
  <w:style w:type="paragraph" w:customStyle="1" w:styleId="FigureMainHeading">
    <w:name w:val="Figure Main Heading"/>
    <w:basedOn w:val="ChartMainHeading"/>
    <w:next w:val="ChartGraphic"/>
    <w:qFormat/>
    <w:rsid w:val="00416BC2"/>
    <w:pPr>
      <w:ind w:left="1134" w:hanging="1134"/>
      <w:outlineLvl w:val="1"/>
    </w:pPr>
    <w:rPr>
      <w:rFonts w:cs="Arial"/>
      <w:color w:val="0E4E77" w:themeColor="accent2"/>
      <w:sz w:val="20"/>
    </w:rPr>
  </w:style>
  <w:style w:type="paragraph" w:customStyle="1" w:styleId="Note">
    <w:name w:val="Note"/>
    <w:basedOn w:val="Normal"/>
    <w:qFormat/>
    <w:rsid w:val="00905C52"/>
    <w:pPr>
      <w:spacing w:before="120"/>
    </w:pPr>
    <w:rPr>
      <w:sz w:val="16"/>
      <w:szCs w:val="16"/>
    </w:rPr>
  </w:style>
  <w:style w:type="paragraph" w:styleId="TOC5">
    <w:name w:val="toc 5"/>
    <w:basedOn w:val="Normal"/>
    <w:next w:val="Normal"/>
    <w:autoRedefine/>
    <w:uiPriority w:val="39"/>
    <w:unhideWhenUsed/>
    <w:rsid w:val="00F3364B"/>
    <w:pPr>
      <w:spacing w:before="0" w:after="100" w:line="259" w:lineRule="auto"/>
      <w:ind w:left="880"/>
    </w:pPr>
    <w:rPr>
      <w:rFonts w:asciiTheme="minorHAnsi" w:eastAsiaTheme="minorEastAsia" w:hAnsiTheme="minorHAnsi" w:cstheme="minorBidi"/>
      <w:color w:val="auto"/>
      <w:kern w:val="2"/>
      <w:sz w:val="22"/>
      <w:szCs w:val="22"/>
      <w14:ligatures w14:val="standardContextual"/>
    </w:rPr>
  </w:style>
  <w:style w:type="paragraph" w:styleId="TOC6">
    <w:name w:val="toc 6"/>
    <w:basedOn w:val="Normal"/>
    <w:next w:val="Normal"/>
    <w:autoRedefine/>
    <w:uiPriority w:val="39"/>
    <w:unhideWhenUsed/>
    <w:rsid w:val="00F3364B"/>
    <w:pPr>
      <w:spacing w:before="0" w:after="100" w:line="259" w:lineRule="auto"/>
      <w:ind w:left="1100"/>
    </w:pPr>
    <w:rPr>
      <w:rFonts w:asciiTheme="minorHAnsi" w:eastAsiaTheme="minorEastAsia" w:hAnsiTheme="minorHAnsi" w:cstheme="minorBidi"/>
      <w:color w:val="auto"/>
      <w:kern w:val="2"/>
      <w:sz w:val="22"/>
      <w:szCs w:val="22"/>
      <w14:ligatures w14:val="standardContextual"/>
    </w:rPr>
  </w:style>
  <w:style w:type="paragraph" w:styleId="TOC7">
    <w:name w:val="toc 7"/>
    <w:basedOn w:val="Normal"/>
    <w:next w:val="Normal"/>
    <w:autoRedefine/>
    <w:uiPriority w:val="39"/>
    <w:unhideWhenUsed/>
    <w:rsid w:val="00F3364B"/>
    <w:pPr>
      <w:spacing w:before="0" w:after="100" w:line="259" w:lineRule="auto"/>
      <w:ind w:left="1320"/>
    </w:pPr>
    <w:rPr>
      <w:rFonts w:asciiTheme="minorHAnsi" w:eastAsiaTheme="minorEastAsia" w:hAnsiTheme="minorHAnsi" w:cstheme="minorBidi"/>
      <w:color w:val="auto"/>
      <w:kern w:val="2"/>
      <w:sz w:val="22"/>
      <w:szCs w:val="22"/>
      <w14:ligatures w14:val="standardContextual"/>
    </w:rPr>
  </w:style>
  <w:style w:type="paragraph" w:styleId="TOC8">
    <w:name w:val="toc 8"/>
    <w:basedOn w:val="Normal"/>
    <w:next w:val="Normal"/>
    <w:autoRedefine/>
    <w:uiPriority w:val="39"/>
    <w:unhideWhenUsed/>
    <w:rsid w:val="00F3364B"/>
    <w:pPr>
      <w:spacing w:before="0" w:after="100" w:line="259" w:lineRule="auto"/>
      <w:ind w:left="1540"/>
    </w:pPr>
    <w:rPr>
      <w:rFonts w:asciiTheme="minorHAnsi" w:eastAsiaTheme="minorEastAsia" w:hAnsiTheme="minorHAnsi" w:cstheme="minorBidi"/>
      <w:color w:val="auto"/>
      <w:kern w:val="2"/>
      <w:sz w:val="22"/>
      <w:szCs w:val="22"/>
      <w14:ligatures w14:val="standardContextual"/>
    </w:rPr>
  </w:style>
  <w:style w:type="paragraph" w:styleId="TOC9">
    <w:name w:val="toc 9"/>
    <w:basedOn w:val="Normal"/>
    <w:next w:val="Normal"/>
    <w:autoRedefine/>
    <w:uiPriority w:val="39"/>
    <w:unhideWhenUsed/>
    <w:rsid w:val="00F3364B"/>
    <w:pPr>
      <w:spacing w:before="0" w:after="100" w:line="259" w:lineRule="auto"/>
      <w:ind w:left="1760"/>
    </w:pPr>
    <w:rPr>
      <w:rFonts w:asciiTheme="minorHAnsi" w:eastAsiaTheme="minorEastAsia" w:hAnsiTheme="minorHAnsi" w:cstheme="minorBidi"/>
      <w:color w:val="auto"/>
      <w:kern w:val="2"/>
      <w:sz w:val="22"/>
      <w:szCs w:val="22"/>
      <w14:ligatures w14:val="standardContextual"/>
    </w:rPr>
  </w:style>
  <w:style w:type="character" w:customStyle="1" w:styleId="UnresolvedMention1">
    <w:name w:val="Unresolved Mention1"/>
    <w:basedOn w:val="DefaultParagraphFont"/>
    <w:uiPriority w:val="99"/>
    <w:semiHidden/>
    <w:unhideWhenUsed/>
    <w:rsid w:val="00F3364B"/>
    <w:rPr>
      <w:color w:val="605E5C"/>
      <w:shd w:val="clear" w:color="auto" w:fill="E1DFDD"/>
    </w:rPr>
  </w:style>
  <w:style w:type="character" w:customStyle="1" w:styleId="ui-provider">
    <w:name w:val="ui-provider"/>
    <w:basedOn w:val="DefaultParagraphFont"/>
    <w:rsid w:val="008D5B1F"/>
  </w:style>
  <w:style w:type="character" w:customStyle="1" w:styleId="Mention2">
    <w:name w:val="Mention2"/>
    <w:basedOn w:val="DefaultParagraphFont"/>
    <w:uiPriority w:val="99"/>
    <w:unhideWhenUsed/>
    <w:rsid w:val="003C650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92608">
      <w:bodyDiv w:val="1"/>
      <w:marLeft w:val="0"/>
      <w:marRight w:val="0"/>
      <w:marTop w:val="0"/>
      <w:marBottom w:val="0"/>
      <w:divBdr>
        <w:top w:val="none" w:sz="0" w:space="0" w:color="auto"/>
        <w:left w:val="none" w:sz="0" w:space="0" w:color="auto"/>
        <w:bottom w:val="none" w:sz="0" w:space="0" w:color="auto"/>
        <w:right w:val="none" w:sz="0" w:space="0" w:color="auto"/>
      </w:divBdr>
    </w:div>
    <w:div w:id="573514746">
      <w:bodyDiv w:val="1"/>
      <w:marLeft w:val="0"/>
      <w:marRight w:val="0"/>
      <w:marTop w:val="0"/>
      <w:marBottom w:val="0"/>
      <w:divBdr>
        <w:top w:val="none" w:sz="0" w:space="0" w:color="auto"/>
        <w:left w:val="none" w:sz="0" w:space="0" w:color="auto"/>
        <w:bottom w:val="none" w:sz="0" w:space="0" w:color="auto"/>
        <w:right w:val="none" w:sz="0" w:space="0" w:color="auto"/>
      </w:divBdr>
    </w:div>
    <w:div w:id="1337810146">
      <w:bodyDiv w:val="1"/>
      <w:marLeft w:val="0"/>
      <w:marRight w:val="0"/>
      <w:marTop w:val="0"/>
      <w:marBottom w:val="0"/>
      <w:divBdr>
        <w:top w:val="none" w:sz="0" w:space="0" w:color="auto"/>
        <w:left w:val="none" w:sz="0" w:space="0" w:color="auto"/>
        <w:bottom w:val="none" w:sz="0" w:space="0" w:color="auto"/>
        <w:right w:val="none" w:sz="0" w:space="0" w:color="auto"/>
      </w:divBdr>
    </w:div>
    <w:div w:id="1401370738">
      <w:bodyDiv w:val="1"/>
      <w:marLeft w:val="0"/>
      <w:marRight w:val="0"/>
      <w:marTop w:val="0"/>
      <w:marBottom w:val="0"/>
      <w:divBdr>
        <w:top w:val="none" w:sz="0" w:space="0" w:color="auto"/>
        <w:left w:val="none" w:sz="0" w:space="0" w:color="auto"/>
        <w:bottom w:val="none" w:sz="0" w:space="0" w:color="auto"/>
        <w:right w:val="none" w:sz="0" w:space="0" w:color="auto"/>
      </w:divBdr>
    </w:div>
    <w:div w:id="1883445195">
      <w:bodyDiv w:val="1"/>
      <w:marLeft w:val="0"/>
      <w:marRight w:val="0"/>
      <w:marTop w:val="0"/>
      <w:marBottom w:val="0"/>
      <w:divBdr>
        <w:top w:val="none" w:sz="0" w:space="0" w:color="auto"/>
        <w:left w:val="none" w:sz="0" w:space="0" w:color="auto"/>
        <w:bottom w:val="none" w:sz="0" w:space="0" w:color="auto"/>
        <w:right w:val="none" w:sz="0" w:space="0" w:color="auto"/>
      </w:divBdr>
    </w:div>
    <w:div w:id="191543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footer" Target="footer1.xml"/><Relationship Id="rId34" Type="http://schemas.openxmlformats.org/officeDocument/2006/relationships/chart" Target="charts/chart8.xml"/><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chart" Target="charts/chart22.xml"/><Relationship Id="rId55" Type="http://schemas.openxmlformats.org/officeDocument/2006/relationships/footer" Target="footer6.xml"/><Relationship Id="rId63" Type="http://schemas.openxmlformats.org/officeDocument/2006/relationships/footer" Target="footer7.xml"/><Relationship Id="rId68" Type="http://schemas.openxmlformats.org/officeDocument/2006/relationships/chart" Target="charts/chart38.xml"/><Relationship Id="rId76" Type="http://schemas.openxmlformats.org/officeDocument/2006/relationships/chart" Target="charts/chart45.xml"/><Relationship Id="rId84" Type="http://schemas.openxmlformats.org/officeDocument/2006/relationships/chart" Target="charts/chart52.xml"/><Relationship Id="rId89" Type="http://schemas.openxmlformats.org/officeDocument/2006/relationships/chart" Target="charts/chart56.xml"/><Relationship Id="rId97" Type="http://schemas.openxmlformats.org/officeDocument/2006/relationships/hyperlink" Target="https://data.gov.au/data/dataset/dss-payment-demographic-data" TargetMode="External"/><Relationship Id="rId7" Type="http://schemas.openxmlformats.org/officeDocument/2006/relationships/settings" Target="settings.xml"/><Relationship Id="rId71" Type="http://schemas.openxmlformats.org/officeDocument/2006/relationships/footer" Target="footer8.xml"/><Relationship Id="rId92" Type="http://schemas.openxmlformats.org/officeDocument/2006/relationships/chart" Target="charts/chart59.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9" Type="http://schemas.openxmlformats.org/officeDocument/2006/relationships/chart" Target="charts/chart4.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chart" Target="charts/chart6.xml"/><Relationship Id="rId37" Type="http://schemas.openxmlformats.org/officeDocument/2006/relationships/footer" Target="footer4.xm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chart" Target="charts/chart25.xml"/><Relationship Id="rId58" Type="http://schemas.openxmlformats.org/officeDocument/2006/relationships/chart" Target="charts/chart29.xml"/><Relationship Id="rId66" Type="http://schemas.openxmlformats.org/officeDocument/2006/relationships/chart" Target="charts/chart36.xml"/><Relationship Id="rId74" Type="http://schemas.openxmlformats.org/officeDocument/2006/relationships/chart" Target="charts/chart43.xml"/><Relationship Id="rId79" Type="http://schemas.openxmlformats.org/officeDocument/2006/relationships/chart" Target="charts/chart48.xml"/><Relationship Id="rId87" Type="http://schemas.openxmlformats.org/officeDocument/2006/relationships/chart" Target="charts/chart55.xml"/><Relationship Id="rId102"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chart" Target="charts/chart32.xml"/><Relationship Id="rId82" Type="http://schemas.openxmlformats.org/officeDocument/2006/relationships/chart" Target="charts/chart50.xml"/><Relationship Id="rId90" Type="http://schemas.openxmlformats.org/officeDocument/2006/relationships/chart" Target="charts/chart57.xml"/><Relationship Id="rId95" Type="http://schemas.openxmlformats.org/officeDocument/2006/relationships/footer" Target="footer11.xml"/><Relationship Id="rId19" Type="http://schemas.openxmlformats.org/officeDocument/2006/relationships/image" Target="media/image4.jpg"/><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chart" Target="charts/chart2.xml"/><Relationship Id="rId30" Type="http://schemas.openxmlformats.org/officeDocument/2006/relationships/footer" Target="footer3.xml"/><Relationship Id="rId35" Type="http://schemas.openxmlformats.org/officeDocument/2006/relationships/chart" Target="charts/chart9.xml"/><Relationship Id="rId43" Type="http://schemas.openxmlformats.org/officeDocument/2006/relationships/chart" Target="charts/chart16.xml"/><Relationship Id="rId48" Type="http://schemas.openxmlformats.org/officeDocument/2006/relationships/footer" Target="footer5.xml"/><Relationship Id="rId56" Type="http://schemas.openxmlformats.org/officeDocument/2006/relationships/chart" Target="charts/chart27.xml"/><Relationship Id="rId64" Type="http://schemas.openxmlformats.org/officeDocument/2006/relationships/chart" Target="charts/chart34.xml"/><Relationship Id="rId69" Type="http://schemas.openxmlformats.org/officeDocument/2006/relationships/chart" Target="charts/chart39.xml"/><Relationship Id="rId77" Type="http://schemas.openxmlformats.org/officeDocument/2006/relationships/chart" Target="charts/chart46.xm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23.xml"/><Relationship Id="rId72" Type="http://schemas.openxmlformats.org/officeDocument/2006/relationships/chart" Target="charts/chart41.xml"/><Relationship Id="rId80" Type="http://schemas.openxmlformats.org/officeDocument/2006/relationships/footer" Target="footer9.xml"/><Relationship Id="rId85" Type="http://schemas.openxmlformats.org/officeDocument/2006/relationships/chart" Target="charts/chart53.xml"/><Relationship Id="rId93" Type="http://schemas.openxmlformats.org/officeDocument/2006/relationships/chart" Target="charts/chart60.xml"/><Relationship Id="rId98" Type="http://schemas.openxmlformats.org/officeDocument/2006/relationships/hyperlink" Target="https://data.gov.au/data/dataset/dss-income-support-recipients-monthly-time-series" TargetMode="External"/><Relationship Id="rId3" Type="http://schemas.openxmlformats.org/officeDocument/2006/relationships/customXml" Target="../customXml/item3.xml"/><Relationship Id="rId12" Type="http://schemas.openxmlformats.org/officeDocument/2006/relationships/hyperlink" Target="http://creativecommons.org/licenses/by/3.0/au/deed.en" TargetMode="External"/><Relationship Id="rId17" Type="http://schemas.openxmlformats.org/officeDocument/2006/relationships/hyperlink" Target="https://www.pmc.gov.au/honours-and-symbols/commonwealth-coat-arms" TargetMode="External"/><Relationship Id="rId25" Type="http://schemas.openxmlformats.org/officeDocument/2006/relationships/image" Target="media/image6.png"/><Relationship Id="rId33" Type="http://schemas.openxmlformats.org/officeDocument/2006/relationships/chart" Target="charts/chart7.xml"/><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chart" Target="charts/chart30.xml"/><Relationship Id="rId67" Type="http://schemas.openxmlformats.org/officeDocument/2006/relationships/chart" Target="charts/chart37.xml"/><Relationship Id="rId20" Type="http://schemas.openxmlformats.org/officeDocument/2006/relationships/header" Target="header2.xml"/><Relationship Id="rId41" Type="http://schemas.openxmlformats.org/officeDocument/2006/relationships/chart" Target="charts/chart14.xml"/><Relationship Id="rId54" Type="http://schemas.openxmlformats.org/officeDocument/2006/relationships/chart" Target="charts/chart26.xml"/><Relationship Id="rId62" Type="http://schemas.openxmlformats.org/officeDocument/2006/relationships/chart" Target="charts/chart33.xml"/><Relationship Id="rId70" Type="http://schemas.openxmlformats.org/officeDocument/2006/relationships/chart" Target="charts/chart40.xml"/><Relationship Id="rId75" Type="http://schemas.openxmlformats.org/officeDocument/2006/relationships/chart" Target="charts/chart44.xml"/><Relationship Id="rId83" Type="http://schemas.openxmlformats.org/officeDocument/2006/relationships/chart" Target="charts/chart51.xml"/><Relationship Id="rId88" Type="http://schemas.openxmlformats.org/officeDocument/2006/relationships/footer" Target="footer10.xml"/><Relationship Id="rId91" Type="http://schemas.openxmlformats.org/officeDocument/2006/relationships/chart" Target="charts/chart58.xml"/><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svg"/><Relationship Id="rId23" Type="http://schemas.openxmlformats.org/officeDocument/2006/relationships/footer" Target="footer2.xml"/><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chart" Target="charts/chart21.xml"/><Relationship Id="rId57" Type="http://schemas.openxmlformats.org/officeDocument/2006/relationships/chart" Target="charts/chart28.xml"/><Relationship Id="rId10" Type="http://schemas.openxmlformats.org/officeDocument/2006/relationships/endnotes" Target="endnotes.xml"/><Relationship Id="rId31" Type="http://schemas.openxmlformats.org/officeDocument/2006/relationships/chart" Target="charts/chart5.xml"/><Relationship Id="rId44" Type="http://schemas.openxmlformats.org/officeDocument/2006/relationships/chart" Target="charts/chart17.xml"/><Relationship Id="rId52" Type="http://schemas.openxmlformats.org/officeDocument/2006/relationships/chart" Target="charts/chart24.xml"/><Relationship Id="rId60" Type="http://schemas.openxmlformats.org/officeDocument/2006/relationships/chart" Target="charts/chart31.xml"/><Relationship Id="rId65" Type="http://schemas.openxmlformats.org/officeDocument/2006/relationships/chart" Target="charts/chart35.xml"/><Relationship Id="rId73" Type="http://schemas.openxmlformats.org/officeDocument/2006/relationships/chart" Target="charts/chart42.xml"/><Relationship Id="rId78" Type="http://schemas.openxmlformats.org/officeDocument/2006/relationships/chart" Target="charts/chart47.xml"/><Relationship Id="rId81" Type="http://schemas.openxmlformats.org/officeDocument/2006/relationships/chart" Target="charts/chart49.xml"/><Relationship Id="rId86" Type="http://schemas.openxmlformats.org/officeDocument/2006/relationships/chart" Target="charts/chart54.xml"/><Relationship Id="rId94" Type="http://schemas.openxmlformats.org/officeDocument/2006/relationships/chart" Target="charts/chart61.xml"/><Relationship Id="rId99" Type="http://schemas.openxmlformats.org/officeDocument/2006/relationships/hyperlink" Target="https://data.gov.au/data/dataset/cff2ae8a-55e4-47db-a66d-e177fe0ac6a0/resource/1188c950-542a-4ca6-9e3e-9f91f53d9314/download/dss-demographics-june-2022-final.xlsx"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reativecommons.org/licenses/by/3.0/au/legalcode" TargetMode="External"/><Relationship Id="rId18" Type="http://schemas.openxmlformats.org/officeDocument/2006/relationships/hyperlink" Target="mailto:aga@aga.gov.au" TargetMode="External"/><Relationship Id="rId39" Type="http://schemas.openxmlformats.org/officeDocument/2006/relationships/chart" Target="charts/chart12.xml"/></Relationships>
</file>

<file path=word/_rels/footer10.xml.rels><?xml version="1.0" encoding="UTF-8" standalone="yes"?>
<Relationships xmlns="http://schemas.openxmlformats.org/package/2006/relationships"><Relationship Id="rId1" Type="http://schemas.openxmlformats.org/officeDocument/2006/relationships/image" Target="media/image14.png"/></Relationships>
</file>

<file path=word/_rels/footer11.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1.png"/></Relationships>
</file>

<file path=word/_rels/footer8.xml.rels><?xml version="1.0" encoding="UTF-8" standalone="yes"?>
<Relationships xmlns="http://schemas.openxmlformats.org/package/2006/relationships"><Relationship Id="rId1" Type="http://schemas.openxmlformats.org/officeDocument/2006/relationships/image" Target="media/image12.png"/></Relationships>
</file>

<file path=word/_rels/footer9.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A%20G%20A\AGA%20Blank%20Report%20-%20A4.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rntxnas001\sasstorage\IAD\Act\Jun22%20Valn\06%20Report\05%20Summary%20Document\01%20Cover\04%20Report\Population%20graphic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austreasury-my.sharepoint.com/personal/theodore_sugita_aga_gov_au/Documents/Documents/PIA/Population%20graphics.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Chart%202%20in%20Microsoft%20Word"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prntxnas001\sasstorage\iad\act\Jun22%20Valn\06%20Report\05%20Summary%20Document\Combined\QA%20Tracker%20Valuation%20Summary.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prntxnas001\sasstorage\IAD\Act\Jun22%20Valn\06%20Report\05%20Summary%20Document\Combined\2022%20PIA%20Report%20Graphs.xlsm" TargetMode="Externa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prntxnas001\sasstorage\IAD\Act\Jun22%20Valn\06%20Report\05%20Summary%20Document\Combined\2022%20PIA%20Report%20Graphs.xlsm"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3.xml"/><Relationship Id="rId4" Type="http://schemas.openxmlformats.org/officeDocument/2006/relationships/oleObject" Target="file:///\\prntxnas001\sasstorage\IAD\Act\Jun22%20Valn\06%20Report\05%20Summary%20Document\Combined\2022%20PIA%20Report%20Graphs.xlsm"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prntxnas001\sasstorage\IAD\Act\Jun22%20Valn\06%20Report\05%20Summary%20Document\02%20Under%2016\03%20Output\long_data_graph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austreasury-my.sharepoint.com/personal/theodore_sugita_aga_gov_au/Documents/Documents/PIA/Population%20graphics.xlsx" TargetMode="Externa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prntxnas001\sasstorage\IAD\Act\Jun22%20Valn\06%20Report\05%20Summary%20Document\Combined\2022%20PIA%20Report%20Graphs.xlsm"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Chart%20in%20Microsoft%20Word"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prntxnas001\SASStorage\IAD\ACT\Jun22%20Valn\06%20Report\05%20Summary%20Document\10%20Middle%20adulthood\03%20Output\MA%20Projections%202.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Chart%202%20in%20Microsoft%20Word"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prntxnas001\sasstorage\IAD\Act\Jun22%20Valn\06%20Report\05%20Summary%20Document\01%20Cover\04%20Report\Population%20graphics.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prntxnas001\sasstorage\iad\act\Jun22%20Valn\06%20Report\05%20Summary%20Document\05%20Older%20working%20life\03%20Output\demo3%20New.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1" Type="http://schemas.openxmlformats.org/officeDocument/2006/relationships/oleObject" Target="file:///\\prntxnas001\sasstorage\IAD\Act\Jun22%20Valn\06%20Report\05%20Summary%20Document\Combined\2022%20PIA%20Report%20Graphs.xlsm"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prntxnas001\sasstorage\iad\act\Jun22%20Valn\06%20Report\05%20Summary%20Document\05%20Older%20working%20life\03%20Output\New%2045%20to%2066%20Report%20Figures.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prntxnas001\sasstorage\iad\act\Jun22%20Valn\06%20Report\05%20Summary%20Document\05%20Older%20working%20life\03%20Output\New%2045%20to%2066%20Report%20Figures.xlsx"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file:///\\prntxnas001\sasstorage\iad\act\Jun22%20Valn\06%20Report\05%20Summary%20Document\05%20Older%20working%20life\03%20Output\New%2045%20to%2066%20Report%20Figures.xlsx" TargetMode="External"/><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1" Type="http://schemas.openxmlformats.org/officeDocument/2006/relationships/oleObject" Target="file:///\\prntxnas001\sasstorage\IAD\Act\Jun22%20Valn\06%20Report\05%20Summary%20Document\Combined\2022%20PIA%20Report%20Graphs.xlsm"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austreasury-my.sharepoint.com/personal/theodore_sugita_aga_gov_au/Documents/Documents/PIA/Population%20graphic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prntxnas001\sasstorage\IAD\Act\Jun22%20Valn\06%20Report\05%20Summary%20Document\Combined\2022%20PIA%20Report%20Graphs.xlsm"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2.xml"/><Relationship Id="rId1" Type="http://schemas.microsoft.com/office/2011/relationships/chartStyle" Target="style32.xml"/><Relationship Id="rId5" Type="http://schemas.openxmlformats.org/officeDocument/2006/relationships/chartUserShapes" Target="../drawings/drawing4.xml"/><Relationship Id="rId4" Type="http://schemas.openxmlformats.org/officeDocument/2006/relationships/oleObject" Target="../embeddings/oleObject1.bin"/></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prntxnas001\sasstorage\iad\act\Jun22%20Valn\06%20Report\05%20Summary%20Document\06%20Retirement\04%20Report\2022%20Retirement%20v5.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prntxnas001\sasstorage\iad\act\Jun22%20Valn\06%20Report\05%20Summary%20Document\06%20Retirement\04%20Report\2022%20Retirement%20v5.xlsx"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file:///\\prntxnas001\sasstorage\IAD\Act\Jun22%20Valn\06%20Report\05%20Summary%20Document\Combined\2022%20PIA%20Report%20Graphs.xlsm" TargetMode="External"/><Relationship Id="rId2" Type="http://schemas.microsoft.com/office/2011/relationships/chartColorStyle" Target="colors35.xml"/><Relationship Id="rId1" Type="http://schemas.microsoft.com/office/2011/relationships/chartStyle" Target="style35.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prntxnas001\sasstorage\IAD\Act\Jun22%20Valn\06%20Report\05%20Summary%20Document\02%20Under%2016\03%20Output\long_data_graphs.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prntxnas001\sasstorage\IAD\Act\Jun22%20Valn\06%20Report\05%20Summary%20Document\Combined\2022%20PIA%20Report%20Graphs.xlsm" TargetMode="External"/><Relationship Id="rId2" Type="http://schemas.microsoft.com/office/2011/relationships/chartColorStyle" Target="colors36.xml"/><Relationship Id="rId1" Type="http://schemas.microsoft.com/office/2011/relationships/chartStyle" Target="style36.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austreasury-my.sharepoint.com/personal/theodore_sugita_aga_gov_au/Documents/Documents/PIA/Population%20graphic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prntxnas001\sasstorage\iad\act\Jun22%20Valn\06%20Report\05%20Summary%20Document\07%20People%20with%20children\03%20Output\People%20with%20Children%20v3.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file:///\\prntxnas001\sasstorage\iad\act\Jun22%20Valn\06%20Report\05%20Summary%20Document\07%20People%20with%20children\03%20Output\People%20With%20Children%20Figures%20-%20PE%20edits.xlsx" TargetMode="External"/><Relationship Id="rId2" Type="http://schemas.microsoft.com/office/2011/relationships/chartColorStyle" Target="colors38.xml"/><Relationship Id="rId1" Type="http://schemas.microsoft.com/office/2011/relationships/chartStyle" Target="style38.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prntxnas001\sasstorage\iad\act\Jun22%20Valn\06%20Report\05%20Summary%20Document\07%20People%20with%20children\03%20Output\People%20with%20Children%20v3.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8.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9.xlsx"/></Relationships>
</file>

<file path=word/charts/_rels/chart47.xml.rels><?xml version="1.0" encoding="UTF-8" standalone="yes"?>
<Relationships xmlns="http://schemas.openxmlformats.org/package/2006/relationships"><Relationship Id="rId3" Type="http://schemas.openxmlformats.org/officeDocument/2006/relationships/oleObject" Target="file:///\\prntxnas001\sasstorage\iad\act\Jun22%20Valn\06%20Report\05%20Summary%20Document\07%20People%20with%20children\03%20Output\People%20With%20Children%20Figures%20-%20PE%20edits.xlsx" TargetMode="External"/><Relationship Id="rId2" Type="http://schemas.microsoft.com/office/2011/relationships/chartColorStyle" Target="colors42.xml"/><Relationship Id="rId1" Type="http://schemas.microsoft.com/office/2011/relationships/chartStyle" Target="style42.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43.xml"/><Relationship Id="rId1" Type="http://schemas.microsoft.com/office/2011/relationships/chartStyle" Target="style43.xm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prntxnas001\sasstorage\IAD\Act\Jun22%20Valn\06%20Report\05%20Summary%20Document\01%20Cover\04%20Report\Population%20graphic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austreasury-my.sharepoint.com/personal/theodore_sugita_aga_gov_au/Documents/Documents/PIA/Population%20graphics.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11.xlsx"/></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7.xm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13.xlsx"/></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47.xml"/><Relationship Id="rId1" Type="http://schemas.microsoft.com/office/2011/relationships/chartStyle" Target="style47.xm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prntxnas001\sasstorage\iad\act\Jun22%20Valn\06%20Report\05%20Summary%20Document\08%20Carers\03%20Output\Carers_Cohort_proj.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embeddings/oleObject2.bin"/></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prntxnas001\sasstorage\IAD\Act\Jun22%20Valn\06%20Report\05%20Summary%20Document\01%20Cover\04%20Report\Population%20graphics.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prntxnas001\sasstorage\IAD\Act\Jun22%20Valn\06%20Report\05%20Summary%20Document\09%20People%20with%20a%20disability\03%20Output\Report%20Figures%20Only.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prntxnas001\sasstorage\IAD\Act\Jun22%20Valn\06%20Report\05%20Summary%20Document\09%20People%20with%20a%20disability\03%20Output\Report%20Figures%20Only.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1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52.xml"/><Relationship Id="rId1" Type="http://schemas.microsoft.com/office/2011/relationships/chartStyle" Target="style52.xml"/><Relationship Id="rId5" Type="http://schemas.openxmlformats.org/officeDocument/2006/relationships/chartUserShapes" Target="../drawings/drawing5.xml"/><Relationship Id="rId4" Type="http://schemas.openxmlformats.org/officeDocument/2006/relationships/package" Target="../embeddings/Microsoft_Excel_Worksheet16.xlsx"/></Relationships>
</file>

<file path=word/charts/_rels/chart61.xml.rels><?xml version="1.0" encoding="UTF-8" standalone="yes"?>
<Relationships xmlns="http://schemas.openxmlformats.org/package/2006/relationships"><Relationship Id="rId3" Type="http://schemas.openxmlformats.org/officeDocument/2006/relationships/oleObject" Target="file:///\\prntxnas001\sasstorage\iad\act\Jun22%20Valn\06%20Report\05%20Summary%20Document\09%20People%20with%20a%20disability\03%20Output\DSP_v3.xlsx" TargetMode="External"/><Relationship Id="rId2" Type="http://schemas.microsoft.com/office/2011/relationships/chartColorStyle" Target="colors53.xml"/><Relationship Id="rId1" Type="http://schemas.microsoft.com/office/2011/relationships/chartStyle" Target="style53.xml"/></Relationships>
</file>

<file path=word/charts/_rels/chart7.xml.rels><?xml version="1.0" encoding="UTF-8" standalone="yes"?>
<Relationships xmlns="http://schemas.openxmlformats.org/package/2006/relationships"><Relationship Id="rId3" Type="http://schemas.openxmlformats.org/officeDocument/2006/relationships/oleObject" Target="https://austreasury-my.sharepoint.com/personal/theodore_sugita_aga_gov_au/Documents/Documents/PIA/02%20SL%20Historical%20Intergen.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Chart%20in%20Microsoft%20Word"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prntxnas001\SASStorage\IAD\ACT\Jun22%20Valn\06%20Report\05%20Summary%20Document\03%20School%20Leavers\03%20Output\03%20SL%20Projec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58008658008658E-3"/>
          <c:y val="0.12254901960784313"/>
          <c:w val="0.98845598845598848"/>
          <c:h val="0.77941176470588236"/>
        </c:manualLayout>
      </c:layout>
      <c:barChart>
        <c:barDir val="bar"/>
        <c:grouping val="stacked"/>
        <c:varyColors val="0"/>
        <c:ser>
          <c:idx val="0"/>
          <c:order val="0"/>
          <c:tx>
            <c:v>Age range</c:v>
          </c:tx>
          <c:spPr>
            <a:solidFill>
              <a:srgbClr val="0E4E77"/>
            </a:solidFill>
            <a:ln>
              <a:solidFill>
                <a:sysClr val="windowText" lastClr="000000"/>
              </a:solidFill>
            </a:ln>
            <a:effectLst/>
          </c:spPr>
          <c:invertIfNegative val="0"/>
          <c:dLbls>
            <c:dLbl>
              <c:idx val="0"/>
              <c:tx>
                <c:rich>
                  <a:bodyPr/>
                  <a:lstStyle/>
                  <a:p>
                    <a:fld id="{5C6FDCAF-1CB0-432C-BC42-D0A9008AD5A6}"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17C-49E7-87B0-12B2A7240B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Sheet1!$P$3</c:f>
              <c:numCache>
                <c:formatCode>0%</c:formatCode>
                <c:ptCount val="1"/>
                <c:pt idx="0">
                  <c:v>0.22</c:v>
                </c:pt>
              </c:numCache>
            </c:numRef>
          </c:val>
          <c:extLst>
            <c:ext xmlns:c16="http://schemas.microsoft.com/office/drawing/2014/chart" uri="{C3380CC4-5D6E-409C-BE32-E72D297353CC}">
              <c16:uniqueId val="{00000001-A17C-49E7-87B0-12B2A7240B50}"/>
            </c:ext>
          </c:extLst>
        </c:ser>
        <c:ser>
          <c:idx val="1"/>
          <c:order val="1"/>
          <c:tx>
            <c:v>Complement</c:v>
          </c:tx>
          <c:spPr>
            <a:solidFill>
              <a:schemeClr val="accent2"/>
            </a:solidFill>
            <a:ln>
              <a:solidFill>
                <a:schemeClr val="tx1"/>
              </a:solidFill>
            </a:ln>
            <a:effectLst/>
          </c:spPr>
          <c:invertIfNegative val="0"/>
          <c:dPt>
            <c:idx val="0"/>
            <c:invertIfNegative val="0"/>
            <c:bubble3D val="0"/>
            <c:spPr>
              <a:solidFill>
                <a:srgbClr val="D9D9D9"/>
              </a:solidFill>
              <a:ln>
                <a:solidFill>
                  <a:schemeClr val="tx1"/>
                </a:solidFill>
              </a:ln>
              <a:effectLst/>
            </c:spPr>
            <c:extLst>
              <c:ext xmlns:c16="http://schemas.microsoft.com/office/drawing/2014/chart" uri="{C3380CC4-5D6E-409C-BE32-E72D297353CC}">
                <c16:uniqueId val="{00000003-A17C-49E7-87B0-12B2A7240B50}"/>
              </c:ext>
            </c:extLst>
          </c:dPt>
          <c:val>
            <c:numRef>
              <c:f>Sheet1!$Q$3</c:f>
              <c:numCache>
                <c:formatCode>0%</c:formatCode>
                <c:ptCount val="1"/>
                <c:pt idx="0">
                  <c:v>0.78</c:v>
                </c:pt>
              </c:numCache>
            </c:numRef>
          </c:val>
          <c:extLst>
            <c:ext xmlns:c16="http://schemas.microsoft.com/office/drawing/2014/chart" uri="{C3380CC4-5D6E-409C-BE32-E72D297353CC}">
              <c16:uniqueId val="{00000004-A17C-49E7-87B0-12B2A7240B50}"/>
            </c:ext>
          </c:extLst>
        </c:ser>
        <c:dLbls>
          <c:showLegendKey val="0"/>
          <c:showVal val="0"/>
          <c:showCatName val="0"/>
          <c:showSerName val="0"/>
          <c:showPercent val="0"/>
          <c:showBubbleSize val="0"/>
        </c:dLbls>
        <c:gapWidth val="0"/>
        <c:overlap val="100"/>
        <c:axId val="701237368"/>
        <c:axId val="701239992"/>
      </c:barChart>
      <c:catAx>
        <c:axId val="701237368"/>
        <c:scaling>
          <c:orientation val="minMax"/>
        </c:scaling>
        <c:delete val="1"/>
        <c:axPos val="l"/>
        <c:numFmt formatCode="0%" sourceLinked="1"/>
        <c:majorTickMark val="none"/>
        <c:minorTickMark val="none"/>
        <c:tickLblPos val="nextTo"/>
        <c:crossAx val="701239992"/>
        <c:crosses val="autoZero"/>
        <c:auto val="1"/>
        <c:lblAlgn val="ctr"/>
        <c:lblOffset val="100"/>
        <c:noMultiLvlLbl val="0"/>
      </c:catAx>
      <c:valAx>
        <c:axId val="701239992"/>
        <c:scaling>
          <c:orientation val="minMax"/>
          <c:max val="1"/>
        </c:scaling>
        <c:delete val="1"/>
        <c:axPos val="b"/>
        <c:numFmt formatCode="0%" sourceLinked="1"/>
        <c:majorTickMark val="none"/>
        <c:minorTickMark val="none"/>
        <c:tickLblPos val="nextTo"/>
        <c:crossAx val="701237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574072809471506"/>
          <c:y val="5.6497175141242938E-3"/>
          <c:w val="0.46837951297540109"/>
          <c:h val="0.85680768717469624"/>
        </c:manualLayout>
      </c:layout>
      <c:barChart>
        <c:barDir val="bar"/>
        <c:grouping val="stacked"/>
        <c:varyColors val="0"/>
        <c:ser>
          <c:idx val="0"/>
          <c:order val="0"/>
          <c:tx>
            <c:strRef>
              <c:f>LTC!$B$11</c:f>
              <c:strCache>
                <c:ptCount val="1"/>
                <c:pt idx="0">
                  <c:v>MEAN_LIFETIME_COST</c:v>
                </c:pt>
              </c:strCache>
            </c:strRef>
          </c:tx>
          <c:spPr>
            <a:solidFill>
              <a:srgbClr val="C00000"/>
            </a:solidFill>
            <a:ln>
              <a:noFill/>
            </a:ln>
            <a:effectLst/>
          </c:spPr>
          <c:invertIfNegative val="0"/>
          <c:dPt>
            <c:idx val="0"/>
            <c:invertIfNegative val="0"/>
            <c:bubble3D val="0"/>
            <c:spPr>
              <a:solidFill>
                <a:srgbClr val="7F7F7F"/>
              </a:solidFill>
              <a:ln>
                <a:noFill/>
              </a:ln>
              <a:effectLst/>
            </c:spPr>
            <c:extLst>
              <c:ext xmlns:c16="http://schemas.microsoft.com/office/drawing/2014/chart" uri="{C3380CC4-5D6E-409C-BE32-E72D297353CC}">
                <c16:uniqueId val="{00000001-BADD-4855-B075-A33F22AAF701}"/>
              </c:ext>
            </c:extLst>
          </c:dPt>
          <c:dLbls>
            <c:dLbl>
              <c:idx val="0"/>
              <c:tx>
                <c:rich>
                  <a:bodyPr/>
                  <a:lstStyle/>
                  <a:p>
                    <a:fld id="{BE9D482D-77CB-402B-B3FC-C69831831A35}"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ADD-4855-B075-A33F22AAF701}"/>
                </c:ext>
              </c:extLst>
            </c:dLbl>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LTC!$A$12:$A$16</c:f>
              <c:strCache>
                <c:ptCount val="5"/>
                <c:pt idx="0">
                  <c:v>Not on Income Support</c:v>
                </c:pt>
                <c:pt idx="1">
                  <c:v>Studying payments - Higher Ed</c:v>
                </c:pt>
                <c:pt idx="2">
                  <c:v>Studying payments - VET</c:v>
                </c:pt>
                <c:pt idx="3">
                  <c:v>Studying payments - School</c:v>
                </c:pt>
                <c:pt idx="4">
                  <c:v>Working age payments</c:v>
                </c:pt>
              </c:strCache>
            </c:strRef>
          </c:cat>
          <c:val>
            <c:numRef>
              <c:f>LTC!$B$12:$B$16</c:f>
              <c:numCache>
                <c:formatCode>General</c:formatCode>
                <c:ptCount val="5"/>
                <c:pt idx="0">
                  <c:v>185000</c:v>
                </c:pt>
                <c:pt idx="1">
                  <c:v>251000</c:v>
                </c:pt>
                <c:pt idx="2">
                  <c:v>307000</c:v>
                </c:pt>
                <c:pt idx="3">
                  <c:v>366000</c:v>
                </c:pt>
                <c:pt idx="4">
                  <c:v>402000</c:v>
                </c:pt>
              </c:numCache>
            </c:numRef>
          </c:val>
          <c:extLst>
            <c:ext xmlns:c16="http://schemas.microsoft.com/office/drawing/2014/chart" uri="{C3380CC4-5D6E-409C-BE32-E72D297353CC}">
              <c16:uniqueId val="{00000002-BADD-4855-B075-A33F22AAF701}"/>
            </c:ext>
          </c:extLst>
        </c:ser>
        <c:dLbls>
          <c:showLegendKey val="0"/>
          <c:showVal val="0"/>
          <c:showCatName val="0"/>
          <c:showSerName val="0"/>
          <c:showPercent val="0"/>
          <c:showBubbleSize val="0"/>
        </c:dLbls>
        <c:gapWidth val="150"/>
        <c:overlap val="100"/>
        <c:axId val="706412192"/>
        <c:axId val="706407928"/>
      </c:barChart>
      <c:catAx>
        <c:axId val="70641219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t>Income support received </a:t>
                </a:r>
                <a:br>
                  <a:rPr lang="en-AU" b="1"/>
                </a:br>
                <a:r>
                  <a:rPr lang="en-AU" b="1"/>
                  <a:t>30 June 2022</a:t>
                </a:r>
                <a:r>
                  <a:rPr lang="en-AU" b="1" baseline="0"/>
                  <a:t> </a:t>
                </a:r>
                <a:r>
                  <a:rPr lang="en-AU" b="1"/>
                  <a:t>(with education sector for student payments)</a:t>
                </a:r>
              </a:p>
            </c:rich>
          </c:tx>
          <c:layout>
            <c:manualLayout>
              <c:xMode val="edge"/>
              <c:yMode val="edge"/>
              <c:x val="2.9398794649419372E-3"/>
              <c:y val="5.340259550889470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6407928"/>
        <c:crosses val="autoZero"/>
        <c:auto val="1"/>
        <c:lblAlgn val="ctr"/>
        <c:lblOffset val="100"/>
        <c:noMultiLvlLbl val="0"/>
      </c:catAx>
      <c:valAx>
        <c:axId val="706407928"/>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t>Lifetime Cost ($)</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crossAx val="706412192"/>
        <c:crosses val="autoZero"/>
        <c:crossBetween val="between"/>
      </c:valAx>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756778787913098E-3"/>
          <c:y val="0.10375816993464053"/>
          <c:w val="0.99424864424241743"/>
          <c:h val="0.79248366013071891"/>
        </c:manualLayout>
      </c:layout>
      <c:barChart>
        <c:barDir val="bar"/>
        <c:grouping val="stacked"/>
        <c:varyColors val="0"/>
        <c:ser>
          <c:idx val="0"/>
          <c:order val="0"/>
          <c:spPr>
            <a:solidFill>
              <a:srgbClr val="0E4E77"/>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Sheet1!$P$4</c:f>
              <c:numCache>
                <c:formatCode>0%</c:formatCode>
                <c:ptCount val="1"/>
                <c:pt idx="0">
                  <c:v>0.05</c:v>
                </c:pt>
              </c:numCache>
            </c:numRef>
          </c:val>
          <c:extLst>
            <c:ext xmlns:c16="http://schemas.microsoft.com/office/drawing/2014/chart" uri="{C3380CC4-5D6E-409C-BE32-E72D297353CC}">
              <c16:uniqueId val="{00000000-EABC-4459-8A1E-9356F9C423F5}"/>
            </c:ext>
          </c:extLst>
        </c:ser>
        <c:ser>
          <c:idx val="1"/>
          <c:order val="1"/>
          <c:spPr>
            <a:solidFill>
              <a:schemeClr val="accent2"/>
            </a:solidFill>
            <a:ln>
              <a:solidFill>
                <a:schemeClr val="tx1"/>
              </a:solidFill>
            </a:ln>
            <a:effectLst/>
          </c:spPr>
          <c:invertIfNegative val="0"/>
          <c:dPt>
            <c:idx val="0"/>
            <c:invertIfNegative val="0"/>
            <c:bubble3D val="0"/>
            <c:spPr>
              <a:solidFill>
                <a:srgbClr val="D9D9D9"/>
              </a:solidFill>
              <a:ln>
                <a:solidFill>
                  <a:schemeClr val="tx1"/>
                </a:solidFill>
              </a:ln>
              <a:effectLst/>
            </c:spPr>
            <c:extLst>
              <c:ext xmlns:c16="http://schemas.microsoft.com/office/drawing/2014/chart" uri="{C3380CC4-5D6E-409C-BE32-E72D297353CC}">
                <c16:uniqueId val="{00000002-EABC-4459-8A1E-9356F9C423F5}"/>
              </c:ext>
            </c:extLst>
          </c:dPt>
          <c:dLbls>
            <c:delete val="1"/>
          </c:dLbls>
          <c:val>
            <c:numRef>
              <c:f>Sheet1!$Q$4</c:f>
              <c:numCache>
                <c:formatCode>0%</c:formatCode>
                <c:ptCount val="1"/>
                <c:pt idx="0">
                  <c:v>0.95</c:v>
                </c:pt>
              </c:numCache>
            </c:numRef>
          </c:val>
          <c:extLst>
            <c:ext xmlns:c16="http://schemas.microsoft.com/office/drawing/2014/chart" uri="{C3380CC4-5D6E-409C-BE32-E72D297353CC}">
              <c16:uniqueId val="{00000003-EABC-4459-8A1E-9356F9C423F5}"/>
            </c:ext>
          </c:extLst>
        </c:ser>
        <c:dLbls>
          <c:dLblPos val="ctr"/>
          <c:showLegendKey val="0"/>
          <c:showVal val="1"/>
          <c:showCatName val="0"/>
          <c:showSerName val="0"/>
          <c:showPercent val="0"/>
          <c:showBubbleSize val="0"/>
        </c:dLbls>
        <c:gapWidth val="0"/>
        <c:overlap val="100"/>
        <c:axId val="701237368"/>
        <c:axId val="701239992"/>
      </c:barChart>
      <c:catAx>
        <c:axId val="701237368"/>
        <c:scaling>
          <c:orientation val="minMax"/>
        </c:scaling>
        <c:delete val="1"/>
        <c:axPos val="l"/>
        <c:numFmt formatCode="0%" sourceLinked="1"/>
        <c:majorTickMark val="none"/>
        <c:minorTickMark val="none"/>
        <c:tickLblPos val="nextTo"/>
        <c:crossAx val="701239992"/>
        <c:crosses val="autoZero"/>
        <c:auto val="1"/>
        <c:lblAlgn val="ctr"/>
        <c:lblOffset val="100"/>
        <c:noMultiLvlLbl val="0"/>
      </c:catAx>
      <c:valAx>
        <c:axId val="701239992"/>
        <c:scaling>
          <c:orientation val="minMax"/>
          <c:max val="1"/>
        </c:scaling>
        <c:delete val="1"/>
        <c:axPos val="b"/>
        <c:numFmt formatCode="0%" sourceLinked="1"/>
        <c:majorTickMark val="none"/>
        <c:minorTickMark val="none"/>
        <c:tickLblPos val="nextTo"/>
        <c:crossAx val="701237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6013796704731268E-3"/>
          <c:w val="1"/>
          <c:h val="0.93593217078231705"/>
        </c:manualLayout>
      </c:layout>
      <c:ofPieChart>
        <c:ofPieType val="bar"/>
        <c:varyColors val="1"/>
        <c:ser>
          <c:idx val="0"/>
          <c:order val="0"/>
          <c:tx>
            <c:v>Age 22-25 Composition 2022</c:v>
          </c:tx>
          <c:dPt>
            <c:idx val="0"/>
            <c:bubble3D val="0"/>
            <c:explosion val="14"/>
            <c:spPr>
              <a:solidFill>
                <a:srgbClr val="1F497D"/>
              </a:solidFill>
              <a:ln w="19050">
                <a:solidFill>
                  <a:schemeClr val="lt1"/>
                </a:solidFill>
              </a:ln>
              <a:effectLst/>
            </c:spPr>
            <c:extLst>
              <c:ext xmlns:c16="http://schemas.microsoft.com/office/drawing/2014/chart" uri="{C3380CC4-5D6E-409C-BE32-E72D297353CC}">
                <c16:uniqueId val="{00000001-7448-412F-B873-0B2A8BA6BE8A}"/>
              </c:ext>
            </c:extLst>
          </c:dPt>
          <c:dPt>
            <c:idx val="1"/>
            <c:bubble3D val="0"/>
            <c:explosion val="105"/>
            <c:spPr>
              <a:solidFill>
                <a:srgbClr val="009644"/>
              </a:solidFill>
              <a:ln w="19050">
                <a:solidFill>
                  <a:schemeClr val="lt1"/>
                </a:solidFill>
              </a:ln>
              <a:effectLst/>
            </c:spPr>
            <c:extLst>
              <c:ext xmlns:c16="http://schemas.microsoft.com/office/drawing/2014/chart" uri="{C3380CC4-5D6E-409C-BE32-E72D297353CC}">
                <c16:uniqueId val="{00000003-7448-412F-B873-0B2A8BA6BE8A}"/>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7448-412F-B873-0B2A8BA6BE8A}"/>
              </c:ext>
            </c:extLst>
          </c:dPt>
          <c:dPt>
            <c:idx val="3"/>
            <c:bubble3D val="0"/>
            <c:spPr>
              <a:solidFill>
                <a:srgbClr val="FFEC8F"/>
              </a:solidFill>
              <a:ln w="19050">
                <a:solidFill>
                  <a:schemeClr val="lt1"/>
                </a:solidFill>
              </a:ln>
              <a:effectLst/>
            </c:spPr>
            <c:extLst>
              <c:ext xmlns:c16="http://schemas.microsoft.com/office/drawing/2014/chart" uri="{C3380CC4-5D6E-409C-BE32-E72D297353CC}">
                <c16:uniqueId val="{00000007-7448-412F-B873-0B2A8BA6BE8A}"/>
              </c:ext>
            </c:extLst>
          </c:dPt>
          <c:dPt>
            <c:idx val="4"/>
            <c:bubble3D val="0"/>
            <c:spPr>
              <a:solidFill>
                <a:srgbClr val="CC706E"/>
              </a:solidFill>
              <a:ln w="19050">
                <a:solidFill>
                  <a:schemeClr val="lt1"/>
                </a:solidFill>
              </a:ln>
              <a:effectLst/>
            </c:spPr>
            <c:extLst>
              <c:ext xmlns:c16="http://schemas.microsoft.com/office/drawing/2014/chart" uri="{C3380CC4-5D6E-409C-BE32-E72D297353CC}">
                <c16:uniqueId val="{00000009-7448-412F-B873-0B2A8BA6BE8A}"/>
              </c:ext>
            </c:extLst>
          </c:dPt>
          <c:dLbls>
            <c:dLbl>
              <c:idx val="0"/>
              <c:tx>
                <c:rich>
                  <a:bodyPr rot="0" spcFirstLastPara="1" vertOverflow="overflow" horzOverflow="overflow"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r>
                      <a:rPr lang="en-US" sz="900">
                        <a:solidFill>
                          <a:schemeClr val="bg1"/>
                        </a:solidFill>
                      </a:rPr>
                      <a:t>Studying</a:t>
                    </a:r>
                    <a:endParaRPr lang="en-US" sz="900" b="0" i="0" u="none" strike="noStrike" kern="1200" baseline="0">
                      <a:solidFill>
                        <a:schemeClr val="bg1"/>
                      </a:solidFill>
                      <a:latin typeface="+mn-lt"/>
                      <a:ea typeface="+mn-ea"/>
                      <a:cs typeface="+mn-cs"/>
                    </a:endParaRPr>
                  </a:p>
                  <a:p>
                    <a:pPr>
                      <a:defRPr sz="800">
                        <a:solidFill>
                          <a:schemeClr val="bg1"/>
                        </a:solidFill>
                      </a:defRPr>
                    </a:pPr>
                    <a:r>
                      <a:rPr lang="en-US" sz="900">
                        <a:solidFill>
                          <a:schemeClr val="bg1"/>
                        </a:solidFill>
                      </a:rPr>
                      <a:t>payment</a:t>
                    </a:r>
                    <a:r>
                      <a:rPr lang="en-US" sz="900" baseline="0">
                        <a:solidFill>
                          <a:schemeClr val="bg1"/>
                        </a:solidFill>
                      </a:rPr>
                      <a:t>
</a:t>
                    </a:r>
                    <a:fld id="{41850CDD-6DD3-47AD-A011-B84F23AA6B48}" type="PERCENTAGE">
                      <a:rPr lang="en-US" sz="900" baseline="0">
                        <a:solidFill>
                          <a:schemeClr val="bg1"/>
                        </a:solidFill>
                      </a:rPr>
                      <a:pPr>
                        <a:defRPr sz="800">
                          <a:solidFill>
                            <a:schemeClr val="bg1"/>
                          </a:solidFill>
                        </a:defRPr>
                      </a:pPr>
                      <a:t>[PERCENTAGE]</a:t>
                    </a:fld>
                    <a:endParaRPr lang="en-US" sz="900" baseline="0">
                      <a:solidFill>
                        <a:schemeClr val="bg1"/>
                      </a:solidFill>
                    </a:endParaRPr>
                  </a:p>
                </c:rich>
              </c:tx>
              <c:spPr>
                <a:noFill/>
                <a:ln>
                  <a:noFill/>
                </a:ln>
                <a:effectLst/>
              </c:spPr>
              <c:txPr>
                <a:bodyPr rot="0" spcFirstLastPara="1" vertOverflow="overflow" horzOverflow="overflow"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448-412F-B873-0B2A8BA6BE8A}"/>
                </c:ext>
              </c:extLst>
            </c:dLbl>
            <c:dLbl>
              <c:idx val="1"/>
              <c:tx>
                <c:rich>
                  <a:bodyPr rot="0" spcFirstLastPara="1" vertOverflow="overflow" horzOverflow="overflow"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fld id="{9F1CCB67-09F2-47F3-847F-AE9D74DBB548}" type="CATEGORYNAME">
                      <a:rPr lang="en-US" sz="900">
                        <a:solidFill>
                          <a:schemeClr val="tx1"/>
                        </a:solidFill>
                      </a:rPr>
                      <a:pPr>
                        <a:defRPr sz="800">
                          <a:solidFill>
                            <a:schemeClr val="bg1"/>
                          </a:solidFill>
                        </a:defRPr>
                      </a:pPr>
                      <a:t>[CATEGORY NAME]</a:t>
                    </a:fld>
                    <a:r>
                      <a:rPr lang="en-US" sz="900" baseline="0">
                        <a:solidFill>
                          <a:schemeClr val="tx1"/>
                        </a:solidFill>
                      </a:rPr>
                      <a:t>
</a:t>
                    </a:r>
                    <a:fld id="{83AF65B1-F3D6-45F0-BED1-EAC1E014B34B}" type="PERCENTAGE">
                      <a:rPr lang="en-US" sz="900" baseline="0">
                        <a:solidFill>
                          <a:schemeClr val="tx1"/>
                        </a:solidFill>
                      </a:rPr>
                      <a:pPr>
                        <a:defRPr sz="800">
                          <a:solidFill>
                            <a:schemeClr val="bg1"/>
                          </a:solidFill>
                        </a:defRPr>
                      </a:pPr>
                      <a:t>[PERCENTAGE]</a:t>
                    </a:fld>
                    <a:endParaRPr lang="en-US" sz="900" baseline="0">
                      <a:solidFill>
                        <a:schemeClr val="tx1"/>
                      </a:solidFill>
                    </a:endParaRPr>
                  </a:p>
                </c:rich>
              </c:tx>
              <c:spPr>
                <a:noFill/>
                <a:ln>
                  <a:noFill/>
                </a:ln>
                <a:effectLst/>
              </c:spPr>
              <c:txPr>
                <a:bodyPr rot="0" spcFirstLastPara="1" vertOverflow="overflow" horzOverflow="overflow"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448-412F-B873-0B2A8BA6BE8A}"/>
                </c:ext>
              </c:extLst>
            </c:dLbl>
            <c:dLbl>
              <c:idx val="2"/>
              <c:tx>
                <c:rich>
                  <a:bodyPr/>
                  <a:lstStyle/>
                  <a:p>
                    <a:fld id="{0168D3DD-6680-49BB-939A-AF1DD28AA701}" type="CATEGORYNAME">
                      <a:rPr lang="en-US" sz="900"/>
                      <a:pPr/>
                      <a:t>[CATEGORY NAME]</a:t>
                    </a:fld>
                    <a:r>
                      <a:rPr lang="en-US" sz="900" baseline="0"/>
                      <a:t>
</a:t>
                    </a:r>
                    <a:fld id="{6B5C963C-7E49-4099-BC01-198E05BE5E25}" type="PERCENTAGE">
                      <a:rPr lang="en-US" sz="900" baseline="0"/>
                      <a:pPr/>
                      <a:t>[PERCENTAGE]</a:t>
                    </a:fld>
                    <a:endParaRPr lang="en-US" sz="900"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448-412F-B873-0B2A8BA6BE8A}"/>
                </c:ext>
              </c:extLst>
            </c:dLbl>
            <c:dLbl>
              <c:idx val="3"/>
              <c:layout>
                <c:manualLayout>
                  <c:x val="0.16963312850629816"/>
                  <c:y val="2.7675859889240953E-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fld id="{FF217D03-C2DB-41B5-87F7-71E999D5F972}" type="CATEGORYNAME">
                      <a:rPr lang="en-US" sz="900"/>
                      <a:pPr>
                        <a:defRPr sz="800">
                          <a:solidFill>
                            <a:schemeClr val="tx1"/>
                          </a:solidFill>
                        </a:defRPr>
                      </a:pPr>
                      <a:t>[CATEGORY NAME]</a:t>
                    </a:fld>
                    <a:r>
                      <a:rPr lang="en-US" sz="900" baseline="0"/>
                      <a:t>
</a:t>
                    </a:r>
                    <a:fld id="{2FE9DD6A-1112-4577-B4A6-DD1085CAE4B6}" type="PERCENTAGE">
                      <a:rPr lang="en-US" sz="900" baseline="0"/>
                      <a:pPr>
                        <a:defRPr sz="800">
                          <a:solidFill>
                            <a:schemeClr val="tx1"/>
                          </a:solidFill>
                        </a:defRPr>
                      </a:pPr>
                      <a:t>[PERCENTAGE]</a:t>
                    </a:fld>
                    <a:endParaRPr lang="en-US" sz="900" baseline="0"/>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8925006966013383"/>
                      <c:h val="0.27495588653827913"/>
                    </c:manualLayout>
                  </c15:layout>
                  <c15:dlblFieldTable/>
                  <c15:showDataLabelsRange val="0"/>
                </c:ext>
                <c:ext xmlns:c16="http://schemas.microsoft.com/office/drawing/2014/chart" uri="{C3380CC4-5D6E-409C-BE32-E72D297353CC}">
                  <c16:uniqueId val="{00000007-7448-412F-B873-0B2A8BA6BE8A}"/>
                </c:ext>
              </c:extLst>
            </c:dLbl>
            <c:dLbl>
              <c:idx val="4"/>
              <c:layout>
                <c:manualLayout>
                  <c:x val="-0.14793832271774501"/>
                  <c:y val="-4.6765882013439421E-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mn-lt"/>
                        <a:ea typeface="+mn-ea"/>
                        <a:cs typeface="+mn-cs"/>
                      </a:defRPr>
                    </a:pPr>
                    <a:r>
                      <a:rPr lang="en-US" sz="900">
                        <a:solidFill>
                          <a:schemeClr val="tx1"/>
                        </a:solidFill>
                      </a:rPr>
                      <a:t>Income support</a:t>
                    </a:r>
                    <a:r>
                      <a:rPr lang="en-US" sz="900" baseline="0">
                        <a:solidFill>
                          <a:schemeClr val="tx1"/>
                        </a:solidFill>
                      </a:rPr>
                      <a:t>
</a:t>
                    </a:r>
                    <a:fld id="{DA075B04-DB26-4BCD-8173-9F027BB063CC}" type="PERCENTAGE">
                      <a:rPr lang="en-US" sz="900" baseline="0">
                        <a:solidFill>
                          <a:schemeClr val="tx1"/>
                        </a:solidFill>
                      </a:rPr>
                      <a:pPr>
                        <a:defRPr sz="800">
                          <a:solidFill>
                            <a:schemeClr val="bg1"/>
                          </a:solidFill>
                        </a:defRPr>
                      </a:pPr>
                      <a:t>[PERCENTAGE]</a:t>
                    </a:fld>
                    <a:endParaRPr lang="en-US" sz="900" baseline="0">
                      <a:solidFill>
                        <a:schemeClr val="tx1"/>
                      </a:solidFill>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4706758597700642"/>
                      <c:h val="0.28193813469651374"/>
                    </c:manualLayout>
                  </c15:layout>
                  <c15:dlblFieldTable/>
                  <c15:showDataLabelsRange val="0"/>
                </c:ext>
                <c:ext xmlns:c16="http://schemas.microsoft.com/office/drawing/2014/chart" uri="{C3380CC4-5D6E-409C-BE32-E72D297353CC}">
                  <c16:uniqueId val="{00000009-7448-412F-B873-0B2A8BA6BE8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'2022'!$E$13:$E$16</c:f>
              <c:strCache>
                <c:ptCount val="4"/>
                <c:pt idx="0">
                  <c:v>Studying payments</c:v>
                </c:pt>
                <c:pt idx="1">
                  <c:v>JobSeeker Payment</c:v>
                </c:pt>
                <c:pt idx="2">
                  <c:v>Other income support</c:v>
                </c:pt>
                <c:pt idx="3">
                  <c:v>Not on income support</c:v>
                </c:pt>
              </c:strCache>
            </c:strRef>
          </c:cat>
          <c:val>
            <c:numRef>
              <c:f>'2022'!$G$13:$G$16</c:f>
              <c:numCache>
                <c:formatCode>0.00%</c:formatCode>
                <c:ptCount val="4"/>
                <c:pt idx="0">
                  <c:v>4.6436958443201025E-2</c:v>
                </c:pt>
                <c:pt idx="1">
                  <c:v>6.1340749479476778E-2</c:v>
                </c:pt>
                <c:pt idx="2">
                  <c:v>5.521947034219548E-2</c:v>
                </c:pt>
                <c:pt idx="3">
                  <c:v>0.83700282173512675</c:v>
                </c:pt>
              </c:numCache>
            </c:numRef>
          </c:val>
          <c:extLst>
            <c:ext xmlns:c16="http://schemas.microsoft.com/office/drawing/2014/chart" uri="{C3380CC4-5D6E-409C-BE32-E72D297353CC}">
              <c16:uniqueId val="{0000000A-7448-412F-B873-0B2A8BA6BE8A}"/>
            </c:ext>
          </c:extLst>
        </c:ser>
        <c:dLbls>
          <c:showLegendKey val="0"/>
          <c:showVal val="0"/>
          <c:showCatName val="0"/>
          <c:showSerName val="0"/>
          <c:showPercent val="1"/>
          <c:showBubbleSize val="0"/>
          <c:showLeaderLines val="1"/>
        </c:dLbls>
        <c:gapWidth val="89"/>
        <c:splitType val="val"/>
        <c:splitPos val="0.83000000000000007"/>
        <c:secondPieSize val="97"/>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99864348868783"/>
          <c:y val="2.4537037037037041E-2"/>
          <c:w val="0.77654392862805999"/>
          <c:h val="0.73285505978419374"/>
        </c:manualLayout>
      </c:layout>
      <c:barChart>
        <c:barDir val="col"/>
        <c:grouping val="clustered"/>
        <c:varyColors val="0"/>
        <c:ser>
          <c:idx val="0"/>
          <c:order val="0"/>
          <c:tx>
            <c:v>Received IS</c:v>
          </c:tx>
          <c:spPr>
            <a:solidFill>
              <a:srgbClr val="C00000"/>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('Historical Intergen'!$Q$14,'Historical Intergen'!$Q$10,'Historical Intergen'!$Q$6)</c:f>
              <c:strCache>
                <c:ptCount val="3"/>
                <c:pt idx="0">
                  <c:v>50% to 100%</c:v>
                </c:pt>
                <c:pt idx="1">
                  <c:v>Under 50%</c:v>
                </c:pt>
                <c:pt idx="2">
                  <c:v>Not at all</c:v>
                </c:pt>
              </c:strCache>
            </c:strRef>
          </c:cat>
          <c:val>
            <c:numRef>
              <c:f>('Historical Intergen'!$P$16,'Historical Intergen'!$P$12,'Historical Intergen'!$P$8)</c:f>
              <c:numCache>
                <c:formatCode>General</c:formatCode>
                <c:ptCount val="3"/>
                <c:pt idx="0">
                  <c:v>0.84560000000000002</c:v>
                </c:pt>
                <c:pt idx="1">
                  <c:v>0.62860000000000005</c:v>
                </c:pt>
                <c:pt idx="2">
                  <c:v>0.34019999999999995</c:v>
                </c:pt>
              </c:numCache>
            </c:numRef>
          </c:val>
          <c:extLst>
            <c:ext xmlns:c16="http://schemas.microsoft.com/office/drawing/2014/chart" uri="{C3380CC4-5D6E-409C-BE32-E72D297353CC}">
              <c16:uniqueId val="{00000000-9401-452C-873D-588CB0E5A8F9}"/>
            </c:ext>
          </c:extLst>
        </c:ser>
        <c:dLbls>
          <c:dLblPos val="outEnd"/>
          <c:showLegendKey val="0"/>
          <c:showVal val="1"/>
          <c:showCatName val="0"/>
          <c:showSerName val="0"/>
          <c:showPercent val="0"/>
          <c:showBubbleSize val="0"/>
        </c:dLbls>
        <c:gapWidth val="219"/>
        <c:overlap val="-27"/>
        <c:axId val="578093248"/>
        <c:axId val="578101776"/>
      </c:barChart>
      <c:catAx>
        <c:axId val="57809324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t>Percentage of childhood at least one parent</a:t>
                </a:r>
                <a:br>
                  <a:rPr lang="en-AU" b="1"/>
                </a:br>
                <a:r>
                  <a:rPr lang="en-AU" b="1"/>
                  <a:t> or guardian received income support</a:t>
                </a:r>
              </a:p>
            </c:rich>
          </c:tx>
          <c:layout>
            <c:manualLayout>
              <c:xMode val="edge"/>
              <c:yMode val="edge"/>
              <c:x val="0.32403346456692911"/>
              <c:y val="0.8555322251385243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8101776"/>
        <c:crosses val="autoZero"/>
        <c:auto val="1"/>
        <c:lblAlgn val="ctr"/>
        <c:lblOffset val="100"/>
        <c:noMultiLvlLbl val="0"/>
      </c:catAx>
      <c:valAx>
        <c:axId val="57810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solidFill>
                      <a:sysClr val="windowText" lastClr="000000"/>
                    </a:solidFill>
                  </a:rPr>
                  <a:t>Proportion of people who have received income support by </a:t>
                </a:r>
                <a:br>
                  <a:rPr lang="en-AU" b="1">
                    <a:solidFill>
                      <a:sysClr val="windowText" lastClr="000000"/>
                    </a:solidFill>
                  </a:rPr>
                </a:br>
                <a:r>
                  <a:rPr lang="en-AU" b="1">
                    <a:solidFill>
                      <a:sysClr val="windowText" lastClr="000000"/>
                    </a:solidFill>
                  </a:rPr>
                  <a:t>30 June 2022</a:t>
                </a:r>
              </a:p>
            </c:rich>
          </c:tx>
          <c:layout>
            <c:manualLayout>
              <c:xMode val="edge"/>
              <c:yMode val="edge"/>
              <c:x val="9.3231216890186253E-3"/>
              <c:y val="6.1574074074074073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8093248"/>
        <c:crosses val="autoZero"/>
        <c:crossBetween val="between"/>
      </c:valAx>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393228554794606"/>
          <c:y val="6.5964360683086906E-2"/>
          <c:w val="0.59107133142974211"/>
          <c:h val="0.54186978082920079"/>
        </c:manualLayout>
      </c:layout>
      <c:barChart>
        <c:barDir val="bar"/>
        <c:grouping val="stacked"/>
        <c:varyColors val="0"/>
        <c:ser>
          <c:idx val="0"/>
          <c:order val="0"/>
          <c:tx>
            <c:v>A. Studying payments</c:v>
          </c:tx>
          <c:spPr>
            <a:solidFill>
              <a:srgbClr val="1F497D"/>
            </a:solidFill>
            <a:ln>
              <a:solidFill>
                <a:srgbClr val="1F497D"/>
              </a:solidFill>
            </a:ln>
            <a:effectLst/>
          </c:spPr>
          <c:invertIfNegative val="0"/>
          <c:dLbls>
            <c:dLbl>
              <c:idx val="0"/>
              <c:layout>
                <c:manualLayout>
                  <c:x val="1.7639276789651624E-2"/>
                  <c:y val="-7.5669383003492491E-2"/>
                </c:manualLayout>
              </c:layout>
              <c:tx>
                <c:rich>
                  <a:bodyPr/>
                  <a:lstStyle/>
                  <a:p>
                    <a:r>
                      <a:rPr lang="en-US" sz="800"/>
                      <a:t>A-E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14-4C70-B540-E7F467185CE0}"/>
                </c:ext>
              </c:extLst>
            </c:dLbl>
            <c:dLbl>
              <c:idx val="1"/>
              <c:layout>
                <c:manualLayout>
                  <c:x val="5.879758929883875E-2"/>
                  <c:y val="-8.1490104772991845E-2"/>
                </c:manualLayout>
              </c:layout>
              <c:tx>
                <c:rich>
                  <a:bodyPr/>
                  <a:lstStyle/>
                  <a:p>
                    <a:r>
                      <a:rPr lang="en-US" sz="800"/>
                      <a:t>A         BC-E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14-4C70-B540-E7F467185CE0}"/>
                </c:ext>
              </c:extLst>
            </c:dLbl>
            <c:dLbl>
              <c:idx val="2"/>
              <c:layout>
                <c:manualLayout>
                  <c:x val="0.14405409378215489"/>
                  <c:y val="-7.5998689191790494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r>
                      <a:rPr lang="en-US" sz="800"/>
                      <a:t>A                B                CDE</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31962369542848745"/>
                      <c:h val="5.2165125168434266E-2"/>
                    </c:manualLayout>
                  </c15:layout>
                  <c15:showDataLabelsRange val="0"/>
                </c:ext>
                <c:ext xmlns:c16="http://schemas.microsoft.com/office/drawing/2014/chart" uri="{C3380CC4-5D6E-409C-BE32-E72D297353CC}">
                  <c16:uniqueId val="{00000000-7914-4C70-B540-E7F467185C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Word]Dur'!$K$3:$K$5</c:f>
              <c:strCache>
                <c:ptCount val="3"/>
                <c:pt idx="0">
                  <c:v>Not on income support</c:v>
                </c:pt>
                <c:pt idx="1">
                  <c:v>Studying payments</c:v>
                </c:pt>
                <c:pt idx="2">
                  <c:v>JobSeeker Payment</c:v>
                </c:pt>
              </c:strCache>
            </c:strRef>
          </c:cat>
          <c:val>
            <c:numRef>
              <c:f>'[Chart 2 in Microsoft Word]Dur'!$L$3:$L$5</c:f>
              <c:numCache>
                <c:formatCode>General</c:formatCode>
                <c:ptCount val="3"/>
                <c:pt idx="0">
                  <c:v>5.3702445699999997E-2</c:v>
                </c:pt>
                <c:pt idx="1">
                  <c:v>1.0390014835000001</c:v>
                </c:pt>
                <c:pt idx="2">
                  <c:v>9.6532123900000003E-2</c:v>
                </c:pt>
              </c:numCache>
            </c:numRef>
          </c:val>
          <c:extLst>
            <c:ext xmlns:c16="http://schemas.microsoft.com/office/drawing/2014/chart" uri="{C3380CC4-5D6E-409C-BE32-E72D297353CC}">
              <c16:uniqueId val="{00000000-8A22-4F1A-A141-80D37C1E3B09}"/>
            </c:ext>
          </c:extLst>
        </c:ser>
        <c:ser>
          <c:idx val="1"/>
          <c:order val="1"/>
          <c:tx>
            <c:v>B. Working age payments</c:v>
          </c:tx>
          <c:spPr>
            <a:solidFill>
              <a:srgbClr val="009644"/>
            </a:solidFill>
            <a:ln>
              <a:solidFill>
                <a:srgbClr val="009644"/>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8A22-4F1A-A141-80D37C1E3B0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Word]Dur'!$K$3:$K$5</c:f>
              <c:strCache>
                <c:ptCount val="3"/>
                <c:pt idx="0">
                  <c:v>Not on income support</c:v>
                </c:pt>
                <c:pt idx="1">
                  <c:v>Studying payments</c:v>
                </c:pt>
                <c:pt idx="2">
                  <c:v>JobSeeker Payment</c:v>
                </c:pt>
              </c:strCache>
            </c:strRef>
          </c:cat>
          <c:val>
            <c:numRef>
              <c:f>'[Chart 2 in Microsoft Word]Dur'!$M$3:$M$5</c:f>
              <c:numCache>
                <c:formatCode>General</c:formatCode>
                <c:ptCount val="3"/>
                <c:pt idx="0">
                  <c:v>5.2061331299999999E-2</c:v>
                </c:pt>
                <c:pt idx="1">
                  <c:v>0.25711990350000002</c:v>
                </c:pt>
                <c:pt idx="2">
                  <c:v>1.9546374867</c:v>
                </c:pt>
              </c:numCache>
            </c:numRef>
          </c:val>
          <c:extLst>
            <c:ext xmlns:c16="http://schemas.microsoft.com/office/drawing/2014/chart" uri="{C3380CC4-5D6E-409C-BE32-E72D297353CC}">
              <c16:uniqueId val="{00000002-8A22-4F1A-A141-80D37C1E3B09}"/>
            </c:ext>
          </c:extLst>
        </c:ser>
        <c:ser>
          <c:idx val="2"/>
          <c:order val="2"/>
          <c:tx>
            <c:v>C. Parenting Payment</c:v>
          </c:tx>
          <c:spPr>
            <a:solidFill>
              <a:srgbClr val="E26B0A"/>
            </a:solidFill>
            <a:ln>
              <a:solidFill>
                <a:srgbClr val="E26B0A"/>
              </a:solidFill>
            </a:ln>
            <a:effectLst/>
          </c:spPr>
          <c:invertIfNegative val="0"/>
          <c:cat>
            <c:strRef>
              <c:f>'[Chart 2 in Microsoft Word]Dur'!$K$3:$K$5</c:f>
              <c:strCache>
                <c:ptCount val="3"/>
                <c:pt idx="0">
                  <c:v>Not on income support</c:v>
                </c:pt>
                <c:pt idx="1">
                  <c:v>Studying payments</c:v>
                </c:pt>
                <c:pt idx="2">
                  <c:v>JobSeeker Payment</c:v>
                </c:pt>
              </c:strCache>
            </c:strRef>
          </c:cat>
          <c:val>
            <c:numRef>
              <c:f>'[Chart 2 in Microsoft Word]Dur'!$N$3:$N$5</c:f>
              <c:numCache>
                <c:formatCode>General</c:formatCode>
                <c:ptCount val="3"/>
                <c:pt idx="0">
                  <c:v>3.9846757599999998E-2</c:v>
                </c:pt>
                <c:pt idx="1">
                  <c:v>3.9742980800000001E-2</c:v>
                </c:pt>
                <c:pt idx="2">
                  <c:v>0.23073955230000001</c:v>
                </c:pt>
              </c:numCache>
            </c:numRef>
          </c:val>
          <c:extLst>
            <c:ext xmlns:c16="http://schemas.microsoft.com/office/drawing/2014/chart" uri="{C3380CC4-5D6E-409C-BE32-E72D297353CC}">
              <c16:uniqueId val="{00000003-8A22-4F1A-A141-80D37C1E3B09}"/>
            </c:ext>
          </c:extLst>
        </c:ser>
        <c:ser>
          <c:idx val="3"/>
          <c:order val="3"/>
          <c:tx>
            <c:v>D. Carer Payment</c:v>
          </c:tx>
          <c:spPr>
            <a:solidFill>
              <a:srgbClr val="E18BD7"/>
            </a:solidFill>
            <a:ln>
              <a:solidFill>
                <a:srgbClr val="E18BD7"/>
              </a:solidFill>
            </a:ln>
            <a:effectLst/>
          </c:spPr>
          <c:invertIfNegative val="0"/>
          <c:cat>
            <c:strRef>
              <c:f>'[Chart 2 in Microsoft Word]Dur'!$K$3:$K$5</c:f>
              <c:strCache>
                <c:ptCount val="3"/>
                <c:pt idx="0">
                  <c:v>Not on income support</c:v>
                </c:pt>
                <c:pt idx="1">
                  <c:v>Studying payments</c:v>
                </c:pt>
                <c:pt idx="2">
                  <c:v>JobSeeker Payment</c:v>
                </c:pt>
              </c:strCache>
            </c:strRef>
          </c:cat>
          <c:val>
            <c:numRef>
              <c:f>'[Chart 2 in Microsoft Word]Dur'!$O$3:$O$5</c:f>
              <c:numCache>
                <c:formatCode>General</c:formatCode>
                <c:ptCount val="3"/>
                <c:pt idx="0">
                  <c:v>5.3466505000000003E-3</c:v>
                </c:pt>
                <c:pt idx="1">
                  <c:v>1.1526067500000001E-2</c:v>
                </c:pt>
                <c:pt idx="2">
                  <c:v>4.4011001500000001E-2</c:v>
                </c:pt>
              </c:numCache>
            </c:numRef>
          </c:val>
          <c:extLst>
            <c:ext xmlns:c16="http://schemas.microsoft.com/office/drawing/2014/chart" uri="{C3380CC4-5D6E-409C-BE32-E72D297353CC}">
              <c16:uniqueId val="{00000004-8A22-4F1A-A141-80D37C1E3B09}"/>
            </c:ext>
          </c:extLst>
        </c:ser>
        <c:ser>
          <c:idx val="4"/>
          <c:order val="4"/>
          <c:tx>
            <c:v>E. DSP</c:v>
          </c:tx>
          <c:spPr>
            <a:solidFill>
              <a:srgbClr val="8064A2"/>
            </a:solidFill>
            <a:ln>
              <a:solidFill>
                <a:srgbClr val="8064A2"/>
              </a:solidFill>
            </a:ln>
            <a:effectLst/>
          </c:spPr>
          <c:invertIfNegative val="0"/>
          <c:dLbls>
            <c:dLbl>
              <c:idx val="0"/>
              <c:layout>
                <c:manualLayout>
                  <c:x val="3.3927065891170519E-2"/>
                  <c:y val="0"/>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A22-4F1A-A141-80D37C1E3B09}"/>
                </c:ext>
              </c:extLst>
            </c:dLbl>
            <c:dLbl>
              <c:idx val="1"/>
              <c:layout>
                <c:manualLayout>
                  <c:x val="3.7319772480287575E-2"/>
                  <c:y val="0"/>
                </c:manualLayout>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A22-4F1A-A141-80D37C1E3B09}"/>
                </c:ext>
              </c:extLst>
            </c:dLbl>
            <c:dLbl>
              <c:idx val="2"/>
              <c:layout>
                <c:manualLayout>
                  <c:x val="3.6806021888773334E-2"/>
                  <c:y val="0"/>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A22-4F1A-A141-80D37C1E3B09}"/>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Word]Dur'!$K$3:$K$5</c:f>
              <c:strCache>
                <c:ptCount val="3"/>
                <c:pt idx="0">
                  <c:v>Not on income support</c:v>
                </c:pt>
                <c:pt idx="1">
                  <c:v>Studying payments</c:v>
                </c:pt>
                <c:pt idx="2">
                  <c:v>JobSeeker Payment</c:v>
                </c:pt>
              </c:strCache>
            </c:strRef>
          </c:cat>
          <c:val>
            <c:numRef>
              <c:f>'[Chart 2 in Microsoft Word]Dur'!$P$3:$P$5</c:f>
              <c:numCache>
                <c:formatCode>General</c:formatCode>
                <c:ptCount val="3"/>
                <c:pt idx="0">
                  <c:v>5.5095092999999998E-3</c:v>
                </c:pt>
                <c:pt idx="1">
                  <c:v>8.4108798999999995E-3</c:v>
                </c:pt>
                <c:pt idx="2">
                  <c:v>8.2105426199999998E-2</c:v>
                </c:pt>
              </c:numCache>
            </c:numRef>
          </c:val>
          <c:extLst>
            <c:ext xmlns:c16="http://schemas.microsoft.com/office/drawing/2014/chart" uri="{C3380CC4-5D6E-409C-BE32-E72D297353CC}">
              <c16:uniqueId val="{00000008-8A22-4F1A-A141-80D37C1E3B09}"/>
            </c:ext>
          </c:extLst>
        </c:ser>
        <c:dLbls>
          <c:showLegendKey val="0"/>
          <c:showVal val="0"/>
          <c:showCatName val="0"/>
          <c:showSerName val="0"/>
          <c:showPercent val="0"/>
          <c:showBubbleSize val="0"/>
        </c:dLbls>
        <c:gapWidth val="75"/>
        <c:overlap val="100"/>
        <c:axId val="560349184"/>
        <c:axId val="560347216"/>
      </c:barChart>
      <c:catAx>
        <c:axId val="56034918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Income support received</a:t>
                </a:r>
              </a:p>
              <a:p>
                <a:pPr>
                  <a:defRPr b="1"/>
                </a:pPr>
                <a:r>
                  <a:rPr lang="en-AU" b="1"/>
                  <a:t>at 30 June 2022</a:t>
                </a:r>
              </a:p>
            </c:rich>
          </c:tx>
          <c:layout>
            <c:manualLayout>
              <c:xMode val="edge"/>
              <c:yMode val="edge"/>
              <c:x val="1.6405453360664184E-3"/>
              <c:y val="4.893617566096920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7216"/>
        <c:crosses val="autoZero"/>
        <c:auto val="1"/>
        <c:lblAlgn val="ctr"/>
        <c:lblOffset val="100"/>
        <c:noMultiLvlLbl val="0"/>
      </c:catAx>
      <c:valAx>
        <c:axId val="560347216"/>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Years</a:t>
                </a:r>
              </a:p>
            </c:rich>
          </c:tx>
          <c:layout>
            <c:manualLayout>
              <c:xMode val="edge"/>
              <c:yMode val="edge"/>
              <c:x val="0.6471945563617717"/>
              <c:y val="0.7153150246463094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9184"/>
        <c:crosses val="autoZero"/>
        <c:crossBetween val="between"/>
      </c:valAx>
      <c:spPr>
        <a:noFill/>
        <a:ln>
          <a:noFill/>
        </a:ln>
        <a:effectLst/>
      </c:spPr>
    </c:plotArea>
    <c:legend>
      <c:legendPos val="b"/>
      <c:layout>
        <c:manualLayout>
          <c:xMode val="edge"/>
          <c:yMode val="edge"/>
          <c:x val="8.855287326920383E-3"/>
          <c:y val="0.79165431150374488"/>
          <c:w val="0.99114471267307958"/>
          <c:h val="0.205867486076435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6350"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567096961622999"/>
          <c:y val="2.7843178795475678E-2"/>
          <c:w val="0.57197577261537003"/>
          <c:h val="0.64449937031413673"/>
        </c:manualLayout>
      </c:layout>
      <c:barChart>
        <c:barDir val="bar"/>
        <c:grouping val="stacked"/>
        <c:varyColors val="0"/>
        <c:ser>
          <c:idx val="0"/>
          <c:order val="0"/>
          <c:tx>
            <c:v>A. Studying payments</c:v>
          </c:tx>
          <c:spPr>
            <a:solidFill>
              <a:srgbClr val="1F497D"/>
            </a:solidFill>
            <a:ln>
              <a:solidFill>
                <a:srgbClr val="1F497D"/>
              </a:solidFill>
            </a:ln>
            <a:effectLst/>
          </c:spPr>
          <c:invertIfNegative val="0"/>
          <c:dLbls>
            <c:dLbl>
              <c:idx val="1"/>
              <c:layout>
                <c:manualLayout>
                  <c:x val="6.3207408496251657E-2"/>
                  <c:y val="-8.9685863258124124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r>
                      <a:rPr lang="en-US" sz="800"/>
                      <a:t>A     B  CD  E</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8619715016881158"/>
                      <c:h val="9.6831326577451346E-2"/>
                    </c:manualLayout>
                  </c15:layout>
                  <c15:showDataLabelsRange val="0"/>
                </c:ext>
                <c:ext xmlns:c16="http://schemas.microsoft.com/office/drawing/2014/chart" uri="{C3380CC4-5D6E-409C-BE32-E72D297353CC}">
                  <c16:uniqueId val="{00000001-3F63-4667-A1B5-5DEE30EE68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[1]Dur!$A$28:$A$30</c:f>
              <c:strCache>
                <c:ptCount val="3"/>
                <c:pt idx="0">
                  <c:v>Not on income support</c:v>
                </c:pt>
                <c:pt idx="1">
                  <c:v>Studying payments</c:v>
                </c:pt>
                <c:pt idx="2">
                  <c:v>JobSeeker Payment</c:v>
                </c:pt>
              </c:strCache>
            </c:strRef>
          </c:cat>
          <c:val>
            <c:numRef>
              <c:f>[1]Dur!$B$28:$B$30</c:f>
              <c:numCache>
                <c:formatCode>General</c:formatCode>
                <c:ptCount val="3"/>
                <c:pt idx="0">
                  <c:v>9.2411145599999994E-2</c:v>
                </c:pt>
                <c:pt idx="1">
                  <c:v>1.1226392102</c:v>
                </c:pt>
                <c:pt idx="2">
                  <c:v>0.18948763560000001</c:v>
                </c:pt>
              </c:numCache>
            </c:numRef>
          </c:val>
          <c:extLst>
            <c:ext xmlns:c16="http://schemas.microsoft.com/office/drawing/2014/chart" uri="{C3380CC4-5D6E-409C-BE32-E72D297353CC}">
              <c16:uniqueId val="{00000000-ACDF-46C5-927E-46A40A42DDB2}"/>
            </c:ext>
          </c:extLst>
        </c:ser>
        <c:ser>
          <c:idx val="1"/>
          <c:order val="1"/>
          <c:tx>
            <c:v>B. Working age payments</c:v>
          </c:tx>
          <c:spPr>
            <a:solidFill>
              <a:srgbClr val="009644"/>
            </a:solidFill>
            <a:ln>
              <a:solidFill>
                <a:srgbClr val="009644"/>
              </a:solid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[1]Dur!$A$28:$A$30</c:f>
              <c:strCache>
                <c:ptCount val="3"/>
                <c:pt idx="0">
                  <c:v>Not on income support</c:v>
                </c:pt>
                <c:pt idx="1">
                  <c:v>Studying payments</c:v>
                </c:pt>
                <c:pt idx="2">
                  <c:v>JobSeeker Payment</c:v>
                </c:pt>
              </c:strCache>
            </c:strRef>
          </c:cat>
          <c:val>
            <c:numRef>
              <c:f>[1]Dur!$C$28:$C$30</c:f>
              <c:numCache>
                <c:formatCode>General</c:formatCode>
                <c:ptCount val="3"/>
                <c:pt idx="0">
                  <c:v>0.89723839019999996</c:v>
                </c:pt>
                <c:pt idx="1">
                  <c:v>1.4542850030000001</c:v>
                </c:pt>
                <c:pt idx="2">
                  <c:v>5.8722005830999997</c:v>
                </c:pt>
              </c:numCache>
            </c:numRef>
          </c:val>
          <c:extLst>
            <c:ext xmlns:c16="http://schemas.microsoft.com/office/drawing/2014/chart" uri="{C3380CC4-5D6E-409C-BE32-E72D297353CC}">
              <c16:uniqueId val="{00000001-ACDF-46C5-927E-46A40A42DDB2}"/>
            </c:ext>
          </c:extLst>
        </c:ser>
        <c:ser>
          <c:idx val="2"/>
          <c:order val="2"/>
          <c:tx>
            <c:v>C. Parenting Payment</c:v>
          </c:tx>
          <c:spPr>
            <a:solidFill>
              <a:srgbClr val="E26B0A"/>
            </a:solidFill>
            <a:ln>
              <a:solidFill>
                <a:srgbClr val="E26B0A"/>
              </a:solidFill>
            </a:ln>
            <a:effectLst/>
          </c:spPr>
          <c:invertIfNegative val="0"/>
          <c:dLbls>
            <c:dLbl>
              <c:idx val="2"/>
              <c:layout>
                <c:manualLayout>
                  <c:x val="-6.0267529031309719E-2"/>
                  <c:y val="-8.9685863258124124E-2"/>
                </c:manualLayout>
              </c:layout>
              <c:tx>
                <c:rich>
                  <a:bodyPr/>
                  <a:lstStyle/>
                  <a:p>
                    <a:r>
                      <a:rPr lang="en-US" sz="800"/>
                      <a:t>A                B               C    D         E</a:t>
                    </a:r>
                  </a:p>
                </c:rich>
              </c:tx>
              <c:showLegendKey val="0"/>
              <c:showVal val="1"/>
              <c:showCatName val="0"/>
              <c:showSerName val="0"/>
              <c:showPercent val="0"/>
              <c:showBubbleSize val="0"/>
              <c:extLst>
                <c:ext xmlns:c15="http://schemas.microsoft.com/office/drawing/2012/chart" uri="{CE6537A1-D6FC-4f65-9D91-7224C49458BB}">
                  <c15:layout>
                    <c:manualLayout>
                      <c:w val="0.4772452171980634"/>
                      <c:h val="7.2915033602862403E-2"/>
                    </c:manualLayout>
                  </c15:layout>
                  <c15:showDataLabelsRange val="0"/>
                </c:ext>
                <c:ext xmlns:c16="http://schemas.microsoft.com/office/drawing/2014/chart" uri="{C3380CC4-5D6E-409C-BE32-E72D297353CC}">
                  <c16:uniqueId val="{00000000-3F63-4667-A1B5-5DEE30EE68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[1]Dur!$A$28:$A$30</c:f>
              <c:strCache>
                <c:ptCount val="3"/>
                <c:pt idx="0">
                  <c:v>Not on income support</c:v>
                </c:pt>
                <c:pt idx="1">
                  <c:v>Studying payments</c:v>
                </c:pt>
                <c:pt idx="2">
                  <c:v>JobSeeker Payment</c:v>
                </c:pt>
              </c:strCache>
            </c:strRef>
          </c:cat>
          <c:val>
            <c:numRef>
              <c:f>[1]Dur!$D$28:$D$30</c:f>
              <c:numCache>
                <c:formatCode>General</c:formatCode>
                <c:ptCount val="3"/>
                <c:pt idx="0">
                  <c:v>0.26076395800000002</c:v>
                </c:pt>
                <c:pt idx="1">
                  <c:v>0.32180672760000001</c:v>
                </c:pt>
                <c:pt idx="2">
                  <c:v>1.0269644963</c:v>
                </c:pt>
              </c:numCache>
            </c:numRef>
          </c:val>
          <c:extLst>
            <c:ext xmlns:c16="http://schemas.microsoft.com/office/drawing/2014/chart" uri="{C3380CC4-5D6E-409C-BE32-E72D297353CC}">
              <c16:uniqueId val="{00000002-ACDF-46C5-927E-46A40A42DDB2}"/>
            </c:ext>
          </c:extLst>
        </c:ser>
        <c:ser>
          <c:idx val="3"/>
          <c:order val="3"/>
          <c:tx>
            <c:v>D. Carer Payment</c:v>
          </c:tx>
          <c:spPr>
            <a:solidFill>
              <a:srgbClr val="E18BD7"/>
            </a:solidFill>
            <a:ln>
              <a:solidFill>
                <a:srgbClr val="E18BD7"/>
              </a:solidFill>
            </a:ln>
            <a:effectLst/>
          </c:spPr>
          <c:invertIfNegative val="0"/>
          <c:dLbls>
            <c:dLbl>
              <c:idx val="0"/>
              <c:layout>
                <c:manualLayout>
                  <c:x val="-1.1759633603053824E-2"/>
                  <c:y val="-8.9685863258124124E-2"/>
                </c:manualLayout>
              </c:layout>
              <c:tx>
                <c:rich>
                  <a:bodyPr/>
                  <a:lstStyle/>
                  <a:p>
                    <a:r>
                      <a:rPr lang="en-US" sz="800"/>
                      <a:t>ABCDE</a:t>
                    </a:r>
                  </a:p>
                </c:rich>
              </c:tx>
              <c:showLegendKey val="0"/>
              <c:showVal val="1"/>
              <c:showCatName val="0"/>
              <c:showSerName val="0"/>
              <c:showPercent val="0"/>
              <c:showBubbleSize val="0"/>
              <c:extLst>
                <c:ext xmlns:c15="http://schemas.microsoft.com/office/drawing/2012/chart" uri="{CE6537A1-D6FC-4f65-9D91-7224C49458BB}">
                  <c15:layout>
                    <c:manualLayout>
                      <c:w val="0.10388052515043732"/>
                      <c:h val="7.2915033602862403E-2"/>
                    </c:manualLayout>
                  </c15:layout>
                  <c15:showDataLabelsRange val="0"/>
                </c:ext>
                <c:ext xmlns:c16="http://schemas.microsoft.com/office/drawing/2014/chart" uri="{C3380CC4-5D6E-409C-BE32-E72D297353CC}">
                  <c16:uniqueId val="{00000002-3F63-4667-A1B5-5DEE30EE68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[1]Dur!$A$28:$A$30</c:f>
              <c:strCache>
                <c:ptCount val="3"/>
                <c:pt idx="0">
                  <c:v>Not on income support</c:v>
                </c:pt>
                <c:pt idx="1">
                  <c:v>Studying payments</c:v>
                </c:pt>
                <c:pt idx="2">
                  <c:v>JobSeeker Payment</c:v>
                </c:pt>
              </c:strCache>
            </c:strRef>
          </c:cat>
          <c:val>
            <c:numRef>
              <c:f>[1]Dur!$E$28:$E$30</c:f>
              <c:numCache>
                <c:formatCode>General</c:formatCode>
                <c:ptCount val="3"/>
                <c:pt idx="0">
                  <c:v>0.39697955629999998</c:v>
                </c:pt>
                <c:pt idx="1">
                  <c:v>0.56484704109999995</c:v>
                </c:pt>
                <c:pt idx="2">
                  <c:v>1.2046720996</c:v>
                </c:pt>
              </c:numCache>
            </c:numRef>
          </c:val>
          <c:extLst>
            <c:ext xmlns:c16="http://schemas.microsoft.com/office/drawing/2014/chart" uri="{C3380CC4-5D6E-409C-BE32-E72D297353CC}">
              <c16:uniqueId val="{00000003-ACDF-46C5-927E-46A40A42DDB2}"/>
            </c:ext>
          </c:extLst>
        </c:ser>
        <c:ser>
          <c:idx val="4"/>
          <c:order val="4"/>
          <c:tx>
            <c:v>E. DSP</c:v>
          </c:tx>
          <c:spPr>
            <a:solidFill>
              <a:srgbClr val="8064A2"/>
            </a:solidFill>
            <a:ln>
              <a:solidFill>
                <a:srgbClr val="8064A2"/>
              </a:solidFill>
            </a:ln>
            <a:effectLst/>
          </c:spPr>
          <c:invertIfNegative val="0"/>
          <c:dLbls>
            <c:dLbl>
              <c:idx val="0"/>
              <c:layout>
                <c:manualLayout>
                  <c:x val="4.7222222222222221E-2"/>
                  <c:y val="-8.4875562720133283E-17"/>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CDF-46C5-927E-46A40A42DDB2}"/>
                </c:ext>
              </c:extLst>
            </c:dLbl>
            <c:dLbl>
              <c:idx val="1"/>
              <c:layout>
                <c:manualLayout>
                  <c:x val="5.2777777777777778E-2"/>
                  <c:y val="0"/>
                </c:manualLayout>
              </c:layout>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CDF-46C5-927E-46A40A42DDB2}"/>
                </c:ext>
              </c:extLst>
            </c:dLbl>
            <c:dLbl>
              <c:idx val="2"/>
              <c:layout>
                <c:manualLayout>
                  <c:x val="0.10245364192036631"/>
                  <c:y val="-1.3701884564685194E-17"/>
                </c:manualLayout>
              </c:layout>
              <c:tx>
                <c:rich>
                  <a:bodyPr/>
                  <a:lstStyle/>
                  <a:p>
                    <a:r>
                      <a:rPr lang="en-US"/>
                      <a:t>10.8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CDF-46C5-927E-46A40A42DDB2}"/>
                </c:ext>
              </c:extLst>
            </c:dLbl>
            <c:dLbl>
              <c:idx val="3"/>
              <c:layout>
                <c:manualLayout>
                  <c:x val="3.0555555555555555E-2"/>
                  <c:y val="0"/>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CDF-46C5-927E-46A40A42DDB2}"/>
                </c:ext>
              </c:extLst>
            </c:dLbl>
            <c:dLbl>
              <c:idx val="4"/>
              <c:layout>
                <c:manualLayout>
                  <c:x val="3.3333333333333333E-2"/>
                  <c:y val="-4.2437781360066642E-17"/>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CDF-46C5-927E-46A40A42DDB2}"/>
                </c:ext>
              </c:extLst>
            </c:dLbl>
            <c:dLbl>
              <c:idx val="5"/>
              <c:layout>
                <c:manualLayout>
                  <c:x val="3.0555555555555555E-2"/>
                  <c:y val="-4.2437781360066642E-17"/>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CDF-46C5-927E-46A40A42DDB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[1]Dur!$A$28:$A$30</c:f>
              <c:strCache>
                <c:ptCount val="3"/>
                <c:pt idx="0">
                  <c:v>Not on income support</c:v>
                </c:pt>
                <c:pt idx="1">
                  <c:v>Studying payments</c:v>
                </c:pt>
                <c:pt idx="2">
                  <c:v>JobSeeker Payment</c:v>
                </c:pt>
              </c:strCache>
            </c:strRef>
          </c:cat>
          <c:val>
            <c:numRef>
              <c:f>[1]Dur!$F$28:$F$30</c:f>
              <c:numCache>
                <c:formatCode>General</c:formatCode>
                <c:ptCount val="3"/>
                <c:pt idx="0">
                  <c:v>0.50868951669999996</c:v>
                </c:pt>
                <c:pt idx="1">
                  <c:v>0.73939145470000001</c:v>
                </c:pt>
                <c:pt idx="2">
                  <c:v>2.5175611142999998</c:v>
                </c:pt>
              </c:numCache>
            </c:numRef>
          </c:val>
          <c:extLst>
            <c:ext xmlns:c16="http://schemas.microsoft.com/office/drawing/2014/chart" uri="{C3380CC4-5D6E-409C-BE32-E72D297353CC}">
              <c16:uniqueId val="{0000000A-ACDF-46C5-927E-46A40A42DDB2}"/>
            </c:ext>
          </c:extLst>
        </c:ser>
        <c:dLbls>
          <c:showLegendKey val="0"/>
          <c:showVal val="0"/>
          <c:showCatName val="0"/>
          <c:showSerName val="0"/>
          <c:showPercent val="0"/>
          <c:showBubbleSize val="0"/>
        </c:dLbls>
        <c:gapWidth val="75"/>
        <c:overlap val="100"/>
        <c:axId val="560349184"/>
        <c:axId val="560347216"/>
      </c:barChart>
      <c:catAx>
        <c:axId val="56034918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Income support received</a:t>
                </a:r>
              </a:p>
              <a:p>
                <a:pPr>
                  <a:defRPr b="1"/>
                </a:pPr>
                <a:r>
                  <a:rPr lang="en-AU" b="1"/>
                  <a:t>at 30 June 2022</a:t>
                </a:r>
              </a:p>
            </c:rich>
          </c:tx>
          <c:layout>
            <c:manualLayout>
              <c:xMode val="edge"/>
              <c:yMode val="edge"/>
              <c:x val="2.2914855766504121E-3"/>
              <c:y val="4.9397973235408364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7216"/>
        <c:crosses val="autoZero"/>
        <c:auto val="1"/>
        <c:lblAlgn val="ctr"/>
        <c:lblOffset val="100"/>
        <c:noMultiLvlLbl val="0"/>
      </c:catAx>
      <c:valAx>
        <c:axId val="560347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Years</a:t>
                </a:r>
              </a:p>
            </c:rich>
          </c:tx>
          <c:layout>
            <c:manualLayout>
              <c:xMode val="edge"/>
              <c:yMode val="edge"/>
              <c:x val="0.6285101176993475"/>
              <c:y val="0.7201377952755905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9184"/>
        <c:crosses val="autoZero"/>
        <c:crossBetween val="between"/>
      </c:valAx>
      <c:spPr>
        <a:noFill/>
        <a:ln>
          <a:noFill/>
        </a:ln>
        <a:effectLst/>
      </c:spPr>
    </c:plotArea>
    <c:legend>
      <c:legendPos val="b"/>
      <c:layout>
        <c:manualLayout>
          <c:xMode val="edge"/>
          <c:yMode val="edge"/>
          <c:x val="1.5389227309396852E-3"/>
          <c:y val="0.8208320209973754"/>
          <c:w val="0.99846098293154839"/>
          <c:h val="0.1791679790026246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6350"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73979173153116"/>
          <c:y val="3.7646129888360062E-3"/>
          <c:w val="0.65290695050006886"/>
          <c:h val="0.65351874191213566"/>
        </c:manualLayout>
      </c:layout>
      <c:barChart>
        <c:barDir val="bar"/>
        <c:grouping val="stacked"/>
        <c:varyColors val="0"/>
        <c:ser>
          <c:idx val="0"/>
          <c:order val="0"/>
          <c:tx>
            <c:v>A. Studying payments</c:v>
          </c:tx>
          <c:spPr>
            <a:solidFill>
              <a:srgbClr val="1F497D"/>
            </a:solidFill>
            <a:ln>
              <a:solidFill>
                <a:srgbClr val="1F497D"/>
              </a:solidFill>
            </a:ln>
            <a:effectLst/>
          </c:spPr>
          <c:invertIfNegative val="0"/>
          <c:cat>
            <c:strRef>
              <c:f>'3 YWA'!$AK$16:$AK$17</c:f>
              <c:strCache>
                <c:ptCount val="2"/>
                <c:pt idx="0">
                  <c:v>Year 12 and above</c:v>
                </c:pt>
                <c:pt idx="1">
                  <c:v>Year 11 or less</c:v>
                </c:pt>
              </c:strCache>
            </c:strRef>
          </c:cat>
          <c:val>
            <c:numRef>
              <c:f>'3 YWA'!$AL$16:$AL$17</c:f>
              <c:numCache>
                <c:formatCode>General</c:formatCode>
                <c:ptCount val="2"/>
                <c:pt idx="0">
                  <c:v>0.2072995638</c:v>
                </c:pt>
                <c:pt idx="1">
                  <c:v>0.1290209011</c:v>
                </c:pt>
              </c:numCache>
            </c:numRef>
          </c:val>
          <c:extLst>
            <c:ext xmlns:c16="http://schemas.microsoft.com/office/drawing/2014/chart" uri="{C3380CC4-5D6E-409C-BE32-E72D297353CC}">
              <c16:uniqueId val="{00000000-A1DE-404B-9D87-DA91855DD2F5}"/>
            </c:ext>
          </c:extLst>
        </c:ser>
        <c:ser>
          <c:idx val="1"/>
          <c:order val="1"/>
          <c:tx>
            <c:v>B. Working age payments</c:v>
          </c:tx>
          <c:spPr>
            <a:solidFill>
              <a:srgbClr val="009644"/>
            </a:solidFill>
            <a:ln>
              <a:solidFill>
                <a:srgbClr val="009644"/>
              </a:solid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YWA'!$AK$16:$AK$17</c:f>
              <c:strCache>
                <c:ptCount val="2"/>
                <c:pt idx="0">
                  <c:v>Year 12 and above</c:v>
                </c:pt>
                <c:pt idx="1">
                  <c:v>Year 11 or less</c:v>
                </c:pt>
              </c:strCache>
            </c:strRef>
          </c:cat>
          <c:val>
            <c:numRef>
              <c:f>'3 YWA'!$AM$16:$AM$17</c:f>
              <c:numCache>
                <c:formatCode>General</c:formatCode>
                <c:ptCount val="2"/>
                <c:pt idx="0">
                  <c:v>5.3347218853999996</c:v>
                </c:pt>
                <c:pt idx="1">
                  <c:v>7.6967970713999998</c:v>
                </c:pt>
              </c:numCache>
            </c:numRef>
          </c:val>
          <c:extLst>
            <c:ext xmlns:c16="http://schemas.microsoft.com/office/drawing/2014/chart" uri="{C3380CC4-5D6E-409C-BE32-E72D297353CC}">
              <c16:uniqueId val="{00000001-A1DE-404B-9D87-DA91855DD2F5}"/>
            </c:ext>
          </c:extLst>
        </c:ser>
        <c:ser>
          <c:idx val="2"/>
          <c:order val="2"/>
          <c:tx>
            <c:v>C. Parenting Payment</c:v>
          </c:tx>
          <c:spPr>
            <a:solidFill>
              <a:srgbClr val="E26B0A"/>
            </a:solidFill>
            <a:ln>
              <a:solidFill>
                <a:srgbClr val="E26B0A"/>
              </a:solidFill>
            </a:ln>
            <a:effectLst/>
          </c:spPr>
          <c:invertIfNegative val="0"/>
          <c:dLbls>
            <c:dLbl>
              <c:idx val="0"/>
              <c:layout>
                <c:manualLayout>
                  <c:x val="-6.3207408496251713E-2"/>
                  <c:y val="-0.12256245476279254"/>
                </c:manualLayout>
              </c:layout>
              <c:tx>
                <c:rich>
                  <a:bodyPr/>
                  <a:lstStyle/>
                  <a:p>
                    <a:r>
                      <a:rPr lang="en-US" sz="800"/>
                      <a:t>A                B                 C     D        </a:t>
                    </a:r>
                    <a:r>
                      <a:rPr lang="en-US" sz="800" baseline="0"/>
                      <a:t> </a:t>
                    </a:r>
                    <a:r>
                      <a:rPr lang="en-US" sz="800"/>
                      <a:t>E </a:t>
                    </a:r>
                  </a:p>
                </c:rich>
              </c:tx>
              <c:showLegendKey val="0"/>
              <c:showVal val="1"/>
              <c:showCatName val="0"/>
              <c:showSerName val="0"/>
              <c:showPercent val="0"/>
              <c:showBubbleSize val="0"/>
              <c:extLst>
                <c:ext xmlns:c15="http://schemas.microsoft.com/office/drawing/2012/chart" uri="{CE6537A1-D6FC-4f65-9D91-7224C49458BB}">
                  <c15:layout>
                    <c:manualLayout>
                      <c:w val="0.51252377077736666"/>
                      <c:h val="6.7938937994867624E-2"/>
                    </c:manualLayout>
                  </c15:layout>
                  <c15:showDataLabelsRange val="0"/>
                </c:ext>
                <c:ext xmlns:c16="http://schemas.microsoft.com/office/drawing/2014/chart" uri="{C3380CC4-5D6E-409C-BE32-E72D297353CC}">
                  <c16:uniqueId val="{00000001-193C-48A6-B5DD-4A8E06A0A1CA}"/>
                </c:ext>
              </c:extLst>
            </c:dLbl>
            <c:dLbl>
              <c:idx val="1"/>
              <c:layout>
                <c:manualLayout>
                  <c:x val="-5.438777010142587E-2"/>
                  <c:y val="-0.12256245476279254"/>
                </c:manualLayout>
              </c:layout>
              <c:tx>
                <c:rich>
                  <a:bodyPr/>
                  <a:lstStyle/>
                  <a:p>
                    <a:r>
                      <a:rPr lang="en-US" sz="800"/>
                      <a:t>A                         B                         C       D             E</a:t>
                    </a:r>
                  </a:p>
                </c:rich>
              </c:tx>
              <c:showLegendKey val="0"/>
              <c:showVal val="1"/>
              <c:showCatName val="0"/>
              <c:showSerName val="0"/>
              <c:showPercent val="0"/>
              <c:showBubbleSize val="0"/>
              <c:extLst>
                <c:ext xmlns:c15="http://schemas.microsoft.com/office/drawing/2012/chart" uri="{CE6537A1-D6FC-4f65-9D91-7224C49458BB}">
                  <c15:layout>
                    <c:manualLayout>
                      <c:w val="0.71831533332330222"/>
                      <c:h val="6.7938937994867624E-2"/>
                    </c:manualLayout>
                  </c15:layout>
                  <c15:showDataLabelsRange val="0"/>
                </c:ext>
                <c:ext xmlns:c16="http://schemas.microsoft.com/office/drawing/2014/chart" uri="{C3380CC4-5D6E-409C-BE32-E72D297353CC}">
                  <c16:uniqueId val="{00000000-193C-48A6-B5DD-4A8E06A0A1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YWA'!$AK$16:$AK$17</c:f>
              <c:strCache>
                <c:ptCount val="2"/>
                <c:pt idx="0">
                  <c:v>Year 12 and above</c:v>
                </c:pt>
                <c:pt idx="1">
                  <c:v>Year 11 or less</c:v>
                </c:pt>
              </c:strCache>
            </c:strRef>
          </c:cat>
          <c:val>
            <c:numRef>
              <c:f>'3 YWA'!$AN$16:$AN$17</c:f>
              <c:numCache>
                <c:formatCode>General</c:formatCode>
                <c:ptCount val="2"/>
                <c:pt idx="0">
                  <c:v>0.9221972464</c:v>
                </c:pt>
                <c:pt idx="1">
                  <c:v>1.3826213011999999</c:v>
                </c:pt>
              </c:numCache>
            </c:numRef>
          </c:val>
          <c:extLst>
            <c:ext xmlns:c16="http://schemas.microsoft.com/office/drawing/2014/chart" uri="{C3380CC4-5D6E-409C-BE32-E72D297353CC}">
              <c16:uniqueId val="{00000002-A1DE-404B-9D87-DA91855DD2F5}"/>
            </c:ext>
          </c:extLst>
        </c:ser>
        <c:ser>
          <c:idx val="3"/>
          <c:order val="3"/>
          <c:tx>
            <c:v>E. Carer Payment</c:v>
          </c:tx>
          <c:spPr>
            <a:solidFill>
              <a:srgbClr val="E18BD7"/>
            </a:solidFill>
            <a:ln>
              <a:solidFill>
                <a:srgbClr val="E18BD7"/>
              </a:solidFill>
            </a:ln>
            <a:effectLst/>
          </c:spPr>
          <c:invertIfNegative val="0"/>
          <c:cat>
            <c:strRef>
              <c:f>'3 YWA'!$AK$16:$AK$17</c:f>
              <c:strCache>
                <c:ptCount val="2"/>
                <c:pt idx="0">
                  <c:v>Year 12 and above</c:v>
                </c:pt>
                <c:pt idx="1">
                  <c:v>Year 11 or less</c:v>
                </c:pt>
              </c:strCache>
            </c:strRef>
          </c:cat>
          <c:val>
            <c:numRef>
              <c:f>'3 YWA'!$AO$16:$AO$17</c:f>
              <c:numCache>
                <c:formatCode>General</c:formatCode>
                <c:ptCount val="2"/>
                <c:pt idx="0">
                  <c:v>1.1236076951</c:v>
                </c:pt>
                <c:pt idx="1">
                  <c:v>1.4798640808000001</c:v>
                </c:pt>
              </c:numCache>
            </c:numRef>
          </c:val>
          <c:extLst>
            <c:ext xmlns:c16="http://schemas.microsoft.com/office/drawing/2014/chart" uri="{C3380CC4-5D6E-409C-BE32-E72D297353CC}">
              <c16:uniqueId val="{00000003-A1DE-404B-9D87-DA91855DD2F5}"/>
            </c:ext>
          </c:extLst>
        </c:ser>
        <c:ser>
          <c:idx val="4"/>
          <c:order val="4"/>
          <c:tx>
            <c:v>E. DSP</c:v>
          </c:tx>
          <c:spPr>
            <a:solidFill>
              <a:srgbClr val="8064A2"/>
            </a:solidFill>
            <a:ln>
              <a:solidFill>
                <a:srgbClr val="8064A2"/>
              </a:solidFill>
            </a:ln>
            <a:effectLst/>
          </c:spPr>
          <c:invertIfNegative val="0"/>
          <c:dLbls>
            <c:dLbl>
              <c:idx val="0"/>
              <c:layout>
                <c:manualLayout>
                  <c:x val="9.9027409167562599E-2"/>
                  <c:y val="-5.1067190940247323E-17"/>
                </c:manualLayout>
              </c:layout>
              <c:tx>
                <c:rich>
                  <a:bodyPr/>
                  <a:lstStyle/>
                  <a:p>
                    <a:r>
                      <a:rPr lang="en-US"/>
                      <a:t>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1DE-404B-9D87-DA91855DD2F5}"/>
                </c:ext>
              </c:extLst>
            </c:dLbl>
            <c:dLbl>
              <c:idx val="1"/>
              <c:layout>
                <c:manualLayout>
                  <c:x val="0.11944444444444434"/>
                  <c:y val="-8.4875562720133283E-17"/>
                </c:manualLayout>
              </c:layout>
              <c:tx>
                <c:rich>
                  <a:bodyPr/>
                  <a:lstStyle/>
                  <a:p>
                    <a:r>
                      <a:rPr lang="en-US"/>
                      <a:t>13.8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1DE-404B-9D87-DA91855DD2F5}"/>
                </c:ext>
              </c:extLst>
            </c:dLbl>
            <c:dLbl>
              <c:idx val="2"/>
              <c:layout>
                <c:manualLayout>
                  <c:x val="3.6111111111111108E-2"/>
                  <c:y val="0"/>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1DE-404B-9D87-DA91855DD2F5}"/>
                </c:ext>
              </c:extLst>
            </c:dLbl>
            <c:dLbl>
              <c:idx val="3"/>
              <c:layout>
                <c:manualLayout>
                  <c:x val="3.0555555555555555E-2"/>
                  <c:y val="0"/>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1DE-404B-9D87-DA91855DD2F5}"/>
                </c:ext>
              </c:extLst>
            </c:dLbl>
            <c:dLbl>
              <c:idx val="4"/>
              <c:layout>
                <c:manualLayout>
                  <c:x val="3.3333333333333333E-2"/>
                  <c:y val="-4.2437781360066642E-17"/>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1DE-404B-9D87-DA91855DD2F5}"/>
                </c:ext>
              </c:extLst>
            </c:dLbl>
            <c:dLbl>
              <c:idx val="5"/>
              <c:layout>
                <c:manualLayout>
                  <c:x val="3.0555555555555555E-2"/>
                  <c:y val="-4.2437781360066642E-17"/>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1DE-404B-9D87-DA91855DD2F5}"/>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YWA'!$AK$16:$AK$17</c:f>
              <c:strCache>
                <c:ptCount val="2"/>
                <c:pt idx="0">
                  <c:v>Year 12 and above</c:v>
                </c:pt>
                <c:pt idx="1">
                  <c:v>Year 11 or less</c:v>
                </c:pt>
              </c:strCache>
            </c:strRef>
          </c:cat>
          <c:val>
            <c:numRef>
              <c:f>'3 YWA'!$AP$16:$AP$17</c:f>
              <c:numCache>
                <c:formatCode>General</c:formatCode>
                <c:ptCount val="2"/>
                <c:pt idx="0">
                  <c:v>2.3362729940999998</c:v>
                </c:pt>
                <c:pt idx="1">
                  <c:v>3.1329858165000002</c:v>
                </c:pt>
              </c:numCache>
            </c:numRef>
          </c:val>
          <c:extLst>
            <c:ext xmlns:c16="http://schemas.microsoft.com/office/drawing/2014/chart" uri="{C3380CC4-5D6E-409C-BE32-E72D297353CC}">
              <c16:uniqueId val="{0000000A-A1DE-404B-9D87-DA91855DD2F5}"/>
            </c:ext>
          </c:extLst>
        </c:ser>
        <c:dLbls>
          <c:showLegendKey val="0"/>
          <c:showVal val="0"/>
          <c:showCatName val="0"/>
          <c:showSerName val="0"/>
          <c:showPercent val="0"/>
          <c:showBubbleSize val="0"/>
        </c:dLbls>
        <c:gapWidth val="75"/>
        <c:overlap val="100"/>
        <c:axId val="560349184"/>
        <c:axId val="560347216"/>
      </c:barChart>
      <c:catAx>
        <c:axId val="56034918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Education level completed</a:t>
                </a:r>
              </a:p>
            </c:rich>
          </c:tx>
          <c:layout>
            <c:manualLayout>
              <c:xMode val="edge"/>
              <c:yMode val="edge"/>
              <c:x val="7.2774748518775302E-3"/>
              <c:y val="8.113745531112232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7216"/>
        <c:crosses val="autoZero"/>
        <c:auto val="1"/>
        <c:lblAlgn val="ctr"/>
        <c:lblOffset val="100"/>
        <c:noMultiLvlLbl val="0"/>
      </c:catAx>
      <c:valAx>
        <c:axId val="560347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Years</a:t>
                </a:r>
              </a:p>
            </c:rich>
          </c:tx>
          <c:layout>
            <c:manualLayout>
              <c:xMode val="edge"/>
              <c:yMode val="edge"/>
              <c:x val="0.60337044448894128"/>
              <c:y val="0.7173675783563265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9184"/>
        <c:crosses val="autoZero"/>
        <c:crossBetween val="between"/>
      </c:valAx>
      <c:spPr>
        <a:noFill/>
        <a:ln>
          <a:noFill/>
        </a:ln>
        <a:effectLst/>
      </c:spPr>
    </c:plotArea>
    <c:legend>
      <c:legendPos val="b"/>
      <c:layout>
        <c:manualLayout>
          <c:xMode val="edge"/>
          <c:yMode val="edge"/>
          <c:x val="5.3809053671319161E-3"/>
          <c:y val="0.82033294584695016"/>
          <c:w val="0.99201574803149606"/>
          <c:h val="0.179667054153049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6350"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62699499630451"/>
          <c:y val="0"/>
          <c:w val="0.55486883991939862"/>
          <c:h val="1"/>
        </c:manualLayout>
      </c:layout>
      <c:pieChart>
        <c:varyColors val="1"/>
        <c:ser>
          <c:idx val="0"/>
          <c:order val="0"/>
          <c:tx>
            <c:strRef>
              <c:f>'JSP Mix'!$A$17</c:f>
              <c:strCache>
                <c:ptCount val="1"/>
                <c:pt idx="0">
                  <c:v>PP</c:v>
                </c:pt>
              </c:strCache>
            </c:strRef>
          </c:tx>
          <c:dPt>
            <c:idx val="0"/>
            <c:bubble3D val="0"/>
            <c:spPr>
              <a:solidFill>
                <a:srgbClr val="009644"/>
              </a:solidFill>
              <a:ln w="19050">
                <a:solidFill>
                  <a:schemeClr val="lt1"/>
                </a:solidFill>
              </a:ln>
              <a:effectLst/>
            </c:spPr>
            <c:extLst>
              <c:ext xmlns:c16="http://schemas.microsoft.com/office/drawing/2014/chart" uri="{C3380CC4-5D6E-409C-BE32-E72D297353CC}">
                <c16:uniqueId val="{00000001-3FE6-4B66-B909-2C1C15141AAB}"/>
              </c:ext>
            </c:extLst>
          </c:dPt>
          <c:dPt>
            <c:idx val="1"/>
            <c:bubble3D val="0"/>
            <c:spPr>
              <a:solidFill>
                <a:srgbClr val="FFEC8F"/>
              </a:solidFill>
              <a:ln w="19050">
                <a:solidFill>
                  <a:schemeClr val="lt1"/>
                </a:solidFill>
              </a:ln>
              <a:effectLst/>
            </c:spPr>
            <c:extLst>
              <c:ext xmlns:c16="http://schemas.microsoft.com/office/drawing/2014/chart" uri="{C3380CC4-5D6E-409C-BE32-E72D297353CC}">
                <c16:uniqueId val="{00000003-3FE6-4B66-B909-2C1C15141AAB}"/>
              </c:ext>
            </c:extLst>
          </c:dPt>
          <c:dPt>
            <c:idx val="2"/>
            <c:bubble3D val="0"/>
            <c:spPr>
              <a:solidFill>
                <a:srgbClr val="1F497D"/>
              </a:solidFill>
              <a:ln w="19050">
                <a:solidFill>
                  <a:schemeClr val="lt1"/>
                </a:solidFill>
              </a:ln>
              <a:effectLst/>
            </c:spPr>
            <c:extLst>
              <c:ext xmlns:c16="http://schemas.microsoft.com/office/drawing/2014/chart" uri="{C3380CC4-5D6E-409C-BE32-E72D297353CC}">
                <c16:uniqueId val="{00000005-3FE6-4B66-B909-2C1C15141AAB}"/>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3FE6-4B66-B909-2C1C15141AAB}"/>
              </c:ext>
            </c:extLst>
          </c:dPt>
          <c:dLbls>
            <c:dLbl>
              <c:idx val="0"/>
              <c:layout>
                <c:manualLayout>
                  <c:x val="0.18580292853662292"/>
                  <c:y val="-0.21358823529411769"/>
                </c:manualLayout>
              </c:layout>
              <c:tx>
                <c:rich>
                  <a:bodyPr/>
                  <a:lstStyle/>
                  <a:p>
                    <a:r>
                      <a:rPr lang="en-US">
                        <a:solidFill>
                          <a:schemeClr val="tx1"/>
                        </a:solidFill>
                      </a:rPr>
                      <a:t>Youth Allowance (Other)</a:t>
                    </a:r>
                    <a:r>
                      <a:rPr lang="en-US" baseline="0">
                        <a:solidFill>
                          <a:schemeClr val="tx1"/>
                        </a:solidFill>
                      </a:rPr>
                      <a:t>
</a:t>
                    </a:r>
                    <a:fld id="{E82D994D-7FF5-4345-837D-8417383AF0DF}" type="PERCENTAGE">
                      <a:rPr lang="en-US" baseline="0">
                        <a:solidFill>
                          <a:schemeClr val="tx1"/>
                        </a:solidFill>
                      </a:rPr>
                      <a:pPr/>
                      <a:t>[PERCENTAGE]</a:t>
                    </a:fld>
                    <a:endParaRPr lang="en-US" baseline="0">
                      <a:solidFill>
                        <a:schemeClr val="tx1"/>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FE6-4B66-B909-2C1C15141AAB}"/>
                </c:ext>
              </c:extLst>
            </c:dLbl>
            <c:dLbl>
              <c:idx val="1"/>
              <c:layout>
                <c:manualLayout>
                  <c:x val="-0.15711433469023045"/>
                  <c:y val="0.122792959703566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FE6-4B66-B909-2C1C15141AAB}"/>
                </c:ext>
              </c:extLst>
            </c:dLbl>
            <c:dLbl>
              <c:idx val="2"/>
              <c:layout>
                <c:manualLayout>
                  <c:x val="-0.18035444367104075"/>
                  <c:y val="-0.10653589624826314"/>
                </c:manualLayout>
              </c:layout>
              <c:tx>
                <c:rich>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fld id="{79E171D6-B712-4B15-98FA-B43999D9587D}" type="CATEGORYNAME">
                      <a:rPr lang="en-US">
                        <a:solidFill>
                          <a:schemeClr val="bg1"/>
                        </a:solidFill>
                      </a:rPr>
                      <a:pPr>
                        <a:defRPr>
                          <a:solidFill>
                            <a:schemeClr val="bg1"/>
                          </a:solidFill>
                        </a:defRPr>
                      </a:pPr>
                      <a:t>[CATEGORY NAME]</a:t>
                    </a:fld>
                    <a:r>
                      <a:rPr lang="en-US">
                        <a:solidFill>
                          <a:schemeClr val="bg1"/>
                        </a:solidFill>
                      </a:rPr>
                      <a:t>s
</a:t>
                    </a:r>
                    <a:fld id="{75741FE8-BD47-460B-9A1A-94B815592171}" type="PERCENTAGE">
                      <a:rPr lang="en-US">
                        <a:solidFill>
                          <a:schemeClr val="bg1"/>
                        </a:solidFill>
                      </a:rPr>
                      <a:pPr>
                        <a:defRPr>
                          <a:solidFill>
                            <a:schemeClr val="bg1"/>
                          </a:solidFill>
                        </a:defRPr>
                      </a:pPr>
                      <a:t>[PERCENTAGE]</a:t>
                    </a:fld>
                    <a:endParaRPr lang="en-US">
                      <a:solidFill>
                        <a:schemeClr val="bg1"/>
                      </a:solidFill>
                    </a:endParaRPr>
                  </a:p>
                </c:rich>
              </c:tx>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9739820744841655"/>
                      <c:h val="0.23422000926354794"/>
                    </c:manualLayout>
                  </c15:layout>
                  <c15:dlblFieldTable/>
                  <c15:showDataLabelsRange val="0"/>
                </c:ext>
                <c:ext xmlns:c16="http://schemas.microsoft.com/office/drawing/2014/chart" uri="{C3380CC4-5D6E-409C-BE32-E72D297353CC}">
                  <c16:uniqueId val="{00000005-3FE6-4B66-B909-2C1C15141AAB}"/>
                </c:ext>
              </c:extLst>
            </c:dLbl>
            <c:dLbl>
              <c:idx val="3"/>
              <c:layout>
                <c:manualLayout>
                  <c:x val="3.5939614802476025E-2"/>
                  <c:y val="-9.1660490968040759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918205377201583"/>
                      <c:h val="0.17489624826308472"/>
                    </c:manualLayout>
                  </c15:layout>
                </c:ext>
                <c:ext xmlns:c16="http://schemas.microsoft.com/office/drawing/2014/chart" uri="{C3380CC4-5D6E-409C-BE32-E72D297353CC}">
                  <c16:uniqueId val="{00000007-3FE6-4B66-B909-2C1C15141AA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'JSP Mix'!$A$18:$A$21</c:f>
              <c:strCache>
                <c:ptCount val="4"/>
                <c:pt idx="0">
                  <c:v>YA (other)</c:v>
                </c:pt>
                <c:pt idx="1">
                  <c:v>Not on income support</c:v>
                </c:pt>
                <c:pt idx="2">
                  <c:v>Studying payment</c:v>
                </c:pt>
                <c:pt idx="3">
                  <c:v>Other income support</c:v>
                </c:pt>
              </c:strCache>
            </c:strRef>
          </c:cat>
          <c:val>
            <c:numRef>
              <c:f>'JSP Mix'!$C$18:$C$21</c:f>
              <c:numCache>
                <c:formatCode>General</c:formatCode>
                <c:ptCount val="4"/>
                <c:pt idx="0">
                  <c:v>55.36</c:v>
                </c:pt>
                <c:pt idx="1">
                  <c:v>28.38</c:v>
                </c:pt>
                <c:pt idx="2">
                  <c:v>13.65</c:v>
                </c:pt>
                <c:pt idx="3">
                  <c:v>2.61</c:v>
                </c:pt>
              </c:numCache>
            </c:numRef>
          </c:val>
          <c:extLst>
            <c:ext xmlns:c16="http://schemas.microsoft.com/office/drawing/2014/chart" uri="{C3380CC4-5D6E-409C-BE32-E72D297353CC}">
              <c16:uniqueId val="{00000008-3FE6-4B66-B909-2C1C15141AAB}"/>
            </c:ext>
          </c:extLst>
        </c:ser>
        <c:dLbls>
          <c:dLblPos val="bestFit"/>
          <c:showLegendKey val="0"/>
          <c:showVal val="0"/>
          <c:showCatName val="0"/>
          <c:showSerName val="0"/>
          <c:showPercent val="1"/>
          <c:showBubbleSize val="0"/>
          <c:showLeaderLines val="1"/>
        </c:dLbls>
        <c:firstSliceAng val="142"/>
      </c:pieChart>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sz="9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153252212722268"/>
          <c:y val="2.7931135044900995E-2"/>
          <c:w val="0.43611422010437728"/>
          <c:h val="0.57878541044438414"/>
        </c:manualLayout>
      </c:layout>
      <c:barChart>
        <c:barDir val="bar"/>
        <c:grouping val="stacked"/>
        <c:varyColors val="0"/>
        <c:ser>
          <c:idx val="0"/>
          <c:order val="0"/>
          <c:tx>
            <c:strRef>
              <c:f>'3 YWA'!$BC$15</c:f>
              <c:strCache>
                <c:ptCount val="1"/>
                <c:pt idx="0">
                  <c:v>A. Studying payments</c:v>
                </c:pt>
              </c:strCache>
            </c:strRef>
          </c:tx>
          <c:spPr>
            <a:solidFill>
              <a:srgbClr val="1F497D"/>
            </a:solidFill>
            <a:ln>
              <a:solidFill>
                <a:srgbClr val="1F497D"/>
              </a:solidFill>
            </a:ln>
            <a:effectLst/>
          </c:spPr>
          <c:invertIfNegative val="0"/>
          <c:cat>
            <c:strRef>
              <c:f>'3 YWA'!$BB$16:$BB$17</c:f>
              <c:strCache>
                <c:ptCount val="2"/>
                <c:pt idx="0">
                  <c:v>All other payments, or new to payment</c:v>
                </c:pt>
                <c:pt idx="1">
                  <c:v>Youth Allowance (other)</c:v>
                </c:pt>
              </c:strCache>
            </c:strRef>
          </c:cat>
          <c:val>
            <c:numRef>
              <c:f>'3 YWA'!$BC$16:$BC$17</c:f>
              <c:numCache>
                <c:formatCode>General</c:formatCode>
                <c:ptCount val="2"/>
                <c:pt idx="0">
                  <c:v>0.2274554956</c:v>
                </c:pt>
                <c:pt idx="1">
                  <c:v>0.1588663927</c:v>
                </c:pt>
              </c:numCache>
            </c:numRef>
          </c:val>
          <c:extLst>
            <c:ext xmlns:c16="http://schemas.microsoft.com/office/drawing/2014/chart" uri="{C3380CC4-5D6E-409C-BE32-E72D297353CC}">
              <c16:uniqueId val="{00000000-BB24-4991-B58E-8BE055A0590C}"/>
            </c:ext>
          </c:extLst>
        </c:ser>
        <c:ser>
          <c:idx val="1"/>
          <c:order val="1"/>
          <c:tx>
            <c:strRef>
              <c:f>'3 YWA'!$BD$15</c:f>
              <c:strCache>
                <c:ptCount val="1"/>
                <c:pt idx="0">
                  <c:v>B. Working age payments</c:v>
                </c:pt>
              </c:strCache>
            </c:strRef>
          </c:tx>
          <c:spPr>
            <a:solidFill>
              <a:srgbClr val="009644"/>
            </a:solidFill>
            <a:ln>
              <a:solidFill>
                <a:srgbClr val="009644"/>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YWA'!$BB$16:$BB$17</c:f>
              <c:strCache>
                <c:ptCount val="2"/>
                <c:pt idx="0">
                  <c:v>All other payments, or new to payment</c:v>
                </c:pt>
                <c:pt idx="1">
                  <c:v>Youth Allowance (other)</c:v>
                </c:pt>
              </c:strCache>
            </c:strRef>
          </c:cat>
          <c:val>
            <c:numRef>
              <c:f>'3 YWA'!$BD$16:$BD$17</c:f>
              <c:numCache>
                <c:formatCode>General</c:formatCode>
                <c:ptCount val="2"/>
                <c:pt idx="0">
                  <c:v>4.2916144404000001</c:v>
                </c:pt>
                <c:pt idx="1">
                  <c:v>7.1469501242</c:v>
                </c:pt>
              </c:numCache>
            </c:numRef>
          </c:val>
          <c:extLst>
            <c:ext xmlns:c16="http://schemas.microsoft.com/office/drawing/2014/chart" uri="{C3380CC4-5D6E-409C-BE32-E72D297353CC}">
              <c16:uniqueId val="{00000001-BB24-4991-B58E-8BE055A0590C}"/>
            </c:ext>
          </c:extLst>
        </c:ser>
        <c:ser>
          <c:idx val="2"/>
          <c:order val="2"/>
          <c:tx>
            <c:strRef>
              <c:f>'3 YWA'!$BE$15</c:f>
              <c:strCache>
                <c:ptCount val="1"/>
                <c:pt idx="0">
                  <c:v>C. Parenting Payment</c:v>
                </c:pt>
              </c:strCache>
            </c:strRef>
          </c:tx>
          <c:spPr>
            <a:solidFill>
              <a:srgbClr val="E26B0A"/>
            </a:solidFill>
            <a:ln>
              <a:solidFill>
                <a:srgbClr val="E26B0A"/>
              </a:solidFill>
            </a:ln>
            <a:effectLst/>
          </c:spPr>
          <c:invertIfNegative val="0"/>
          <c:dLbls>
            <c:dLbl>
              <c:idx val="0"/>
              <c:layout>
                <c:manualLayout>
                  <c:x val="-2.9398563162847332E-2"/>
                  <c:y val="-0.11494227733027625"/>
                </c:manualLayout>
              </c:layout>
              <c:tx>
                <c:rich>
                  <a:bodyPr/>
                  <a:lstStyle/>
                  <a:p>
                    <a:r>
                      <a:rPr lang="en-US" sz="800"/>
                      <a:t>A       B        C  D    E</a:t>
                    </a:r>
                  </a:p>
                </c:rich>
              </c:tx>
              <c:showLegendKey val="0"/>
              <c:showVal val="1"/>
              <c:showCatName val="0"/>
              <c:showSerName val="0"/>
              <c:showPercent val="0"/>
              <c:showBubbleSize val="0"/>
              <c:extLst>
                <c:ext xmlns:c15="http://schemas.microsoft.com/office/drawing/2012/chart" uri="{CE6537A1-D6FC-4f65-9D91-7224C49458BB}">
                  <c15:layout>
                    <c:manualLayout>
                      <c:w val="0.34495064127567621"/>
                      <c:h val="7.7873814623746734E-2"/>
                    </c:manualLayout>
                  </c15:layout>
                  <c15:showDataLabelsRange val="0"/>
                </c:ext>
                <c:ext xmlns:c16="http://schemas.microsoft.com/office/drawing/2014/chart" uri="{C3380CC4-5D6E-409C-BE32-E72D297353CC}">
                  <c16:uniqueId val="{00000001-738F-43C0-BA05-B27F1F6B3EC6}"/>
                </c:ext>
              </c:extLst>
            </c:dLbl>
            <c:dLbl>
              <c:idx val="1"/>
              <c:layout>
                <c:manualLayout>
                  <c:x val="-5.8797357812266651E-2"/>
                  <c:y val="-0.11494227733027625"/>
                </c:manualLayout>
              </c:layout>
              <c:tx>
                <c:rich>
                  <a:bodyPr/>
                  <a:lstStyle/>
                  <a:p>
                    <a:r>
                      <a:rPr lang="en-US" sz="800"/>
                      <a:t>A              B              C    D       E</a:t>
                    </a:r>
                  </a:p>
                </c:rich>
              </c:tx>
              <c:showLegendKey val="0"/>
              <c:showVal val="1"/>
              <c:showCatName val="0"/>
              <c:showSerName val="0"/>
              <c:showPercent val="0"/>
              <c:showBubbleSize val="0"/>
              <c:extLst>
                <c:ext xmlns:c15="http://schemas.microsoft.com/office/drawing/2012/chart" uri="{CE6537A1-D6FC-4f65-9D91-7224C49458BB}">
                  <c15:layout>
                    <c:manualLayout>
                      <c:w val="0.44490654308370209"/>
                      <c:h val="7.7873814623746734E-2"/>
                    </c:manualLayout>
                  </c15:layout>
                  <c15:showDataLabelsRange val="0"/>
                </c:ext>
                <c:ext xmlns:c16="http://schemas.microsoft.com/office/drawing/2014/chart" uri="{C3380CC4-5D6E-409C-BE32-E72D297353CC}">
                  <c16:uniqueId val="{00000000-738F-43C0-BA05-B27F1F6B3E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YWA'!$BB$16:$BB$17</c:f>
              <c:strCache>
                <c:ptCount val="2"/>
                <c:pt idx="0">
                  <c:v>All other payments, or new to payment</c:v>
                </c:pt>
                <c:pt idx="1">
                  <c:v>Youth Allowance (other)</c:v>
                </c:pt>
              </c:strCache>
            </c:strRef>
          </c:cat>
          <c:val>
            <c:numRef>
              <c:f>'3 YWA'!$BE$16:$BE$17</c:f>
              <c:numCache>
                <c:formatCode>General</c:formatCode>
                <c:ptCount val="2"/>
                <c:pt idx="0">
                  <c:v>0.83492612359999996</c:v>
                </c:pt>
                <c:pt idx="1">
                  <c:v>1.1818442722</c:v>
                </c:pt>
              </c:numCache>
            </c:numRef>
          </c:val>
          <c:extLst>
            <c:ext xmlns:c16="http://schemas.microsoft.com/office/drawing/2014/chart" uri="{C3380CC4-5D6E-409C-BE32-E72D297353CC}">
              <c16:uniqueId val="{00000002-BB24-4991-B58E-8BE055A0590C}"/>
            </c:ext>
          </c:extLst>
        </c:ser>
        <c:ser>
          <c:idx val="3"/>
          <c:order val="3"/>
          <c:tx>
            <c:strRef>
              <c:f>'3 YWA'!$BF$15</c:f>
              <c:strCache>
                <c:ptCount val="1"/>
                <c:pt idx="0">
                  <c:v>D. Carer Payment</c:v>
                </c:pt>
              </c:strCache>
            </c:strRef>
          </c:tx>
          <c:spPr>
            <a:solidFill>
              <a:srgbClr val="E18BD7"/>
            </a:solidFill>
            <a:ln>
              <a:solidFill>
                <a:srgbClr val="E18BD7"/>
              </a:solidFill>
            </a:ln>
            <a:effectLst/>
          </c:spPr>
          <c:invertIfNegative val="0"/>
          <c:cat>
            <c:strRef>
              <c:f>'3 YWA'!$BB$16:$BB$17</c:f>
              <c:strCache>
                <c:ptCount val="2"/>
                <c:pt idx="0">
                  <c:v>All other payments, or new to payment</c:v>
                </c:pt>
                <c:pt idx="1">
                  <c:v>Youth Allowance (other)</c:v>
                </c:pt>
              </c:strCache>
            </c:strRef>
          </c:cat>
          <c:val>
            <c:numRef>
              <c:f>'3 YWA'!$BF$16:$BF$17</c:f>
              <c:numCache>
                <c:formatCode>General</c:formatCode>
                <c:ptCount val="2"/>
                <c:pt idx="0">
                  <c:v>1.0014068243000001</c:v>
                </c:pt>
                <c:pt idx="1">
                  <c:v>1.3686064206999999</c:v>
                </c:pt>
              </c:numCache>
            </c:numRef>
          </c:val>
          <c:extLst>
            <c:ext xmlns:c16="http://schemas.microsoft.com/office/drawing/2014/chart" uri="{C3380CC4-5D6E-409C-BE32-E72D297353CC}">
              <c16:uniqueId val="{00000003-BB24-4991-B58E-8BE055A0590C}"/>
            </c:ext>
          </c:extLst>
        </c:ser>
        <c:ser>
          <c:idx val="4"/>
          <c:order val="4"/>
          <c:tx>
            <c:strRef>
              <c:f>'3 YWA'!$BG$15</c:f>
              <c:strCache>
                <c:ptCount val="1"/>
                <c:pt idx="0">
                  <c:v>E. DSP</c:v>
                </c:pt>
              </c:strCache>
            </c:strRef>
          </c:tx>
          <c:spPr>
            <a:solidFill>
              <a:srgbClr val="8064A2"/>
            </a:solidFill>
            <a:ln>
              <a:solidFill>
                <a:srgbClr val="8064A2"/>
              </a:solidFill>
            </a:ln>
            <a:effectLst/>
          </c:spPr>
          <c:invertIfNegative val="0"/>
          <c:dLbls>
            <c:dLbl>
              <c:idx val="0"/>
              <c:layout>
                <c:manualLayout>
                  <c:x val="5.5461173335987608E-2"/>
                  <c:y val="0"/>
                </c:manualLayout>
              </c:layout>
              <c:tx>
                <c:rich>
                  <a:bodyPr/>
                  <a:lstStyle/>
                  <a:p>
                    <a:r>
                      <a:rPr lang="en-US"/>
                      <a:t>8.2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B24-4991-B58E-8BE055A0590C}"/>
                </c:ext>
              </c:extLst>
            </c:dLbl>
            <c:dLbl>
              <c:idx val="1"/>
              <c:layout>
                <c:manualLayout>
                  <c:x val="7.6253065750288493E-2"/>
                  <c:y val="0"/>
                </c:manualLayout>
              </c:layout>
              <c:tx>
                <c:rich>
                  <a:bodyPr/>
                  <a:lstStyle/>
                  <a:p>
                    <a:r>
                      <a:rPr lang="en-US"/>
                      <a:t>12.9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B24-4991-B58E-8BE055A0590C}"/>
                </c:ext>
              </c:extLst>
            </c:dLbl>
            <c:dLbl>
              <c:idx val="2"/>
              <c:tx>
                <c:rich>
                  <a:bodyPr/>
                  <a:lstStyle/>
                  <a:p>
                    <a:r>
                      <a:rPr lang="en-AU"/>
                      <a:t>Add text</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B24-4991-B58E-8BE055A0590C}"/>
                </c:ext>
              </c:extLst>
            </c:dLbl>
            <c:dLbl>
              <c:idx val="3"/>
              <c:tx>
                <c:rich>
                  <a:bodyPr/>
                  <a:lstStyle/>
                  <a:p>
                    <a:r>
                      <a:rPr lang="en-AU"/>
                      <a:t>Add text</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B24-4991-B58E-8BE055A0590C}"/>
                </c:ext>
              </c:extLst>
            </c:dLbl>
            <c:dLbl>
              <c:idx val="4"/>
              <c:tx>
                <c:rich>
                  <a:bodyPr/>
                  <a:lstStyle/>
                  <a:p>
                    <a:r>
                      <a:rPr lang="en-AU"/>
                      <a:t>Add text</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B24-4991-B58E-8BE055A0590C}"/>
                </c:ext>
              </c:extLst>
            </c:dLbl>
            <c:dLbl>
              <c:idx val="5"/>
              <c:tx>
                <c:rich>
                  <a:bodyPr/>
                  <a:lstStyle/>
                  <a:p>
                    <a:r>
                      <a:rPr lang="en-AU"/>
                      <a:t>Add text</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B24-4991-B58E-8BE055A0590C}"/>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YWA'!$BB$16:$BB$17</c:f>
              <c:strCache>
                <c:ptCount val="2"/>
                <c:pt idx="0">
                  <c:v>All other payments, or new to payment</c:v>
                </c:pt>
                <c:pt idx="1">
                  <c:v>Youth Allowance (other)</c:v>
                </c:pt>
              </c:strCache>
            </c:strRef>
          </c:cat>
          <c:val>
            <c:numRef>
              <c:f>'3 YWA'!$BG$16:$BG$17</c:f>
              <c:numCache>
                <c:formatCode>General</c:formatCode>
                <c:ptCount val="2"/>
                <c:pt idx="0">
                  <c:v>1.8810629619000001</c:v>
                </c:pt>
                <c:pt idx="1">
                  <c:v>3.0308996194</c:v>
                </c:pt>
              </c:numCache>
            </c:numRef>
          </c:val>
          <c:extLst>
            <c:ext xmlns:c16="http://schemas.microsoft.com/office/drawing/2014/chart" uri="{C3380CC4-5D6E-409C-BE32-E72D297353CC}">
              <c16:uniqueId val="{0000000A-BB24-4991-B58E-8BE055A0590C}"/>
            </c:ext>
          </c:extLst>
        </c:ser>
        <c:dLbls>
          <c:showLegendKey val="0"/>
          <c:showVal val="0"/>
          <c:showCatName val="0"/>
          <c:showSerName val="0"/>
          <c:showPercent val="0"/>
          <c:showBubbleSize val="0"/>
        </c:dLbls>
        <c:gapWidth val="75"/>
        <c:overlap val="100"/>
        <c:axId val="560349184"/>
        <c:axId val="560347216"/>
      </c:barChart>
      <c:catAx>
        <c:axId val="56034918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Previous payment</a:t>
                </a:r>
              </a:p>
            </c:rich>
          </c:tx>
          <c:layout>
            <c:manualLayout>
              <c:xMode val="edge"/>
              <c:yMode val="edge"/>
              <c:x val="3.4280846453799332E-3"/>
              <c:y val="3.2050663207328974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7216"/>
        <c:crosses val="autoZero"/>
        <c:auto val="1"/>
        <c:lblAlgn val="ctr"/>
        <c:lblOffset val="100"/>
        <c:noMultiLvlLbl val="0"/>
      </c:catAx>
      <c:valAx>
        <c:axId val="560347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Years</a:t>
                </a:r>
              </a:p>
            </c:rich>
          </c:tx>
          <c:layout>
            <c:manualLayout>
              <c:xMode val="edge"/>
              <c:yMode val="edge"/>
              <c:x val="0.70030382612580599"/>
              <c:y val="0.6691887651974537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9184"/>
        <c:crosses val="autoZero"/>
        <c:crossBetween val="between"/>
      </c:valAx>
      <c:spPr>
        <a:noFill/>
        <a:ln>
          <a:noFill/>
        </a:ln>
        <a:effectLst/>
      </c:spPr>
    </c:plotArea>
    <c:legend>
      <c:legendPos val="b"/>
      <c:layout>
        <c:manualLayout>
          <c:xMode val="edge"/>
          <c:yMode val="edge"/>
          <c:x val="5.9154078619784462E-3"/>
          <c:y val="0.78767409820898837"/>
          <c:w val="0.99110883225441304"/>
          <c:h val="0.20594020575014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01346210159713"/>
          <c:y val="6.6174102921592065E-2"/>
          <c:w val="0.81863336048511193"/>
          <c:h val="0.52764061862785072"/>
        </c:manualLayout>
      </c:layout>
      <c:barChart>
        <c:barDir val="bar"/>
        <c:grouping val="stacked"/>
        <c:varyColors val="0"/>
        <c:ser>
          <c:idx val="0"/>
          <c:order val="0"/>
          <c:tx>
            <c:v>A. Studying payments</c:v>
          </c:tx>
          <c:spPr>
            <a:solidFill>
              <a:srgbClr val="1F497D"/>
            </a:solidFill>
            <a:ln>
              <a:solidFill>
                <a:srgbClr val="1F497D"/>
              </a:solidFill>
            </a:ln>
            <a:effectLst/>
          </c:spPr>
          <c:invertIfNegative val="0"/>
          <c:cat>
            <c:strRef>
              <c:f>'3 YWA'!$BS$16:$BS$17</c:f>
              <c:strCache>
                <c:ptCount val="2"/>
                <c:pt idx="0">
                  <c:v>Full</c:v>
                </c:pt>
                <c:pt idx="1">
                  <c:v>Partial</c:v>
                </c:pt>
              </c:strCache>
            </c:strRef>
          </c:cat>
          <c:val>
            <c:numRef>
              <c:f>'3 YWA'!$BK$16:$BK$17</c:f>
              <c:numCache>
                <c:formatCode>General</c:formatCode>
                <c:ptCount val="2"/>
                <c:pt idx="0">
                  <c:v>0.19350583960000001</c:v>
                </c:pt>
                <c:pt idx="1">
                  <c:v>0.1779512415</c:v>
                </c:pt>
              </c:numCache>
            </c:numRef>
          </c:val>
          <c:extLst>
            <c:ext xmlns:c16="http://schemas.microsoft.com/office/drawing/2014/chart" uri="{C3380CC4-5D6E-409C-BE32-E72D297353CC}">
              <c16:uniqueId val="{00000000-8C44-4FBB-8A05-22B61DF2B139}"/>
            </c:ext>
          </c:extLst>
        </c:ser>
        <c:ser>
          <c:idx val="1"/>
          <c:order val="1"/>
          <c:tx>
            <c:v>B. Working age payments</c:v>
          </c:tx>
          <c:spPr>
            <a:solidFill>
              <a:srgbClr val="009644"/>
            </a:solidFill>
            <a:ln>
              <a:solidFill>
                <a:srgbClr val="009644"/>
              </a:solid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YWA'!$BS$16:$BS$17</c:f>
              <c:strCache>
                <c:ptCount val="2"/>
                <c:pt idx="0">
                  <c:v>Full</c:v>
                </c:pt>
                <c:pt idx="1">
                  <c:v>Partial</c:v>
                </c:pt>
              </c:strCache>
            </c:strRef>
          </c:cat>
          <c:val>
            <c:numRef>
              <c:f>'3 YWA'!$BL$16:$BL$17</c:f>
              <c:numCache>
                <c:formatCode>General</c:formatCode>
                <c:ptCount val="2"/>
                <c:pt idx="0">
                  <c:v>5.5550023752</c:v>
                </c:pt>
                <c:pt idx="1">
                  <c:v>6.7828869428000003</c:v>
                </c:pt>
              </c:numCache>
            </c:numRef>
          </c:val>
          <c:extLst>
            <c:ext xmlns:c16="http://schemas.microsoft.com/office/drawing/2014/chart" uri="{C3380CC4-5D6E-409C-BE32-E72D297353CC}">
              <c16:uniqueId val="{00000001-8C44-4FBB-8A05-22B61DF2B139}"/>
            </c:ext>
          </c:extLst>
        </c:ser>
        <c:ser>
          <c:idx val="2"/>
          <c:order val="2"/>
          <c:tx>
            <c:v>C. Parenting Payment</c:v>
          </c:tx>
          <c:spPr>
            <a:solidFill>
              <a:srgbClr val="E26B0A"/>
            </a:solidFill>
            <a:ln>
              <a:solidFill>
                <a:srgbClr val="E26B0A"/>
              </a:solidFill>
            </a:ln>
            <a:effectLst/>
          </c:spPr>
          <c:invertIfNegative val="0"/>
          <c:dLbls>
            <c:dLbl>
              <c:idx val="0"/>
              <c:layout>
                <c:manualLayout>
                  <c:x val="-9.7015790856511908E-2"/>
                  <c:y val="-0.111358574610245"/>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r>
                      <a:rPr lang="en-US" sz="800"/>
                      <a:t>A                       B                          C       D            E</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68796119359106278"/>
                      <c:h val="9.4209354120267264E-2"/>
                    </c:manualLayout>
                  </c15:layout>
                  <c15:showDataLabelsRange val="0"/>
                </c:ext>
                <c:ext xmlns:c16="http://schemas.microsoft.com/office/drawing/2014/chart" uri="{C3380CC4-5D6E-409C-BE32-E72D297353CC}">
                  <c16:uniqueId val="{00000001-911D-48A1-BE0C-7A3146D4C6DE}"/>
                </c:ext>
              </c:extLst>
            </c:dLbl>
            <c:dLbl>
              <c:idx val="1"/>
              <c:layout>
                <c:manualLayout>
                  <c:x val="-0.10877565594613772"/>
                  <c:y val="-0.1113582823305216"/>
                </c:manualLayout>
              </c:layout>
              <c:tx>
                <c:rich>
                  <a:bodyPr/>
                  <a:lstStyle/>
                  <a:p>
                    <a:r>
                      <a:rPr lang="en-US" sz="800"/>
                      <a:t>A                            B                    </a:t>
                    </a:r>
                    <a:r>
                      <a:rPr lang="en-US" sz="800" baseline="0"/>
                      <a:t>             </a:t>
                    </a:r>
                    <a:r>
                      <a:rPr lang="en-US" sz="800"/>
                      <a:t>C        D                   E   </a:t>
                    </a:r>
                  </a:p>
                </c:rich>
              </c:tx>
              <c:showLegendKey val="0"/>
              <c:showVal val="1"/>
              <c:showCatName val="0"/>
              <c:showSerName val="0"/>
              <c:showPercent val="0"/>
              <c:showBubbleSize val="0"/>
              <c:extLst>
                <c:ext xmlns:c15="http://schemas.microsoft.com/office/drawing/2012/chart" uri="{CE6537A1-D6FC-4f65-9D91-7224C49458BB}">
                  <c15:layout>
                    <c:manualLayout>
                      <c:w val="0.79475219941179254"/>
                      <c:h val="9.0534813437852552E-2"/>
                    </c:manualLayout>
                  </c15:layout>
                  <c15:showDataLabelsRange val="0"/>
                </c:ext>
                <c:ext xmlns:c16="http://schemas.microsoft.com/office/drawing/2014/chart" uri="{C3380CC4-5D6E-409C-BE32-E72D297353CC}">
                  <c16:uniqueId val="{00000000-911D-48A1-BE0C-7A3146D4C6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YWA'!$BS$16:$BS$17</c:f>
              <c:strCache>
                <c:ptCount val="2"/>
                <c:pt idx="0">
                  <c:v>Full</c:v>
                </c:pt>
                <c:pt idx="1">
                  <c:v>Partial</c:v>
                </c:pt>
              </c:strCache>
            </c:strRef>
          </c:cat>
          <c:val>
            <c:numRef>
              <c:f>'3 YWA'!$BM$16:$BM$17</c:f>
              <c:numCache>
                <c:formatCode>General</c:formatCode>
                <c:ptCount val="2"/>
                <c:pt idx="0">
                  <c:v>0.98806104110000004</c:v>
                </c:pt>
                <c:pt idx="1">
                  <c:v>1.1386575803000001</c:v>
                </c:pt>
              </c:numCache>
            </c:numRef>
          </c:val>
          <c:extLst>
            <c:ext xmlns:c16="http://schemas.microsoft.com/office/drawing/2014/chart" uri="{C3380CC4-5D6E-409C-BE32-E72D297353CC}">
              <c16:uniqueId val="{00000002-8C44-4FBB-8A05-22B61DF2B139}"/>
            </c:ext>
          </c:extLst>
        </c:ser>
        <c:ser>
          <c:idx val="3"/>
          <c:order val="3"/>
          <c:tx>
            <c:v>D. Carer Payment</c:v>
          </c:tx>
          <c:spPr>
            <a:solidFill>
              <a:srgbClr val="E18BD7"/>
            </a:solidFill>
            <a:ln>
              <a:solidFill>
                <a:srgbClr val="E18BD7"/>
              </a:solidFill>
            </a:ln>
            <a:effectLst/>
          </c:spPr>
          <c:invertIfNegative val="0"/>
          <c:cat>
            <c:strRef>
              <c:f>'3 YWA'!$BS$16:$BS$17</c:f>
              <c:strCache>
                <c:ptCount val="2"/>
                <c:pt idx="0">
                  <c:v>Full</c:v>
                </c:pt>
                <c:pt idx="1">
                  <c:v>Partial</c:v>
                </c:pt>
              </c:strCache>
            </c:strRef>
          </c:cat>
          <c:val>
            <c:numRef>
              <c:f>'3 YWA'!$BN$16:$BN$17</c:f>
              <c:numCache>
                <c:formatCode>General</c:formatCode>
                <c:ptCount val="2"/>
                <c:pt idx="0">
                  <c:v>1.1571880002999999</c:v>
                </c:pt>
                <c:pt idx="1">
                  <c:v>1.3410004911</c:v>
                </c:pt>
              </c:numCache>
            </c:numRef>
          </c:val>
          <c:extLst>
            <c:ext xmlns:c16="http://schemas.microsoft.com/office/drawing/2014/chart" uri="{C3380CC4-5D6E-409C-BE32-E72D297353CC}">
              <c16:uniqueId val="{00000003-8C44-4FBB-8A05-22B61DF2B139}"/>
            </c:ext>
          </c:extLst>
        </c:ser>
        <c:ser>
          <c:idx val="4"/>
          <c:order val="4"/>
          <c:tx>
            <c:v>E. DSP</c:v>
          </c:tx>
          <c:spPr>
            <a:solidFill>
              <a:srgbClr val="8064A2"/>
            </a:solidFill>
            <a:ln>
              <a:solidFill>
                <a:srgbClr val="8064A2"/>
              </a:solid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YWA'!$BS$16:$BS$17</c:f>
              <c:strCache>
                <c:ptCount val="2"/>
                <c:pt idx="0">
                  <c:v>Full</c:v>
                </c:pt>
                <c:pt idx="1">
                  <c:v>Partial</c:v>
                </c:pt>
              </c:strCache>
            </c:strRef>
          </c:cat>
          <c:val>
            <c:numRef>
              <c:f>'3 YWA'!$BO$16:$BO$17</c:f>
              <c:numCache>
                <c:formatCode>General</c:formatCode>
                <c:ptCount val="2"/>
                <c:pt idx="0">
                  <c:v>2.1872466374999999</c:v>
                </c:pt>
                <c:pt idx="1">
                  <c:v>3.4659047081000001</c:v>
                </c:pt>
              </c:numCache>
            </c:numRef>
          </c:val>
          <c:extLst>
            <c:ext xmlns:c16="http://schemas.microsoft.com/office/drawing/2014/chart" uri="{C3380CC4-5D6E-409C-BE32-E72D297353CC}">
              <c16:uniqueId val="{00000004-8C44-4FBB-8A05-22B61DF2B139}"/>
            </c:ext>
          </c:extLst>
        </c:ser>
        <c:dLbls>
          <c:showLegendKey val="0"/>
          <c:showVal val="0"/>
          <c:showCatName val="0"/>
          <c:showSerName val="0"/>
          <c:showPercent val="0"/>
          <c:showBubbleSize val="0"/>
        </c:dLbls>
        <c:gapWidth val="75"/>
        <c:overlap val="100"/>
        <c:axId val="560349184"/>
        <c:axId val="560347216"/>
      </c:barChart>
      <c:catAx>
        <c:axId val="56034918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Capacity to work</a:t>
                </a:r>
              </a:p>
            </c:rich>
          </c:tx>
          <c:layout>
            <c:manualLayout>
              <c:xMode val="edge"/>
              <c:yMode val="edge"/>
              <c:x val="4.890385320973494E-3"/>
              <c:y val="2.4313454842049127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7216"/>
        <c:crosses val="autoZero"/>
        <c:auto val="1"/>
        <c:lblAlgn val="ctr"/>
        <c:lblOffset val="100"/>
        <c:noMultiLvlLbl val="0"/>
      </c:catAx>
      <c:valAx>
        <c:axId val="560347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Years</a:t>
                </a:r>
              </a:p>
            </c:rich>
          </c:tx>
          <c:layout>
            <c:manualLayout>
              <c:xMode val="edge"/>
              <c:yMode val="edge"/>
              <c:x val="0.52793429485139143"/>
              <c:y val="0.6510649655990982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9184"/>
        <c:crosses val="autoZero"/>
        <c:crossBetween val="between"/>
      </c:valAx>
      <c:spPr>
        <a:noFill/>
        <a:ln>
          <a:noFill/>
        </a:ln>
        <a:effectLst/>
      </c:spPr>
    </c:plotArea>
    <c:legend>
      <c:legendPos val="b"/>
      <c:layout>
        <c:manualLayout>
          <c:xMode val="edge"/>
          <c:yMode val="edge"/>
          <c:x val="0"/>
          <c:y val="0.7827769238008595"/>
          <c:w val="0.99717979909280408"/>
          <c:h val="0.217223076199140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6350"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65419794971958"/>
          <c:y val="3.1230822685386826E-2"/>
          <c:w val="0.83257317001184061"/>
          <c:h val="0.69987736249126065"/>
        </c:manualLayout>
      </c:layout>
      <c:barChart>
        <c:barDir val="col"/>
        <c:grouping val="clustered"/>
        <c:varyColors val="0"/>
        <c:ser>
          <c:idx val="1"/>
          <c:order val="1"/>
          <c:tx>
            <c:strRef>
              <c:f>'1. Number of people'!$I$8</c:f>
              <c:strCache>
                <c:ptCount val="1"/>
                <c:pt idx="0">
                  <c:v>Number of people</c:v>
                </c:pt>
              </c:strCache>
            </c:strRef>
          </c:tx>
          <c:spPr>
            <a:solidFill>
              <a:srgbClr val="C00000"/>
            </a:solidFill>
            <a:ln>
              <a:noFill/>
            </a:ln>
            <a:effectLst/>
          </c:spPr>
          <c:invertIfNegative val="0"/>
          <c:dLbls>
            <c:dLbl>
              <c:idx val="0"/>
              <c:tx>
                <c:rich>
                  <a:bodyPr/>
                  <a:lstStyle/>
                  <a:p>
                    <a:fld id="{2E4616D0-0966-4E8E-8DF6-09ECA1E4A007}" type="CELLRANGE">
                      <a:rPr lang="en-AU"/>
                      <a:pPr/>
                      <a:t>[CELLRANGE]</a:t>
                    </a:fld>
                    <a:endParaRPr lang="en-AU"/>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591-444D-A47F-0CF946E49DAA}"/>
                </c:ext>
              </c:extLst>
            </c:dLbl>
            <c:dLbl>
              <c:idx val="1"/>
              <c:tx>
                <c:rich>
                  <a:bodyPr/>
                  <a:lstStyle/>
                  <a:p>
                    <a:fld id="{45F285FA-6172-4BA1-BA6C-325998CBDFE2}" type="CELLRANGE">
                      <a:rPr lang="en-AU"/>
                      <a:pPr/>
                      <a:t>[CELLRANGE]</a:t>
                    </a:fld>
                    <a:endParaRPr lang="en-AU"/>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591-444D-A47F-0CF946E49DAA}"/>
                </c:ext>
              </c:extLst>
            </c:dLbl>
            <c:dLbl>
              <c:idx val="2"/>
              <c:tx>
                <c:rich>
                  <a:bodyPr/>
                  <a:lstStyle/>
                  <a:p>
                    <a:fld id="{9E530AC1-7E56-4657-8E6E-9C67AF69D8B4}" type="CELLRANGE">
                      <a:rPr lang="en-AU"/>
                      <a:pPr/>
                      <a:t>[CELLRANGE]</a:t>
                    </a:fld>
                    <a:endParaRPr lang="en-AU"/>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591-444D-A47F-0CF946E49DA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'1. Number of people'!$J$7:$L$7</c:f>
              <c:strCache>
                <c:ptCount val="3"/>
                <c:pt idx="0">
                  <c:v>50% to 100%</c:v>
                </c:pt>
                <c:pt idx="1">
                  <c:v>Under 50%</c:v>
                </c:pt>
                <c:pt idx="2">
                  <c:v>Not at all</c:v>
                </c:pt>
              </c:strCache>
            </c:strRef>
          </c:cat>
          <c:val>
            <c:numRef>
              <c:f>'1. Number of people'!$J$8:$L$8</c:f>
              <c:numCache>
                <c:formatCode>General</c:formatCode>
                <c:ptCount val="3"/>
                <c:pt idx="0">
                  <c:v>56454</c:v>
                </c:pt>
                <c:pt idx="1">
                  <c:v>105739</c:v>
                </c:pt>
                <c:pt idx="2">
                  <c:v>164256</c:v>
                </c:pt>
              </c:numCache>
            </c:numRef>
          </c:val>
          <c:extLst>
            <c:ext xmlns:c15="http://schemas.microsoft.com/office/drawing/2012/chart" uri="{02D57815-91ED-43cb-92C2-25804820EDAC}">
              <c15:datalabelsRange>
                <c15:f>'1. Number of people'!$J$9:$L$9</c15:f>
                <c15:dlblRangeCache>
                  <c:ptCount val="3"/>
                  <c:pt idx="0">
                    <c:v>17%</c:v>
                  </c:pt>
                  <c:pt idx="1">
                    <c:v>32%</c:v>
                  </c:pt>
                  <c:pt idx="2">
                    <c:v>50%</c:v>
                  </c:pt>
                </c15:dlblRangeCache>
              </c15:datalabelsRange>
            </c:ext>
            <c:ext xmlns:c16="http://schemas.microsoft.com/office/drawing/2014/chart" uri="{C3380CC4-5D6E-409C-BE32-E72D297353CC}">
              <c16:uniqueId val="{00000003-A591-444D-A47F-0CF946E49DAA}"/>
            </c:ext>
          </c:extLst>
        </c:ser>
        <c:dLbls>
          <c:showLegendKey val="0"/>
          <c:showVal val="0"/>
          <c:showCatName val="0"/>
          <c:showSerName val="0"/>
          <c:showPercent val="0"/>
          <c:showBubbleSize val="0"/>
        </c:dLbls>
        <c:gapWidth val="219"/>
        <c:overlap val="-27"/>
        <c:axId val="612863360"/>
        <c:axId val="612861720"/>
        <c:extLst>
          <c:ext xmlns:c15="http://schemas.microsoft.com/office/drawing/2012/chart" uri="{02D57815-91ED-43cb-92C2-25804820EDAC}">
            <c15:filteredBarSeries>
              <c15:ser>
                <c:idx val="0"/>
                <c:order val="0"/>
                <c:tx>
                  <c:strRef>
                    <c:extLst>
                      <c:ext uri="{02D57815-91ED-43cb-92C2-25804820EDAC}">
                        <c15:formulaRef>
                          <c15:sqref>'1. Number of people'!$I$7</c15:sqref>
                        </c15:formulaRef>
                      </c:ext>
                    </c:extLst>
                    <c:strCache>
                      <c:ptCount val="1"/>
                      <c:pt idx="0">
                        <c:v>Parental IS usage</c:v>
                      </c:pt>
                    </c:strCache>
                  </c:strRef>
                </c:tx>
                <c:spPr>
                  <a:solidFill>
                    <a:schemeClr val="accent1"/>
                  </a:solidFill>
                  <a:ln>
                    <a:noFill/>
                  </a:ln>
                  <a:effectLst/>
                </c:spPr>
                <c:invertIfNegative val="0"/>
                <c:cat>
                  <c:strRef>
                    <c:extLst>
                      <c:ext uri="{02D57815-91ED-43cb-92C2-25804820EDAC}">
                        <c15:formulaRef>
                          <c15:sqref>'1. Number of people'!$J$7:$L$7</c15:sqref>
                        </c15:formulaRef>
                      </c:ext>
                    </c:extLst>
                    <c:strCache>
                      <c:ptCount val="3"/>
                      <c:pt idx="0">
                        <c:v>50% to 100%</c:v>
                      </c:pt>
                      <c:pt idx="1">
                        <c:v>Under 50%</c:v>
                      </c:pt>
                      <c:pt idx="2">
                        <c:v>Not at all</c:v>
                      </c:pt>
                    </c:strCache>
                  </c:strRef>
                </c:cat>
                <c:val>
                  <c:numRef>
                    <c:extLst>
                      <c:ext uri="{02D57815-91ED-43cb-92C2-25804820EDAC}">
                        <c15:formulaRef>
                          <c15:sqref>'1. Number of people'!$L$7</c15:sqref>
                        </c15:formulaRef>
                      </c:ext>
                    </c:extLst>
                    <c:numCache>
                      <c:formatCode>General</c:formatCode>
                      <c:ptCount val="1"/>
                      <c:pt idx="0">
                        <c:v>0</c:v>
                      </c:pt>
                    </c:numCache>
                  </c:numRef>
                </c:val>
                <c:extLst>
                  <c:ext xmlns:c16="http://schemas.microsoft.com/office/drawing/2014/chart" uri="{C3380CC4-5D6E-409C-BE32-E72D297353CC}">
                    <c16:uniqueId val="{00000004-A591-444D-A47F-0CF946E49DAA}"/>
                  </c:ext>
                </c:extLst>
              </c15:ser>
            </c15:filteredBarSeries>
          </c:ext>
        </c:extLst>
      </c:barChart>
      <c:catAx>
        <c:axId val="61286336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t>Percentage of childhood at least one parent</a:t>
                </a:r>
                <a:br>
                  <a:rPr lang="en-AU" b="1"/>
                </a:br>
                <a:r>
                  <a:rPr lang="en-AU" b="1"/>
                  <a:t> or guardian received income support</a:t>
                </a:r>
              </a:p>
            </c:rich>
          </c:tx>
          <c:layout>
            <c:manualLayout>
              <c:xMode val="edge"/>
              <c:yMode val="edge"/>
              <c:x val="0.29813479694576617"/>
              <c:y val="0.8563797865878118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2861720"/>
        <c:crosses val="autoZero"/>
        <c:auto val="1"/>
        <c:lblAlgn val="ctr"/>
        <c:lblOffset val="100"/>
        <c:noMultiLvlLbl val="0"/>
      </c:catAx>
      <c:valAx>
        <c:axId val="612861720"/>
        <c:scaling>
          <c:orientation val="minMax"/>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t>Number of children</a:t>
                </a:r>
              </a:p>
            </c:rich>
          </c:tx>
          <c:layout>
            <c:manualLayout>
              <c:xMode val="edge"/>
              <c:yMode val="edge"/>
              <c:x val="1.6220264103030044E-3"/>
              <c:y val="8.850649479512345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2863360"/>
        <c:crosses val="autoZero"/>
        <c:crossBetween val="between"/>
        <c:majorUnit val="3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80358705161854"/>
          <c:y val="8.0733489394906686E-3"/>
          <c:w val="0.83379636608560381"/>
          <c:h val="0.80099737532808379"/>
        </c:manualLayout>
      </c:layout>
      <c:barChart>
        <c:barDir val="bar"/>
        <c:grouping val="stacked"/>
        <c:varyColors val="0"/>
        <c:ser>
          <c:idx val="0"/>
          <c:order val="0"/>
          <c:tx>
            <c:strRef>
              <c:f>'PCW LTC'!$B$17</c:f>
              <c:strCache>
                <c:ptCount val="1"/>
                <c:pt idx="0">
                  <c:v>MEAN_LIFETIME_COST</c:v>
                </c:pt>
              </c:strCache>
            </c:strRef>
          </c:tx>
          <c:spPr>
            <a:solidFill>
              <a:srgbClr val="C00000"/>
            </a:solidFill>
            <a:ln>
              <a:noFill/>
            </a:ln>
            <a:effectLst/>
          </c:spPr>
          <c:invertIfNegative val="0"/>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'PCW LTC'!$A$18:$A$19</c:f>
              <c:strCache>
                <c:ptCount val="2"/>
                <c:pt idx="0">
                  <c:v>Full</c:v>
                </c:pt>
                <c:pt idx="1">
                  <c:v>Partial</c:v>
                </c:pt>
              </c:strCache>
            </c:strRef>
          </c:cat>
          <c:val>
            <c:numRef>
              <c:f>'PCW LTC'!$B$18:$B$19</c:f>
              <c:numCache>
                <c:formatCode>General</c:formatCode>
                <c:ptCount val="2"/>
                <c:pt idx="0">
                  <c:v>348000</c:v>
                </c:pt>
                <c:pt idx="1">
                  <c:v>400000</c:v>
                </c:pt>
              </c:numCache>
            </c:numRef>
          </c:val>
          <c:extLst>
            <c:ext xmlns:c16="http://schemas.microsoft.com/office/drawing/2014/chart" uri="{C3380CC4-5D6E-409C-BE32-E72D297353CC}">
              <c16:uniqueId val="{00000000-68FA-44FB-A1B7-AF46DC9D12B5}"/>
            </c:ext>
          </c:extLst>
        </c:ser>
        <c:dLbls>
          <c:dLblPos val="ctr"/>
          <c:showLegendKey val="0"/>
          <c:showVal val="1"/>
          <c:showCatName val="0"/>
          <c:showSerName val="0"/>
          <c:showPercent val="0"/>
          <c:showBubbleSize val="0"/>
        </c:dLbls>
        <c:gapWidth val="150"/>
        <c:overlap val="100"/>
        <c:axId val="754793000"/>
        <c:axId val="754785456"/>
      </c:barChart>
      <c:catAx>
        <c:axId val="754793000"/>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Capacity to work</a:t>
                </a:r>
              </a:p>
            </c:rich>
          </c:tx>
          <c:layout>
            <c:manualLayout>
              <c:xMode val="edge"/>
              <c:yMode val="edge"/>
              <c:x val="3.2133254218986375E-3"/>
              <c:y val="0.1161384335154827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754785456"/>
        <c:crosses val="autoZero"/>
        <c:auto val="1"/>
        <c:lblAlgn val="ctr"/>
        <c:lblOffset val="100"/>
        <c:noMultiLvlLbl val="0"/>
      </c:catAx>
      <c:valAx>
        <c:axId val="754785456"/>
        <c:scaling>
          <c:orientation val="minMax"/>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Lifetime Cost ($)</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crossAx val="754793000"/>
        <c:crosses val="autoZero"/>
        <c:crossBetween val="between"/>
      </c:valAx>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257008725232999E-3"/>
          <c:y val="7.8239669052360516E-2"/>
          <c:w val="0.98342394817452572"/>
          <c:h val="0.82396074463218905"/>
        </c:manualLayout>
      </c:layout>
      <c:barChart>
        <c:barDir val="bar"/>
        <c:grouping val="stacked"/>
        <c:varyColors val="0"/>
        <c:ser>
          <c:idx val="0"/>
          <c:order val="0"/>
          <c:spPr>
            <a:solidFill>
              <a:srgbClr val="0E4E77"/>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Sheet1!$P$6</c:f>
              <c:numCache>
                <c:formatCode>0%</c:formatCode>
                <c:ptCount val="1"/>
                <c:pt idx="0">
                  <c:v>0.27</c:v>
                </c:pt>
              </c:numCache>
            </c:numRef>
          </c:val>
          <c:extLst>
            <c:ext xmlns:c16="http://schemas.microsoft.com/office/drawing/2014/chart" uri="{C3380CC4-5D6E-409C-BE32-E72D297353CC}">
              <c16:uniqueId val="{00000000-4E40-40D1-B84E-DBE366456123}"/>
            </c:ext>
          </c:extLst>
        </c:ser>
        <c:ser>
          <c:idx val="1"/>
          <c:order val="1"/>
          <c:spPr>
            <a:solidFill>
              <a:schemeClr val="accent2"/>
            </a:solidFill>
            <a:ln>
              <a:solidFill>
                <a:schemeClr val="tx1"/>
              </a:solidFill>
            </a:ln>
            <a:effectLst/>
          </c:spPr>
          <c:invertIfNegative val="0"/>
          <c:dPt>
            <c:idx val="0"/>
            <c:invertIfNegative val="0"/>
            <c:bubble3D val="0"/>
            <c:spPr>
              <a:solidFill>
                <a:srgbClr val="D9D9D9"/>
              </a:solidFill>
              <a:ln>
                <a:solidFill>
                  <a:schemeClr val="tx1"/>
                </a:solidFill>
              </a:ln>
              <a:effectLst/>
            </c:spPr>
            <c:extLst>
              <c:ext xmlns:c16="http://schemas.microsoft.com/office/drawing/2014/chart" uri="{C3380CC4-5D6E-409C-BE32-E72D297353CC}">
                <c16:uniqueId val="{00000002-4E40-40D1-B84E-DBE366456123}"/>
              </c:ext>
            </c:extLst>
          </c:dPt>
          <c:dLbls>
            <c:delete val="1"/>
          </c:dLbls>
          <c:val>
            <c:numRef>
              <c:f>Sheet1!$Q$6</c:f>
              <c:numCache>
                <c:formatCode>0%</c:formatCode>
                <c:ptCount val="1"/>
                <c:pt idx="0">
                  <c:v>0.73</c:v>
                </c:pt>
              </c:numCache>
            </c:numRef>
          </c:val>
          <c:extLst>
            <c:ext xmlns:c16="http://schemas.microsoft.com/office/drawing/2014/chart" uri="{C3380CC4-5D6E-409C-BE32-E72D297353CC}">
              <c16:uniqueId val="{00000003-4E40-40D1-B84E-DBE366456123}"/>
            </c:ext>
          </c:extLst>
        </c:ser>
        <c:dLbls>
          <c:dLblPos val="ctr"/>
          <c:showLegendKey val="0"/>
          <c:showVal val="1"/>
          <c:showCatName val="0"/>
          <c:showSerName val="0"/>
          <c:showPercent val="0"/>
          <c:showBubbleSize val="0"/>
        </c:dLbls>
        <c:gapWidth val="0"/>
        <c:overlap val="100"/>
        <c:axId val="701237368"/>
        <c:axId val="701239992"/>
      </c:barChart>
      <c:catAx>
        <c:axId val="701237368"/>
        <c:scaling>
          <c:orientation val="minMax"/>
        </c:scaling>
        <c:delete val="1"/>
        <c:axPos val="l"/>
        <c:numFmt formatCode="0%" sourceLinked="1"/>
        <c:majorTickMark val="none"/>
        <c:minorTickMark val="none"/>
        <c:tickLblPos val="nextTo"/>
        <c:crossAx val="701239992"/>
        <c:crosses val="autoZero"/>
        <c:auto val="1"/>
        <c:lblAlgn val="ctr"/>
        <c:lblOffset val="100"/>
        <c:noMultiLvlLbl val="0"/>
      </c:catAx>
      <c:valAx>
        <c:axId val="701239992"/>
        <c:scaling>
          <c:orientation val="minMax"/>
          <c:max val="1"/>
        </c:scaling>
        <c:delete val="1"/>
        <c:axPos val="b"/>
        <c:numFmt formatCode="0%" sourceLinked="1"/>
        <c:majorTickMark val="none"/>
        <c:minorTickMark val="none"/>
        <c:tickLblPos val="nextTo"/>
        <c:crossAx val="701237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639276789651624E-2"/>
          <c:y val="4.0021285999043942E-2"/>
          <c:w val="0.9823607232103484"/>
          <c:h val="0.9230211687456592"/>
        </c:manualLayout>
      </c:layout>
      <c:ofPieChart>
        <c:ofPieType val="bar"/>
        <c:varyColors val="1"/>
        <c:ser>
          <c:idx val="1"/>
          <c:order val="0"/>
          <c:tx>
            <c:strRef>
              <c:f>'V3 Mix'!$C$2</c:f>
              <c:strCache>
                <c:ptCount val="1"/>
                <c:pt idx="0">
                  <c:v>Percent</c:v>
                </c:pt>
              </c:strCache>
            </c:strRef>
          </c:tx>
          <c:spPr>
            <a:ln>
              <a:solidFill>
                <a:schemeClr val="tx1"/>
              </a:solidFill>
            </a:ln>
          </c:spPr>
          <c:dPt>
            <c:idx val="0"/>
            <c:bubble3D val="0"/>
            <c:spPr>
              <a:solidFill>
                <a:srgbClr val="00B0F0"/>
              </a:solidFill>
              <a:ln w="9525">
                <a:solidFill>
                  <a:schemeClr val="bg1"/>
                </a:solidFill>
              </a:ln>
              <a:effectLst/>
            </c:spPr>
            <c:extLst>
              <c:ext xmlns:c16="http://schemas.microsoft.com/office/drawing/2014/chart" uri="{C3380CC4-5D6E-409C-BE32-E72D297353CC}">
                <c16:uniqueId val="{00000001-704A-4583-B70A-AE53C61A40D3}"/>
              </c:ext>
            </c:extLst>
          </c:dPt>
          <c:dPt>
            <c:idx val="1"/>
            <c:bubble3D val="0"/>
            <c:spPr>
              <a:solidFill>
                <a:srgbClr val="FFEC8F"/>
              </a:solidFill>
              <a:ln w="9525">
                <a:solidFill>
                  <a:schemeClr val="bg1"/>
                </a:solidFill>
              </a:ln>
              <a:effectLst/>
            </c:spPr>
            <c:extLst>
              <c:ext xmlns:c16="http://schemas.microsoft.com/office/drawing/2014/chart" uri="{C3380CC4-5D6E-409C-BE32-E72D297353CC}">
                <c16:uniqueId val="{00000003-704A-4583-B70A-AE53C61A40D3}"/>
              </c:ext>
            </c:extLst>
          </c:dPt>
          <c:dPt>
            <c:idx val="2"/>
            <c:bubble3D val="0"/>
            <c:spPr>
              <a:solidFill>
                <a:srgbClr val="009644"/>
              </a:solidFill>
              <a:ln w="9525">
                <a:solidFill>
                  <a:schemeClr val="bg1"/>
                </a:solidFill>
              </a:ln>
              <a:effectLst/>
            </c:spPr>
            <c:extLst>
              <c:ext xmlns:c16="http://schemas.microsoft.com/office/drawing/2014/chart" uri="{C3380CC4-5D6E-409C-BE32-E72D297353CC}">
                <c16:uniqueId val="{00000005-704A-4583-B70A-AE53C61A40D3}"/>
              </c:ext>
            </c:extLst>
          </c:dPt>
          <c:dPt>
            <c:idx val="3"/>
            <c:bubble3D val="0"/>
            <c:spPr>
              <a:solidFill>
                <a:srgbClr val="FFC000"/>
              </a:solidFill>
              <a:ln w="9525">
                <a:solidFill>
                  <a:schemeClr val="bg1"/>
                </a:solidFill>
              </a:ln>
              <a:effectLst/>
            </c:spPr>
            <c:extLst>
              <c:ext xmlns:c16="http://schemas.microsoft.com/office/drawing/2014/chart" uri="{C3380CC4-5D6E-409C-BE32-E72D297353CC}">
                <c16:uniqueId val="{00000007-704A-4583-B70A-AE53C61A40D3}"/>
              </c:ext>
            </c:extLst>
          </c:dPt>
          <c:dPt>
            <c:idx val="4"/>
            <c:bubble3D val="0"/>
            <c:spPr>
              <a:solidFill>
                <a:srgbClr val="C76361"/>
              </a:solidFill>
              <a:ln w="9525">
                <a:solidFill>
                  <a:schemeClr val="bg1"/>
                </a:solidFill>
              </a:ln>
              <a:effectLst/>
            </c:spPr>
            <c:extLst>
              <c:ext xmlns:c16="http://schemas.microsoft.com/office/drawing/2014/chart" uri="{C3380CC4-5D6E-409C-BE32-E72D297353CC}">
                <c16:uniqueId val="{00000009-704A-4583-B70A-AE53C61A40D3}"/>
              </c:ext>
            </c:extLst>
          </c:dPt>
          <c:dLbls>
            <c:dLbl>
              <c:idx val="0"/>
              <c:layout>
                <c:manualLayout>
                  <c:x val="7.1574837872592112E-2"/>
                  <c:y val="1.449468300998461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fld id="{33F3ED86-CAB0-4AA5-A3AF-FD8B25310ADC}" type="CATEGORYNAME">
                      <a:rPr lang="en-US">
                        <a:solidFill>
                          <a:schemeClr val="tx1"/>
                        </a:solidFill>
                      </a:rPr>
                      <a:pPr>
                        <a:defRPr>
                          <a:solidFill>
                            <a:schemeClr val="tx1"/>
                          </a:solidFill>
                        </a:defRPr>
                      </a:pPr>
                      <a:t>[CATEGORY NAME]</a:t>
                    </a:fld>
                    <a:endParaRPr lang="en-US" baseline="0">
                      <a:solidFill>
                        <a:schemeClr val="tx1"/>
                      </a:solidFill>
                    </a:endParaRPr>
                  </a:p>
                  <a:p>
                    <a:pPr>
                      <a:defRPr>
                        <a:solidFill>
                          <a:schemeClr val="tx1"/>
                        </a:solidFill>
                      </a:defRPr>
                    </a:pPr>
                    <a:r>
                      <a:rPr lang="en-US" baseline="0">
                        <a:solidFill>
                          <a:schemeClr val="tx1"/>
                        </a:solidFill>
                      </a:rPr>
                      <a:t> </a:t>
                    </a:r>
                    <a:fld id="{96BFD50F-DF11-48A7-8706-911647E39F7F}" type="VALUE">
                      <a:rPr lang="en-US" baseline="0">
                        <a:solidFill>
                          <a:schemeClr val="tx1"/>
                        </a:solidFill>
                      </a:rPr>
                      <a:pPr>
                        <a:defRPr>
                          <a:solidFill>
                            <a:schemeClr val="tx1"/>
                          </a:solidFill>
                        </a:defRPr>
                      </a:pPr>
                      <a:t>[VALUE]</a:t>
                    </a:fld>
                    <a:endParaRPr lang="en-US" baseline="0">
                      <a:solidFill>
                        <a:schemeClr val="tx1"/>
                      </a:solidFill>
                    </a:endParaRPr>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6563966014572259"/>
                      <c:h val="0.34145317989097518"/>
                    </c:manualLayout>
                  </c15:layout>
                  <c15:dlblFieldTable/>
                  <c15:showDataLabelsRange val="0"/>
                </c:ext>
                <c:ext xmlns:c16="http://schemas.microsoft.com/office/drawing/2014/chart" uri="{C3380CC4-5D6E-409C-BE32-E72D297353CC}">
                  <c16:uniqueId val="{00000001-704A-4583-B70A-AE53C61A40D3}"/>
                </c:ext>
              </c:extLst>
            </c:dLbl>
            <c:dLbl>
              <c:idx val="1"/>
              <c:layout>
                <c:manualLayout>
                  <c:x val="-4.6611094456938396E-2"/>
                  <c:y val="-6.41659225586492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solidFill>
                          <a:schemeClr val="tx1"/>
                        </a:solidFill>
                      </a:rPr>
                      <a:t>Not on income support</a:t>
                    </a:r>
                    <a:endParaRPr lang="en-US" baseline="0">
                      <a:solidFill>
                        <a:schemeClr val="tx1"/>
                      </a:solidFill>
                    </a:endParaRPr>
                  </a:p>
                  <a:p>
                    <a:pPr>
                      <a:defRPr>
                        <a:solidFill>
                          <a:schemeClr val="tx1"/>
                        </a:solidFill>
                      </a:defRPr>
                    </a:pPr>
                    <a:fld id="{0C481217-925F-4797-A1DD-3AA9AD2E6413}" type="VALUE">
                      <a:rPr lang="en-US" baseline="0">
                        <a:solidFill>
                          <a:schemeClr val="tx1"/>
                        </a:solidFill>
                      </a:rPr>
                      <a:pPr>
                        <a:defRPr>
                          <a:solidFill>
                            <a:schemeClr val="tx1"/>
                          </a:solidFill>
                        </a:defRPr>
                      </a:pPr>
                      <a:t>[VALUE]</a:t>
                    </a:fld>
                    <a:endParaRPr lang="en-AU"/>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4776340946937769"/>
                      <c:h val="0.34476631210572362"/>
                    </c:manualLayout>
                  </c15:layout>
                  <c15:dlblFieldTable/>
                  <c15:showDataLabelsRange val="0"/>
                </c:ext>
                <c:ext xmlns:c16="http://schemas.microsoft.com/office/drawing/2014/chart" uri="{C3380CC4-5D6E-409C-BE32-E72D297353CC}">
                  <c16:uniqueId val="{00000003-704A-4583-B70A-AE53C61A40D3}"/>
                </c:ext>
              </c:extLst>
            </c:dLbl>
            <c:dLbl>
              <c:idx val="2"/>
              <c:layout>
                <c:manualLayout>
                  <c:x val="-0.28516830809936794"/>
                  <c:y val="-1.70219444218958E-2"/>
                </c:manualLayout>
              </c:layout>
              <c:tx>
                <c:rich>
                  <a:bodyPr/>
                  <a:lstStyle/>
                  <a:p>
                    <a:r>
                      <a:rPr lang="en-US" sz="900" b="0" i="0" u="none" strike="noStrike" kern="1200" baseline="0">
                        <a:solidFill>
                          <a:sysClr val="windowText" lastClr="000000"/>
                        </a:solidFill>
                        <a:latin typeface="+mn-lt"/>
                        <a:ea typeface="+mn-ea"/>
                        <a:cs typeface="+mn-cs"/>
                      </a:rPr>
                      <a:t>JobSeeker Payment</a:t>
                    </a:r>
                    <a:r>
                      <a:rPr lang="en-US" baseline="0"/>
                      <a:t> </a:t>
                    </a:r>
                    <a:fld id="{B4F8DA44-BBA1-446F-81A4-245916C29975}"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04A-4583-B70A-AE53C61A40D3}"/>
                </c:ext>
              </c:extLst>
            </c:dLbl>
            <c:dLbl>
              <c:idx val="3"/>
              <c:layout>
                <c:manualLayout>
                  <c:x val="-8.9892023088470694E-3"/>
                  <c:y val="7.118885912456819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t>Other income support</a:t>
                    </a:r>
                    <a:r>
                      <a:rPr lang="en-US" baseline="0"/>
                      <a:t> </a:t>
                    </a:r>
                    <a:fld id="{8285DCF4-F4E7-4677-97FB-F4CAA50846B4}" type="VALUE">
                      <a:rPr lang="en-US" baseline="0"/>
                      <a:pPr>
                        <a:defRPr>
                          <a:solidFill>
                            <a:schemeClr val="tx1"/>
                          </a:solidFill>
                        </a:defRPr>
                      </a:pPr>
                      <a:t>[VALUE]</a:t>
                    </a:fld>
                    <a:endParaRPr lang="en-US" baseline="0"/>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000020833791481"/>
                      <c:h val="0.11766070478303613"/>
                    </c:manualLayout>
                  </c15:layout>
                  <c15:dlblFieldTable/>
                  <c15:showDataLabelsRange val="0"/>
                </c:ext>
                <c:ext xmlns:c16="http://schemas.microsoft.com/office/drawing/2014/chart" uri="{C3380CC4-5D6E-409C-BE32-E72D297353CC}">
                  <c16:uniqueId val="{00000007-704A-4583-B70A-AE53C61A40D3}"/>
                </c:ext>
              </c:extLst>
            </c:dLbl>
            <c:dLbl>
              <c:idx val="4"/>
              <c:layout>
                <c:manualLayout>
                  <c:x val="-0.22928606068883459"/>
                  <c:y val="-1.5401683037043049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baseline="0">
                        <a:solidFill>
                          <a:schemeClr val="tx1"/>
                        </a:solidFill>
                      </a:rPr>
                      <a:t>People without children</a:t>
                    </a:r>
                  </a:p>
                  <a:p>
                    <a:pPr>
                      <a:defRPr>
                        <a:solidFill>
                          <a:schemeClr val="tx1"/>
                        </a:solidFill>
                      </a:defRPr>
                    </a:pPr>
                    <a:r>
                      <a:rPr lang="en-US" baseline="0">
                        <a:solidFill>
                          <a:schemeClr val="tx1"/>
                        </a:solidFill>
                      </a:rPr>
                      <a:t> </a:t>
                    </a:r>
                    <a:fld id="{B99142A2-C80C-41B3-8401-36B94023B036}" type="VALUE">
                      <a:rPr lang="en-US" baseline="0">
                        <a:solidFill>
                          <a:schemeClr val="tx1"/>
                        </a:solidFill>
                      </a:rPr>
                      <a:pPr>
                        <a:defRPr>
                          <a:solidFill>
                            <a:schemeClr val="tx1"/>
                          </a:solidFill>
                        </a:defRPr>
                      </a:pPr>
                      <a:t>[VALUE]</a:t>
                    </a:fld>
                    <a:endParaRPr lang="en-US" baseline="0">
                      <a:solidFill>
                        <a:schemeClr val="tx1"/>
                      </a:solidFill>
                    </a:endParaRPr>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5374485596707818"/>
                      <c:h val="0.30416437307038746"/>
                    </c:manualLayout>
                  </c15:layout>
                  <c15:dlblFieldTable/>
                  <c15:showDataLabelsRange val="0"/>
                </c:ext>
                <c:ext xmlns:c16="http://schemas.microsoft.com/office/drawing/2014/chart" uri="{C3380CC4-5D6E-409C-BE32-E72D297353CC}">
                  <c16:uniqueId val="{00000009-704A-4583-B70A-AE53C61A40D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('V3 Mix'!$H$3,'V3 Mix'!$A$4:$A$6)</c:f>
              <c:strCache>
                <c:ptCount val="4"/>
                <c:pt idx="0">
                  <c:v>People with children</c:v>
                </c:pt>
                <c:pt idx="1">
                  <c:v>Not on IS without children</c:v>
                </c:pt>
                <c:pt idx="2">
                  <c:v>JSP recipients without children</c:v>
                </c:pt>
                <c:pt idx="3">
                  <c:v>Other IS recipients without children</c:v>
                </c:pt>
              </c:strCache>
            </c:strRef>
          </c:cat>
          <c:val>
            <c:numRef>
              <c:f>('V3 Mix'!$J$3,'V3 Mix'!$C$4:$C$6)</c:f>
              <c:numCache>
                <c:formatCode>0.00%</c:formatCode>
                <c:ptCount val="4"/>
                <c:pt idx="0" formatCode="0%">
                  <c:v>0.54720000000000002</c:v>
                </c:pt>
                <c:pt idx="1">
                  <c:v>0.40360000000000001</c:v>
                </c:pt>
                <c:pt idx="2">
                  <c:v>2.4400000000000002E-2</c:v>
                </c:pt>
                <c:pt idx="3">
                  <c:v>2.4799999999999999E-2</c:v>
                </c:pt>
              </c:numCache>
            </c:numRef>
          </c:val>
          <c:extLst>
            <c:ext xmlns:c16="http://schemas.microsoft.com/office/drawing/2014/chart" uri="{C3380CC4-5D6E-409C-BE32-E72D297353CC}">
              <c16:uniqueId val="{0000000A-704A-4583-B70A-AE53C61A40D3}"/>
            </c:ext>
          </c:extLst>
        </c:ser>
        <c:dLbls>
          <c:showLegendKey val="0"/>
          <c:showVal val="0"/>
          <c:showCatName val="0"/>
          <c:showSerName val="0"/>
          <c:showPercent val="0"/>
          <c:showBubbleSize val="0"/>
          <c:showLeaderLines val="1"/>
        </c:dLbls>
        <c:gapWidth val="127"/>
        <c:splitType val="val"/>
        <c:splitPos val="0.5"/>
        <c:secondPieSize val="90"/>
        <c:serLines>
          <c:spPr>
            <a:ln w="9525" cap="flat" cmpd="sng" algn="ctr">
              <a:solidFill>
                <a:schemeClr val="bg1">
                  <a:lumMod val="50000"/>
                </a:schemeClr>
              </a:solidFill>
              <a:round/>
            </a:ln>
            <a:effectLst/>
          </c:spPr>
        </c:serLines>
      </c:ofPieChart>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224535030284231"/>
          <c:y val="6.5398335315101072E-2"/>
          <c:w val="0.51275826667484581"/>
          <c:h val="0.59057880101491478"/>
        </c:manualLayout>
      </c:layout>
      <c:barChart>
        <c:barDir val="bar"/>
        <c:grouping val="stacked"/>
        <c:varyColors val="0"/>
        <c:ser>
          <c:idx val="1"/>
          <c:order val="0"/>
          <c:tx>
            <c:v>A. Working age payments</c:v>
          </c:tx>
          <c:spPr>
            <a:solidFill>
              <a:srgbClr val="009644"/>
            </a:solidFill>
            <a:ln>
              <a:solidFill>
                <a:srgbClr val="009644"/>
              </a:solidFill>
            </a:ln>
            <a:effectLst/>
          </c:spPr>
          <c:invertIfNegative val="0"/>
          <c:dLbls>
            <c:dLbl>
              <c:idx val="0"/>
              <c:layout>
                <c:manualLayout>
                  <c:x val="4.9977950904012934E-2"/>
                  <c:y val="0.112358272397876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30-4DB0-8370-700A3E73EC3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 MA'!$J$15:$J$17</c:f>
              <c:strCache>
                <c:ptCount val="3"/>
                <c:pt idx="0">
                  <c:v>Not on Income Support</c:v>
                </c:pt>
                <c:pt idx="1">
                  <c:v>JobSeeker Payment
 (with full work capacity)</c:v>
                </c:pt>
                <c:pt idx="2">
                  <c:v>JobSeeker Payment
(with partial capacity to work)</c:v>
                </c:pt>
              </c:strCache>
            </c:strRef>
          </c:cat>
          <c:val>
            <c:numRef>
              <c:f>'4 MA'!$L$15:$L$17</c:f>
              <c:numCache>
                <c:formatCode>General</c:formatCode>
                <c:ptCount val="3"/>
                <c:pt idx="0">
                  <c:v>0.17690725830000001</c:v>
                </c:pt>
                <c:pt idx="1">
                  <c:v>2.6568719413999999</c:v>
                </c:pt>
                <c:pt idx="2">
                  <c:v>3.771221706</c:v>
                </c:pt>
              </c:numCache>
            </c:numRef>
          </c:val>
          <c:extLst>
            <c:ext xmlns:c16="http://schemas.microsoft.com/office/drawing/2014/chart" uri="{C3380CC4-5D6E-409C-BE32-E72D297353CC}">
              <c16:uniqueId val="{00000001-2930-4DB0-8370-700A3E73EC32}"/>
            </c:ext>
          </c:extLst>
        </c:ser>
        <c:ser>
          <c:idx val="0"/>
          <c:order val="1"/>
          <c:tx>
            <c:v>B. Studying payments</c:v>
          </c:tx>
          <c:spPr>
            <a:solidFill>
              <a:srgbClr val="1F497D"/>
            </a:solidFill>
            <a:ln>
              <a:solidFill>
                <a:srgbClr val="1F497D"/>
              </a:solidFill>
            </a:ln>
            <a:effectLst/>
          </c:spPr>
          <c:invertIfNegative val="0"/>
          <c:dLbls>
            <c:dLbl>
              <c:idx val="0"/>
              <c:layout>
                <c:manualLayout>
                  <c:x val="2.9398794649418834E-3"/>
                  <c:y val="-8.3234244946492328E-2"/>
                </c:manualLayout>
              </c:layout>
              <c:tx>
                <c:rich>
                  <a:bodyPr/>
                  <a:lstStyle/>
                  <a:p>
                    <a:r>
                      <a:rPr lang="en-US" sz="800"/>
                      <a:t>A-E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6B9-416B-A9D5-3DB9128A5789}"/>
                </c:ext>
              </c:extLst>
            </c:dLbl>
            <c:dLbl>
              <c:idx val="1"/>
              <c:layout>
                <c:manualLayout>
                  <c:x val="-5.1447890636484014E-2"/>
                  <c:y val="-8.3234010879436743E-2"/>
                </c:manualLayout>
              </c:layout>
              <c:tx>
                <c:rich>
                  <a:bodyPr/>
                  <a:lstStyle/>
                  <a:p>
                    <a:r>
                      <a:rPr lang="en-US" sz="800"/>
                      <a:t>A              B-E</a:t>
                    </a:r>
                  </a:p>
                </c:rich>
              </c:tx>
              <c:showLegendKey val="0"/>
              <c:showVal val="1"/>
              <c:showCatName val="0"/>
              <c:showSerName val="0"/>
              <c:showPercent val="0"/>
              <c:showBubbleSize val="0"/>
              <c:extLst>
                <c:ext xmlns:c15="http://schemas.microsoft.com/office/drawing/2012/chart" uri="{CE6537A1-D6FC-4f65-9D91-7224C49458BB}">
                  <c15:layout>
                    <c:manualLayout>
                      <c:w val="0.22441558321305677"/>
                      <c:h val="7.2503206718660743E-2"/>
                    </c:manualLayout>
                  </c15:layout>
                  <c15:showDataLabelsRange val="0"/>
                </c:ext>
                <c:ext xmlns:c16="http://schemas.microsoft.com/office/drawing/2014/chart" uri="{C3380CC4-5D6E-409C-BE32-E72D297353CC}">
                  <c16:uniqueId val="{00000001-F6B9-416B-A9D5-3DB9128A5789}"/>
                </c:ext>
              </c:extLst>
            </c:dLbl>
            <c:dLbl>
              <c:idx val="2"/>
              <c:layout>
                <c:manualLayout>
                  <c:x val="-7.3497218110120471E-2"/>
                  <c:y val="-8.3206859100995248E-2"/>
                </c:manualLayout>
              </c:layout>
              <c:tx>
                <c:rich>
                  <a:bodyPr/>
                  <a:lstStyle/>
                  <a:p>
                    <a:r>
                      <a:rPr lang="en-US" sz="800"/>
                      <a:t>A                     B-E         </a:t>
                    </a:r>
                  </a:p>
                </c:rich>
              </c:tx>
              <c:showLegendKey val="0"/>
              <c:showVal val="1"/>
              <c:showCatName val="0"/>
              <c:showSerName val="0"/>
              <c:showPercent val="0"/>
              <c:showBubbleSize val="0"/>
              <c:extLst>
                <c:ext xmlns:c15="http://schemas.microsoft.com/office/drawing/2012/chart" uri="{CE6537A1-D6FC-4f65-9D91-7224C49458BB}">
                  <c15:layout>
                    <c:manualLayout>
                      <c:w val="0.25087449839753423"/>
                      <c:h val="7.2503206718660743E-2"/>
                    </c:manualLayout>
                  </c15:layout>
                  <c15:showDataLabelsRange val="0"/>
                </c:ext>
                <c:ext xmlns:c16="http://schemas.microsoft.com/office/drawing/2014/chart" uri="{C3380CC4-5D6E-409C-BE32-E72D297353CC}">
                  <c16:uniqueId val="{00000000-F6B9-416B-A9D5-3DB9128A57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 MA'!$J$15:$J$17</c:f>
              <c:strCache>
                <c:ptCount val="3"/>
                <c:pt idx="0">
                  <c:v>Not on Income Support</c:v>
                </c:pt>
                <c:pt idx="1">
                  <c:v>JobSeeker Payment
 (with full work capacity)</c:v>
                </c:pt>
                <c:pt idx="2">
                  <c:v>JobSeeker Payment
(with partial capacity to work)</c:v>
                </c:pt>
              </c:strCache>
            </c:strRef>
          </c:cat>
          <c:val>
            <c:numRef>
              <c:f>'4 MA'!$K$15:$K$17</c:f>
              <c:numCache>
                <c:formatCode>General</c:formatCode>
                <c:ptCount val="3"/>
                <c:pt idx="0">
                  <c:v>7.8231379099999998E-2</c:v>
                </c:pt>
                <c:pt idx="1">
                  <c:v>0.1704701642</c:v>
                </c:pt>
                <c:pt idx="2">
                  <c:v>9.9860200299999993E-2</c:v>
                </c:pt>
              </c:numCache>
            </c:numRef>
          </c:val>
          <c:extLst>
            <c:ext xmlns:c16="http://schemas.microsoft.com/office/drawing/2014/chart" uri="{C3380CC4-5D6E-409C-BE32-E72D297353CC}">
              <c16:uniqueId val="{00000002-2930-4DB0-8370-700A3E73EC32}"/>
            </c:ext>
          </c:extLst>
        </c:ser>
        <c:ser>
          <c:idx val="2"/>
          <c:order val="2"/>
          <c:tx>
            <c:v>C. Parenting Payment</c:v>
          </c:tx>
          <c:spPr>
            <a:solidFill>
              <a:srgbClr val="E26B0A"/>
            </a:solidFill>
            <a:ln>
              <a:solidFill>
                <a:srgbClr val="E26B0A"/>
              </a:solidFill>
            </a:ln>
            <a:effectLst/>
          </c:spPr>
          <c:invertIfNegative val="0"/>
          <c:cat>
            <c:strRef>
              <c:f>'4 MA'!$J$15:$J$17</c:f>
              <c:strCache>
                <c:ptCount val="3"/>
                <c:pt idx="0">
                  <c:v>Not on Income Support</c:v>
                </c:pt>
                <c:pt idx="1">
                  <c:v>JobSeeker Payment
 (with full work capacity)</c:v>
                </c:pt>
                <c:pt idx="2">
                  <c:v>JobSeeker Payment
(with partial capacity to work)</c:v>
                </c:pt>
              </c:strCache>
            </c:strRef>
          </c:cat>
          <c:val>
            <c:numRef>
              <c:f>'4 MA'!$M$15:$M$17</c:f>
              <c:numCache>
                <c:formatCode>General</c:formatCode>
                <c:ptCount val="3"/>
                <c:pt idx="0">
                  <c:v>3.379694E-4</c:v>
                </c:pt>
                <c:pt idx="1">
                  <c:v>3.3553902999999999E-3</c:v>
                </c:pt>
                <c:pt idx="2">
                  <c:v>2.4032387000000001E-3</c:v>
                </c:pt>
              </c:numCache>
            </c:numRef>
          </c:val>
          <c:extLst>
            <c:ext xmlns:c16="http://schemas.microsoft.com/office/drawing/2014/chart" uri="{C3380CC4-5D6E-409C-BE32-E72D297353CC}">
              <c16:uniqueId val="{00000003-2930-4DB0-8370-700A3E73EC32}"/>
            </c:ext>
          </c:extLst>
        </c:ser>
        <c:ser>
          <c:idx val="3"/>
          <c:order val="3"/>
          <c:tx>
            <c:v>D. Carer Payment</c:v>
          </c:tx>
          <c:spPr>
            <a:solidFill>
              <a:srgbClr val="E18BD7"/>
            </a:solidFill>
            <a:ln>
              <a:solidFill>
                <a:srgbClr val="E18BD7"/>
              </a:solidFill>
            </a:ln>
            <a:effectLst/>
          </c:spPr>
          <c:invertIfNegative val="0"/>
          <c:cat>
            <c:strRef>
              <c:f>'4 MA'!$J$15:$J$17</c:f>
              <c:strCache>
                <c:ptCount val="3"/>
                <c:pt idx="0">
                  <c:v>Not on Income Support</c:v>
                </c:pt>
                <c:pt idx="1">
                  <c:v>JobSeeker Payment
 (with full work capacity)</c:v>
                </c:pt>
                <c:pt idx="2">
                  <c:v>JobSeeker Payment
(with partial capacity to work)</c:v>
                </c:pt>
              </c:strCache>
            </c:strRef>
          </c:cat>
          <c:val>
            <c:numRef>
              <c:f>'4 MA'!$N$15:$N$17</c:f>
              <c:numCache>
                <c:formatCode>General</c:formatCode>
                <c:ptCount val="3"/>
                <c:pt idx="0">
                  <c:v>5.7409719E-3</c:v>
                </c:pt>
                <c:pt idx="1">
                  <c:v>4.2320635400000001E-2</c:v>
                </c:pt>
                <c:pt idx="2">
                  <c:v>4.0597510199999999E-2</c:v>
                </c:pt>
              </c:numCache>
            </c:numRef>
          </c:val>
          <c:extLst>
            <c:ext xmlns:c16="http://schemas.microsoft.com/office/drawing/2014/chart" uri="{C3380CC4-5D6E-409C-BE32-E72D297353CC}">
              <c16:uniqueId val="{00000004-2930-4DB0-8370-700A3E73EC32}"/>
            </c:ext>
          </c:extLst>
        </c:ser>
        <c:ser>
          <c:idx val="4"/>
          <c:order val="4"/>
          <c:tx>
            <c:v>E. DSP</c:v>
          </c:tx>
          <c:spPr>
            <a:solidFill>
              <a:srgbClr val="8064A2"/>
            </a:solidFill>
            <a:ln>
              <a:solidFill>
                <a:srgbClr val="8064A2"/>
              </a:solidFill>
            </a:ln>
            <a:effectLst/>
          </c:spPr>
          <c:invertIfNegative val="0"/>
          <c:dLbls>
            <c:dLbl>
              <c:idx val="0"/>
              <c:layout>
                <c:manualLayout>
                  <c:x val="4.9999999999999947E-2"/>
                  <c:y val="0"/>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930-4DB0-8370-700A3E73EC32}"/>
                </c:ext>
              </c:extLst>
            </c:dLbl>
            <c:dLbl>
              <c:idx val="1"/>
              <c:layout>
                <c:manualLayout>
                  <c:x val="3.6111111111111108E-2"/>
                  <c:y val="0"/>
                </c:manualLayout>
              </c:layout>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930-4DB0-8370-700A3E73EC32}"/>
                </c:ext>
              </c:extLst>
            </c:dLbl>
            <c:dLbl>
              <c:idx val="2"/>
              <c:layout>
                <c:manualLayout>
                  <c:x val="3.6111111111111108E-2"/>
                  <c:y val="0"/>
                </c:manualLayout>
              </c:layout>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930-4DB0-8370-700A3E73EC32}"/>
                </c:ext>
              </c:extLst>
            </c:dLbl>
            <c:dLbl>
              <c:idx val="3"/>
              <c:layout>
                <c:manualLayout>
                  <c:x val="3.0555555555555555E-2"/>
                  <c:y val="0"/>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930-4DB0-8370-700A3E73EC32}"/>
                </c:ext>
              </c:extLst>
            </c:dLbl>
            <c:dLbl>
              <c:idx val="4"/>
              <c:layout>
                <c:manualLayout>
                  <c:x val="3.3333333333333333E-2"/>
                  <c:y val="-4.2437781360066642E-17"/>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930-4DB0-8370-700A3E73EC32}"/>
                </c:ext>
              </c:extLst>
            </c:dLbl>
            <c:dLbl>
              <c:idx val="5"/>
              <c:layout>
                <c:manualLayout>
                  <c:x val="3.0555555555555555E-2"/>
                  <c:y val="-4.2437781360066642E-17"/>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930-4DB0-8370-700A3E73EC3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MA'!$J$15:$J$17</c:f>
              <c:strCache>
                <c:ptCount val="3"/>
                <c:pt idx="0">
                  <c:v>Not on Income Support</c:v>
                </c:pt>
                <c:pt idx="1">
                  <c:v>JobSeeker Payment
 (with full work capacity)</c:v>
                </c:pt>
                <c:pt idx="2">
                  <c:v>JobSeeker Payment
(with partial capacity to work)</c:v>
                </c:pt>
              </c:strCache>
            </c:strRef>
          </c:cat>
          <c:val>
            <c:numRef>
              <c:f>'4 MA'!$O$15:$O$17</c:f>
              <c:numCache>
                <c:formatCode>General</c:formatCode>
                <c:ptCount val="3"/>
                <c:pt idx="0">
                  <c:v>7.2544285E-3</c:v>
                </c:pt>
                <c:pt idx="1">
                  <c:v>6.0080479999999998E-4</c:v>
                </c:pt>
                <c:pt idx="2">
                  <c:v>6.0829613000000001E-3</c:v>
                </c:pt>
              </c:numCache>
            </c:numRef>
          </c:val>
          <c:extLst>
            <c:ext xmlns:c16="http://schemas.microsoft.com/office/drawing/2014/chart" uri="{C3380CC4-5D6E-409C-BE32-E72D297353CC}">
              <c16:uniqueId val="{0000000B-2930-4DB0-8370-700A3E73EC32}"/>
            </c:ext>
          </c:extLst>
        </c:ser>
        <c:dLbls>
          <c:showLegendKey val="0"/>
          <c:showVal val="0"/>
          <c:showCatName val="0"/>
          <c:showSerName val="0"/>
          <c:showPercent val="0"/>
          <c:showBubbleSize val="0"/>
        </c:dLbls>
        <c:gapWidth val="75"/>
        <c:overlap val="100"/>
        <c:axId val="560349184"/>
        <c:axId val="560347216"/>
      </c:barChart>
      <c:catAx>
        <c:axId val="56034918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Income support received at 30 June 2022</a:t>
                </a:r>
              </a:p>
            </c:rich>
          </c:tx>
          <c:layout>
            <c:manualLayout>
              <c:xMode val="edge"/>
              <c:yMode val="edge"/>
              <c:x val="8.7826005432989742E-4"/>
              <c:y val="3.2462053171052531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7216"/>
        <c:crosses val="autoZero"/>
        <c:auto val="1"/>
        <c:lblAlgn val="ctr"/>
        <c:lblOffset val="100"/>
        <c:noMultiLvlLbl val="0"/>
      </c:catAx>
      <c:valAx>
        <c:axId val="560347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Years</a:t>
                </a:r>
              </a:p>
            </c:rich>
          </c:tx>
          <c:layout>
            <c:manualLayout>
              <c:xMode val="edge"/>
              <c:yMode val="edge"/>
              <c:x val="0.6666496138225263"/>
              <c:y val="0.7241307778092612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9184"/>
        <c:crosses val="autoZero"/>
        <c:crossBetween val="between"/>
      </c:valAx>
      <c:spPr>
        <a:noFill/>
        <a:ln>
          <a:noFill/>
        </a:ln>
        <a:effectLst/>
      </c:spPr>
    </c:plotArea>
    <c:legend>
      <c:legendPos val="b"/>
      <c:layout>
        <c:manualLayout>
          <c:xMode val="edge"/>
          <c:yMode val="edge"/>
          <c:x val="1.3352145475421298E-3"/>
          <c:y val="0.83889696191409546"/>
          <c:w val="0.9973295709049157"/>
          <c:h val="0.161103038085904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6350"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700031597917085"/>
          <c:y val="4.503082981990858E-2"/>
          <c:w val="0.50064642625242917"/>
          <c:h val="0.60784469076288705"/>
        </c:manualLayout>
      </c:layout>
      <c:barChart>
        <c:barDir val="bar"/>
        <c:grouping val="stacked"/>
        <c:varyColors val="0"/>
        <c:ser>
          <c:idx val="0"/>
          <c:order val="0"/>
          <c:tx>
            <c:v>A. Studying payments</c:v>
          </c:tx>
          <c:spPr>
            <a:solidFill>
              <a:srgbClr val="1F497D"/>
            </a:solidFill>
            <a:ln>
              <a:solidFill>
                <a:srgbClr val="1F497D"/>
              </a:solidFill>
            </a:ln>
            <a:effectLst/>
          </c:spPr>
          <c:invertIfNegative val="0"/>
          <c:cat>
            <c:strRef>
              <c:f>'[Chart in Microsoft Word]Overall'!$A$47:$A$49</c:f>
              <c:strCache>
                <c:ptCount val="3"/>
                <c:pt idx="0">
                  <c:v>Not on income support</c:v>
                </c:pt>
                <c:pt idx="1">
                  <c:v>JobSeeker Payment
 (with full work capacity)</c:v>
                </c:pt>
                <c:pt idx="2">
                  <c:v>JobSeeker Payment 
(with partial capacity to work)</c:v>
                </c:pt>
              </c:strCache>
            </c:strRef>
          </c:cat>
          <c:val>
            <c:numRef>
              <c:f>'[Chart in Microsoft Word]Overall'!$B$47:$B$49</c:f>
              <c:numCache>
                <c:formatCode>General</c:formatCode>
                <c:ptCount val="3"/>
                <c:pt idx="0">
                  <c:v>3.1965893600000003E-2</c:v>
                </c:pt>
                <c:pt idx="1">
                  <c:v>0.11305614210000001</c:v>
                </c:pt>
                <c:pt idx="2">
                  <c:v>9.5423474300000005E-2</c:v>
                </c:pt>
              </c:numCache>
            </c:numRef>
          </c:val>
          <c:extLst>
            <c:ext xmlns:c16="http://schemas.microsoft.com/office/drawing/2014/chart" uri="{C3380CC4-5D6E-409C-BE32-E72D297353CC}">
              <c16:uniqueId val="{00000000-94C1-49C2-8B7D-4AD16CED5803}"/>
            </c:ext>
          </c:extLst>
        </c:ser>
        <c:ser>
          <c:idx val="1"/>
          <c:order val="1"/>
          <c:tx>
            <c:v>B. Working age payments</c:v>
          </c:tx>
          <c:spPr>
            <a:solidFill>
              <a:srgbClr val="009644"/>
            </a:solidFill>
            <a:ln>
              <a:solidFill>
                <a:srgbClr val="009644"/>
              </a:solidFill>
            </a:ln>
            <a:effectLst/>
          </c:spPr>
          <c:invertIfNegative val="0"/>
          <c:dLbls>
            <c:dLbl>
              <c:idx val="0"/>
              <c:layout>
                <c:manualLayout>
                  <c:x val="4.1158312509187125E-2"/>
                  <c:y val="0.13067624959163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C1-49C2-8B7D-4AD16CED580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Word]Overall'!$A$47:$A$49</c:f>
              <c:strCache>
                <c:ptCount val="3"/>
                <c:pt idx="0">
                  <c:v>Not on income support</c:v>
                </c:pt>
                <c:pt idx="1">
                  <c:v>JobSeeker Payment
 (with full work capacity)</c:v>
                </c:pt>
                <c:pt idx="2">
                  <c:v>JobSeeker Payment 
(with partial capacity to work)</c:v>
                </c:pt>
              </c:strCache>
            </c:strRef>
          </c:cat>
          <c:val>
            <c:numRef>
              <c:f>'[Chart in Microsoft Word]Overall'!$C$47:$C$49</c:f>
              <c:numCache>
                <c:formatCode>General</c:formatCode>
                <c:ptCount val="3"/>
                <c:pt idx="0">
                  <c:v>0.80980518909999999</c:v>
                </c:pt>
                <c:pt idx="1">
                  <c:v>6.5560752266</c:v>
                </c:pt>
                <c:pt idx="2">
                  <c:v>8.4148368452</c:v>
                </c:pt>
              </c:numCache>
            </c:numRef>
          </c:val>
          <c:extLst>
            <c:ext xmlns:c16="http://schemas.microsoft.com/office/drawing/2014/chart" uri="{C3380CC4-5D6E-409C-BE32-E72D297353CC}">
              <c16:uniqueId val="{00000002-94C1-49C2-8B7D-4AD16CED5803}"/>
            </c:ext>
          </c:extLst>
        </c:ser>
        <c:ser>
          <c:idx val="2"/>
          <c:order val="2"/>
          <c:tx>
            <c:v>C. Parenting Payment</c:v>
          </c:tx>
          <c:spPr>
            <a:solidFill>
              <a:srgbClr val="E26B0A"/>
            </a:solidFill>
            <a:ln>
              <a:solidFill>
                <a:srgbClr val="E26B0A"/>
              </a:solidFill>
            </a:ln>
            <a:effectLst/>
          </c:spPr>
          <c:invertIfNegative val="0"/>
          <c:cat>
            <c:strRef>
              <c:f>'[Chart in Microsoft Word]Overall'!$A$47:$A$49</c:f>
              <c:strCache>
                <c:ptCount val="3"/>
                <c:pt idx="0">
                  <c:v>Not on income support</c:v>
                </c:pt>
                <c:pt idx="1">
                  <c:v>JobSeeker Payment
 (with full work capacity)</c:v>
                </c:pt>
                <c:pt idx="2">
                  <c:v>JobSeeker Payment 
(with partial capacity to work)</c:v>
                </c:pt>
              </c:strCache>
            </c:strRef>
          </c:cat>
          <c:val>
            <c:numRef>
              <c:f>'[Chart in Microsoft Word]Overall'!$D$47:$D$49</c:f>
              <c:numCache>
                <c:formatCode>General</c:formatCode>
                <c:ptCount val="3"/>
                <c:pt idx="0">
                  <c:v>9.6123498099999996E-2</c:v>
                </c:pt>
                <c:pt idx="1">
                  <c:v>0.30867597540000002</c:v>
                </c:pt>
                <c:pt idx="2">
                  <c:v>0.35639954820000003</c:v>
                </c:pt>
              </c:numCache>
            </c:numRef>
          </c:val>
          <c:extLst>
            <c:ext xmlns:c16="http://schemas.microsoft.com/office/drawing/2014/chart" uri="{C3380CC4-5D6E-409C-BE32-E72D297353CC}">
              <c16:uniqueId val="{00000003-94C1-49C2-8B7D-4AD16CED5803}"/>
            </c:ext>
          </c:extLst>
        </c:ser>
        <c:ser>
          <c:idx val="3"/>
          <c:order val="3"/>
          <c:tx>
            <c:v>D. Carer Payment</c:v>
          </c:tx>
          <c:spPr>
            <a:solidFill>
              <a:srgbClr val="E18BD7"/>
            </a:solidFill>
            <a:ln>
              <a:solidFill>
                <a:srgbClr val="E18BD7"/>
              </a:solidFill>
            </a:ln>
            <a:effectLst/>
          </c:spPr>
          <c:invertIfNegative val="0"/>
          <c:dLbls>
            <c:dLbl>
              <c:idx val="0"/>
              <c:layout>
                <c:manualLayout>
                  <c:x val="-5.8797589298839291E-3"/>
                  <c:y val="-8.4939304997852128E-2"/>
                </c:manualLayout>
              </c:layout>
              <c:tx>
                <c:rich>
                  <a:bodyPr/>
                  <a:lstStyle/>
                  <a:p>
                    <a:r>
                      <a:rPr lang="en-US" sz="800"/>
                      <a:t>AB-E</a:t>
                    </a:r>
                  </a:p>
                </c:rich>
              </c:tx>
              <c:showLegendKey val="0"/>
              <c:showVal val="1"/>
              <c:showCatName val="0"/>
              <c:showSerName val="0"/>
              <c:showPercent val="0"/>
              <c:showBubbleSize val="0"/>
              <c:extLst>
                <c:ext xmlns:c15="http://schemas.microsoft.com/office/drawing/2012/chart" uri="{CE6537A1-D6FC-4f65-9D91-7224C49458BB}">
                  <c15:layout>
                    <c:manualLayout>
                      <c:w val="9.9970716948636601E-2"/>
                      <c:h val="8.7193984776731376E-2"/>
                    </c:manualLayout>
                  </c15:layout>
                  <c15:showDataLabelsRange val="0"/>
                </c:ext>
                <c:ext xmlns:c16="http://schemas.microsoft.com/office/drawing/2014/chart" uri="{C3380CC4-5D6E-409C-BE32-E72D297353CC}">
                  <c16:uniqueId val="{00000002-CC43-4A88-AF71-5B84B0AE74A8}"/>
                </c:ext>
              </c:extLst>
            </c:dLbl>
            <c:dLbl>
              <c:idx val="1"/>
              <c:layout>
                <c:manualLayout>
                  <c:x val="-8.819638394825817E-2"/>
                  <c:y val="-9.1473631950857462E-2"/>
                </c:manualLayout>
              </c:layout>
              <c:tx>
                <c:rich>
                  <a:bodyPr/>
                  <a:lstStyle/>
                  <a:p>
                    <a:r>
                      <a:rPr lang="en-US" sz="800"/>
                      <a:t>A             B               C D       E</a:t>
                    </a:r>
                  </a:p>
                </c:rich>
              </c:tx>
              <c:showLegendKey val="0"/>
              <c:showVal val="1"/>
              <c:showCatName val="0"/>
              <c:showSerName val="0"/>
              <c:showPercent val="0"/>
              <c:showBubbleSize val="0"/>
              <c:extLst>
                <c:ext xmlns:c15="http://schemas.microsoft.com/office/drawing/2012/chart" uri="{CE6537A1-D6FC-4f65-9D91-7224C49458BB}">
                  <c15:layout>
                    <c:manualLayout>
                      <c:w val="0.38033220637953846"/>
                      <c:h val="7.9680100425212272E-2"/>
                    </c:manualLayout>
                  </c15:layout>
                  <c15:showDataLabelsRange val="0"/>
                </c:ext>
                <c:ext xmlns:c16="http://schemas.microsoft.com/office/drawing/2014/chart" uri="{C3380CC4-5D6E-409C-BE32-E72D297353CC}">
                  <c16:uniqueId val="{00000001-CC43-4A88-AF71-5B84B0AE74A8}"/>
                </c:ext>
              </c:extLst>
            </c:dLbl>
            <c:dLbl>
              <c:idx val="2"/>
              <c:layout>
                <c:manualLayout>
                  <c:x val="-9.4075911391570066E-2"/>
                  <c:y val="-8.6259701039493555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r>
                      <a:rPr lang="en-US" sz="800"/>
                      <a:t>A                  B</a:t>
                    </a:r>
                    <a:r>
                      <a:rPr lang="en-US" sz="800" baseline="0"/>
                      <a:t>                   C  D          E</a:t>
                    </a:r>
                    <a:endParaRPr lang="en-US" sz="80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46492735372652871"/>
                      <c:h val="0.1070891865403463"/>
                    </c:manualLayout>
                  </c15:layout>
                  <c15:showDataLabelsRange val="0"/>
                </c:ext>
                <c:ext xmlns:c16="http://schemas.microsoft.com/office/drawing/2014/chart" uri="{C3380CC4-5D6E-409C-BE32-E72D297353CC}">
                  <c16:uniqueId val="{00000000-CC43-4A88-AF71-5B84B0AE74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Word]Overall'!$A$47:$A$49</c:f>
              <c:strCache>
                <c:ptCount val="3"/>
                <c:pt idx="0">
                  <c:v>Not on income support</c:v>
                </c:pt>
                <c:pt idx="1">
                  <c:v>JobSeeker Payment
 (with full work capacity)</c:v>
                </c:pt>
                <c:pt idx="2">
                  <c:v>JobSeeker Payment 
(with partial capacity to work)</c:v>
                </c:pt>
              </c:strCache>
            </c:strRef>
          </c:cat>
          <c:val>
            <c:numRef>
              <c:f>'[Chart in Microsoft Word]Overall'!$E$47:$E$49</c:f>
              <c:numCache>
                <c:formatCode>General</c:formatCode>
                <c:ptCount val="3"/>
                <c:pt idx="0">
                  <c:v>0.32040853930000002</c:v>
                </c:pt>
                <c:pt idx="1">
                  <c:v>1.0891668595999999</c:v>
                </c:pt>
                <c:pt idx="2">
                  <c:v>1.2844549301999999</c:v>
                </c:pt>
              </c:numCache>
            </c:numRef>
          </c:val>
          <c:extLst>
            <c:ext xmlns:c16="http://schemas.microsoft.com/office/drawing/2014/chart" uri="{C3380CC4-5D6E-409C-BE32-E72D297353CC}">
              <c16:uniqueId val="{00000004-94C1-49C2-8B7D-4AD16CED5803}"/>
            </c:ext>
          </c:extLst>
        </c:ser>
        <c:ser>
          <c:idx val="4"/>
          <c:order val="4"/>
          <c:tx>
            <c:v>E. DSP</c:v>
          </c:tx>
          <c:spPr>
            <a:solidFill>
              <a:srgbClr val="8064A2"/>
            </a:solidFill>
            <a:ln>
              <a:solidFill>
                <a:srgbClr val="8064A2"/>
              </a:solidFill>
            </a:ln>
            <a:effectLst/>
          </c:spPr>
          <c:invertIfNegative val="0"/>
          <c:dLbls>
            <c:dLbl>
              <c:idx val="0"/>
              <c:layout>
                <c:manualLayout>
                  <c:x val="4.1666666666666664E-2"/>
                  <c:y val="-8.4875562720133283E-17"/>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4C1-49C2-8B7D-4AD16CED5803}"/>
                </c:ext>
              </c:extLst>
            </c:dLbl>
            <c:dLbl>
              <c:idx val="1"/>
              <c:layout>
                <c:manualLayout>
                  <c:x val="9.0045730172307034E-2"/>
                  <c:y val="-6.2357556284179556E-17"/>
                </c:manualLayout>
              </c:layout>
              <c:tx>
                <c:rich>
                  <a:bodyPr/>
                  <a:lstStyle/>
                  <a:p>
                    <a:r>
                      <a:rPr lang="en-US"/>
                      <a:t>10.5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4C1-49C2-8B7D-4AD16CED5803}"/>
                </c:ext>
              </c:extLst>
            </c:dLbl>
            <c:dLbl>
              <c:idx val="2"/>
              <c:layout>
                <c:manualLayout>
                  <c:x val="0.16111111111111101"/>
                  <c:y val="-4.6296296296296294E-3"/>
                </c:manualLayout>
              </c:layout>
              <c:tx>
                <c:rich>
                  <a:bodyPr/>
                  <a:lstStyle/>
                  <a:p>
                    <a:r>
                      <a:rPr lang="en-US"/>
                      <a:t>13.6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4C1-49C2-8B7D-4AD16CED5803}"/>
                </c:ext>
              </c:extLst>
            </c:dLbl>
            <c:dLbl>
              <c:idx val="3"/>
              <c:layout>
                <c:manualLayout>
                  <c:x val="3.0555555555555555E-2"/>
                  <c:y val="0"/>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4C1-49C2-8B7D-4AD16CED5803}"/>
                </c:ext>
              </c:extLst>
            </c:dLbl>
            <c:dLbl>
              <c:idx val="4"/>
              <c:layout>
                <c:manualLayout>
                  <c:x val="3.3333333333333333E-2"/>
                  <c:y val="-4.2437781360066642E-17"/>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4C1-49C2-8B7D-4AD16CED5803}"/>
                </c:ext>
              </c:extLst>
            </c:dLbl>
            <c:dLbl>
              <c:idx val="5"/>
              <c:layout>
                <c:manualLayout>
                  <c:x val="3.0555555555555555E-2"/>
                  <c:y val="-4.2437781360066642E-17"/>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4C1-49C2-8B7D-4AD16CED580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Word]Overall'!$A$47:$A$49</c:f>
              <c:strCache>
                <c:ptCount val="3"/>
                <c:pt idx="0">
                  <c:v>Not on income support</c:v>
                </c:pt>
                <c:pt idx="1">
                  <c:v>JobSeeker Payment
 (with full work capacity)</c:v>
                </c:pt>
                <c:pt idx="2">
                  <c:v>JobSeeker Payment 
(with partial capacity to work)</c:v>
                </c:pt>
              </c:strCache>
            </c:strRef>
          </c:cat>
          <c:val>
            <c:numRef>
              <c:f>'[Chart in Microsoft Word]Overall'!$F$47:$F$49</c:f>
              <c:numCache>
                <c:formatCode>General</c:formatCode>
                <c:ptCount val="3"/>
                <c:pt idx="0">
                  <c:v>0.48429611769999997</c:v>
                </c:pt>
                <c:pt idx="1">
                  <c:v>2.4729469274000002</c:v>
                </c:pt>
                <c:pt idx="2">
                  <c:v>3.4645415654999998</c:v>
                </c:pt>
              </c:numCache>
            </c:numRef>
          </c:val>
          <c:extLst>
            <c:ext xmlns:c16="http://schemas.microsoft.com/office/drawing/2014/chart" uri="{C3380CC4-5D6E-409C-BE32-E72D297353CC}">
              <c16:uniqueId val="{0000000B-94C1-49C2-8B7D-4AD16CED5803}"/>
            </c:ext>
          </c:extLst>
        </c:ser>
        <c:dLbls>
          <c:showLegendKey val="0"/>
          <c:showVal val="0"/>
          <c:showCatName val="0"/>
          <c:showSerName val="0"/>
          <c:showPercent val="0"/>
          <c:showBubbleSize val="0"/>
        </c:dLbls>
        <c:gapWidth val="75"/>
        <c:overlap val="100"/>
        <c:axId val="560349184"/>
        <c:axId val="560347216"/>
      </c:barChart>
      <c:catAx>
        <c:axId val="56034918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Income support received at</a:t>
                </a:r>
                <a:r>
                  <a:rPr lang="en-AU" b="1" baseline="0"/>
                  <a:t> </a:t>
                </a:r>
                <a:r>
                  <a:rPr lang="en-AU" b="1"/>
                  <a:t>30 June 2022</a:t>
                </a:r>
              </a:p>
            </c:rich>
          </c:tx>
          <c:layout>
            <c:manualLayout>
              <c:xMode val="edge"/>
              <c:yMode val="edge"/>
              <c:x val="4.9133024916057193E-3"/>
              <c:y val="2.4591846905212801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7216"/>
        <c:crosses val="autoZero"/>
        <c:auto val="1"/>
        <c:lblAlgn val="ctr"/>
        <c:lblOffset val="100"/>
        <c:noMultiLvlLbl val="0"/>
      </c:catAx>
      <c:valAx>
        <c:axId val="560347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Years</a:t>
                </a:r>
              </a:p>
            </c:rich>
          </c:tx>
          <c:layout>
            <c:manualLayout>
              <c:xMode val="edge"/>
              <c:yMode val="edge"/>
              <c:x val="0.66807811745860157"/>
              <c:y val="0.7310493331190742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9184"/>
        <c:crosses val="autoZero"/>
        <c:crossBetween val="between"/>
      </c:valAx>
      <c:spPr>
        <a:noFill/>
        <a:ln>
          <a:noFill/>
        </a:ln>
        <a:effectLst/>
      </c:spPr>
    </c:plotArea>
    <c:legend>
      <c:legendPos val="b"/>
      <c:layout>
        <c:manualLayout>
          <c:xMode val="edge"/>
          <c:yMode val="edge"/>
          <c:x val="0"/>
          <c:y val="0.82666720231399649"/>
          <c:w val="0.99902983977656912"/>
          <c:h val="0.168576866822944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6350"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03423223427368"/>
          <c:y val="7.2098053352559477E-3"/>
          <c:w val="0.48304951150546133"/>
          <c:h val="0.85724849611189902"/>
        </c:manualLayout>
      </c:layout>
      <c:barChart>
        <c:barDir val="bar"/>
        <c:grouping val="stacked"/>
        <c:varyColors val="0"/>
        <c:ser>
          <c:idx val="0"/>
          <c:order val="0"/>
          <c:tx>
            <c:strRef>
              <c:f>Overall!$B$8</c:f>
              <c:strCache>
                <c:ptCount val="1"/>
                <c:pt idx="0">
                  <c:v>MEAN_LIFETIME_COST</c:v>
                </c:pt>
              </c:strCache>
            </c:strRef>
          </c:tx>
          <c:spPr>
            <a:solidFill>
              <a:srgbClr val="C00000"/>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0-2FC5-42E4-9884-C9170C9C805A}"/>
              </c:ext>
            </c:extLst>
          </c:dPt>
          <c:dLbls>
            <c:dLbl>
              <c:idx val="0"/>
              <c:tx>
                <c:rich>
                  <a:bodyPr/>
                  <a:lstStyle/>
                  <a:p>
                    <a:r>
                      <a:rPr lang="en-US">
                        <a:solidFill>
                          <a:schemeClr val="tx1"/>
                        </a:solidFill>
                      </a:rPr>
                      <a:t>$172,000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FC5-42E4-9884-C9170C9C805A}"/>
                </c:ext>
              </c:extLst>
            </c:dLbl>
            <c:dLbl>
              <c:idx val="1"/>
              <c:tx>
                <c:rich>
                  <a:bodyPr/>
                  <a:lstStyle/>
                  <a:p>
                    <a:r>
                      <a:rPr lang="en-US"/>
                      <a:t>$348,000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FC5-42E4-9884-C9170C9C805A}"/>
                </c:ext>
              </c:extLst>
            </c:dLbl>
            <c:dLbl>
              <c:idx val="2"/>
              <c:tx>
                <c:rich>
                  <a:bodyPr/>
                  <a:lstStyle/>
                  <a:p>
                    <a:r>
                      <a:rPr lang="en-US"/>
                      <a:t>$412,000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FC5-42E4-9884-C9170C9C805A}"/>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Overall!$A$47:$A$49</c:f>
              <c:strCache>
                <c:ptCount val="3"/>
                <c:pt idx="0">
                  <c:v>Not on income support</c:v>
                </c:pt>
                <c:pt idx="1">
                  <c:v>JobSeeker Payment
 (with full work capacity)</c:v>
                </c:pt>
                <c:pt idx="2">
                  <c:v>JobSeeker Payment 
(with partial capacity to work)</c:v>
                </c:pt>
              </c:strCache>
            </c:strRef>
          </c:cat>
          <c:val>
            <c:numRef>
              <c:f>Overall!$B$9:$B$11</c:f>
              <c:numCache>
                <c:formatCode>General</c:formatCode>
                <c:ptCount val="3"/>
                <c:pt idx="0">
                  <c:v>172203.6275</c:v>
                </c:pt>
                <c:pt idx="1">
                  <c:v>348474.41091999999</c:v>
                </c:pt>
                <c:pt idx="2">
                  <c:v>411815.93848999997</c:v>
                </c:pt>
              </c:numCache>
            </c:numRef>
          </c:val>
          <c:extLst>
            <c:ext xmlns:c16="http://schemas.microsoft.com/office/drawing/2014/chart" uri="{C3380CC4-5D6E-409C-BE32-E72D297353CC}">
              <c16:uniqueId val="{00000003-2FC5-42E4-9884-C9170C9C805A}"/>
            </c:ext>
          </c:extLst>
        </c:ser>
        <c:dLbls>
          <c:showLegendKey val="0"/>
          <c:showVal val="0"/>
          <c:showCatName val="0"/>
          <c:showSerName val="0"/>
          <c:showPercent val="0"/>
          <c:showBubbleSize val="0"/>
        </c:dLbls>
        <c:gapWidth val="150"/>
        <c:overlap val="100"/>
        <c:axId val="744308592"/>
        <c:axId val="744305312"/>
      </c:barChart>
      <c:catAx>
        <c:axId val="74430859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sz="900" b="1" i="0" baseline="0">
                    <a:solidFill>
                      <a:schemeClr val="tx1"/>
                    </a:solidFill>
                    <a:effectLst/>
                  </a:rPr>
                  <a:t>Income support received at </a:t>
                </a:r>
                <a:br>
                  <a:rPr lang="en-AU" sz="900" b="1" i="0" baseline="0">
                    <a:solidFill>
                      <a:schemeClr val="tx1"/>
                    </a:solidFill>
                    <a:effectLst/>
                  </a:rPr>
                </a:br>
                <a:r>
                  <a:rPr lang="en-AU" sz="900" b="1" i="0" baseline="0">
                    <a:solidFill>
                      <a:schemeClr val="tx1"/>
                    </a:solidFill>
                    <a:effectLst/>
                  </a:rPr>
                  <a:t>30 June 2022</a:t>
                </a:r>
                <a:endParaRPr lang="en-AU" sz="900" b="1">
                  <a:solidFill>
                    <a:schemeClr val="tx1"/>
                  </a:solidFill>
                  <a:effectLst/>
                </a:endParaRPr>
              </a:p>
            </c:rich>
          </c:tx>
          <c:layout>
            <c:manualLayout>
              <c:xMode val="edge"/>
              <c:yMode val="edge"/>
              <c:x val="7.8469318191025043E-3"/>
              <c:y val="1.4419610670511895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4305312"/>
        <c:crosses val="autoZero"/>
        <c:auto val="1"/>
        <c:lblAlgn val="ctr"/>
        <c:lblOffset val="100"/>
        <c:noMultiLvlLbl val="0"/>
      </c:catAx>
      <c:valAx>
        <c:axId val="744305312"/>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sz="900" b="1">
                    <a:solidFill>
                      <a:schemeClr val="tx1"/>
                    </a:solidFill>
                  </a:rPr>
                  <a:t>Lifetime Cost ($)</a:t>
                </a:r>
              </a:p>
            </c:rich>
          </c:tx>
          <c:layout>
            <c:manualLayout>
              <c:xMode val="edge"/>
              <c:yMode val="edge"/>
              <c:x val="0.63311577453670864"/>
              <c:y val="0.8893027501997032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crossAx val="744308592"/>
        <c:crosses val="autoZero"/>
        <c:crossBetween val="between"/>
      </c:valAx>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06457166667919"/>
          <c:y val="2.78054294308102E-2"/>
          <c:w val="0.64775079649981537"/>
          <c:h val="0.73857463072590368"/>
        </c:manualLayout>
      </c:layout>
      <c:lineChart>
        <c:grouping val="standard"/>
        <c:varyColors val="0"/>
        <c:ser>
          <c:idx val="0"/>
          <c:order val="0"/>
          <c:tx>
            <c:strRef>
              <c:f>'[Chart 2 in Microsoft Word]SEIFA and MARITAL_STS'!$F$12</c:f>
              <c:strCache>
                <c:ptCount val="1"/>
                <c:pt idx="0">
                  <c:v>Single</c:v>
                </c:pt>
              </c:strCache>
            </c:strRef>
          </c:tx>
          <c:spPr>
            <a:ln w="28575" cap="rnd">
              <a:solidFill>
                <a:srgbClr val="4F81BD"/>
              </a:solidFill>
              <a:round/>
            </a:ln>
            <a:effectLst/>
          </c:spPr>
          <c:marker>
            <c:symbol val="triangle"/>
            <c:size val="5"/>
            <c:spPr>
              <a:solidFill>
                <a:schemeClr val="accent2"/>
              </a:solidFill>
              <a:ln w="9525">
                <a:solidFill>
                  <a:schemeClr val="accent2"/>
                </a:solidFill>
              </a:ln>
              <a:effectLst/>
            </c:spPr>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Word]SEIFA and MARITAL_STS'!$D$13:$D$17</c:f>
              <c:strCache>
                <c:ptCount val="5"/>
                <c:pt idx="0">
                  <c:v>Lowest 20%</c:v>
                </c:pt>
                <c:pt idx="1">
                  <c:v>20% to 40%</c:v>
                </c:pt>
                <c:pt idx="2">
                  <c:v>40% to 60%</c:v>
                </c:pt>
                <c:pt idx="3">
                  <c:v>60% to 80%</c:v>
                </c:pt>
                <c:pt idx="4">
                  <c:v>Highest 20%</c:v>
                </c:pt>
              </c:strCache>
            </c:strRef>
          </c:cat>
          <c:val>
            <c:numRef>
              <c:f>'[Chart 2 in Microsoft Word]SEIFA and MARITAL_STS'!$F$13:$F$17</c:f>
              <c:numCache>
                <c:formatCode>General</c:formatCode>
                <c:ptCount val="5"/>
                <c:pt idx="0">
                  <c:v>0.15337084710000001</c:v>
                </c:pt>
                <c:pt idx="1">
                  <c:v>0.1196781551</c:v>
                </c:pt>
                <c:pt idx="2">
                  <c:v>9.71318345E-2</c:v>
                </c:pt>
                <c:pt idx="3">
                  <c:v>7.7824500599999999E-2</c:v>
                </c:pt>
                <c:pt idx="4">
                  <c:v>6.2024690399999999E-2</c:v>
                </c:pt>
              </c:numCache>
            </c:numRef>
          </c:val>
          <c:smooth val="0"/>
          <c:extLst>
            <c:ext xmlns:c16="http://schemas.microsoft.com/office/drawing/2014/chart" uri="{C3380CC4-5D6E-409C-BE32-E72D297353CC}">
              <c16:uniqueId val="{00000000-B76A-487C-B340-384BF9600A5E}"/>
            </c:ext>
          </c:extLst>
        </c:ser>
        <c:ser>
          <c:idx val="1"/>
          <c:order val="1"/>
          <c:tx>
            <c:strRef>
              <c:f>'[Chart 2 in Microsoft Word]SEIFA and MARITAL_STS'!$G$12</c:f>
              <c:strCache>
                <c:ptCount val="1"/>
                <c:pt idx="0">
                  <c:v>Partnered</c:v>
                </c:pt>
              </c:strCache>
            </c:strRef>
          </c:tx>
          <c:spPr>
            <a:ln w="28575" cap="rnd">
              <a:solidFill>
                <a:srgbClr val="C00000"/>
              </a:solidFill>
              <a:round/>
            </a:ln>
            <a:effectLst/>
          </c:spPr>
          <c:marker>
            <c:symbol val="circle"/>
            <c:size val="5"/>
            <c:spPr>
              <a:solidFill>
                <a:schemeClr val="accent1"/>
              </a:solidFill>
              <a:ln w="9525">
                <a:solidFill>
                  <a:schemeClr val="accent1"/>
                </a:solidFill>
              </a:ln>
              <a:effectLst/>
            </c:spPr>
          </c:marker>
          <c:dLbls>
            <c:dLbl>
              <c:idx val="2"/>
              <c:layout>
                <c:manualLayout>
                  <c:x val="-3.8281089333955055E-2"/>
                  <c:y val="-6.17744314807365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6A-487C-B340-384BF9600A5E}"/>
                </c:ext>
              </c:extLst>
            </c:dLbl>
            <c:dLbl>
              <c:idx val="3"/>
              <c:layout>
                <c:manualLayout>
                  <c:x val="-3.8281089333954958E-2"/>
                  <c:y val="-4.89078695671515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6A-487C-B340-384BF9600A5E}"/>
                </c:ext>
              </c:extLst>
            </c:dLbl>
            <c:dLbl>
              <c:idx val="4"/>
              <c:layout>
                <c:manualLayout>
                  <c:x val="-3.8281089333954958E-2"/>
                  <c:y val="-4.89078695671515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6A-487C-B340-384BF9600A5E}"/>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Word]SEIFA and MARITAL_STS'!$D$13:$D$17</c:f>
              <c:strCache>
                <c:ptCount val="5"/>
                <c:pt idx="0">
                  <c:v>Lowest 20%</c:v>
                </c:pt>
                <c:pt idx="1">
                  <c:v>20% to 40%</c:v>
                </c:pt>
                <c:pt idx="2">
                  <c:v>40% to 60%</c:v>
                </c:pt>
                <c:pt idx="3">
                  <c:v>60% to 80%</c:v>
                </c:pt>
                <c:pt idx="4">
                  <c:v>Highest 20%</c:v>
                </c:pt>
              </c:strCache>
            </c:strRef>
          </c:cat>
          <c:val>
            <c:numRef>
              <c:f>'[Chart 2 in Microsoft Word]SEIFA and MARITAL_STS'!$G$13:$G$17</c:f>
              <c:numCache>
                <c:formatCode>General</c:formatCode>
                <c:ptCount val="5"/>
                <c:pt idx="0">
                  <c:v>5.4689216200000001E-2</c:v>
                </c:pt>
                <c:pt idx="1">
                  <c:v>4.4921131699999998E-2</c:v>
                </c:pt>
                <c:pt idx="2">
                  <c:v>4.0270547900000002E-2</c:v>
                </c:pt>
                <c:pt idx="3">
                  <c:v>3.4353489500000001E-2</c:v>
                </c:pt>
                <c:pt idx="4">
                  <c:v>3.07829212E-2</c:v>
                </c:pt>
              </c:numCache>
            </c:numRef>
          </c:val>
          <c:smooth val="0"/>
          <c:extLst>
            <c:ext xmlns:c16="http://schemas.microsoft.com/office/drawing/2014/chart" uri="{C3380CC4-5D6E-409C-BE32-E72D297353CC}">
              <c16:uniqueId val="{00000004-B76A-487C-B340-384BF9600A5E}"/>
            </c:ext>
          </c:extLst>
        </c:ser>
        <c:dLbls>
          <c:dLblPos val="t"/>
          <c:showLegendKey val="0"/>
          <c:showVal val="1"/>
          <c:showCatName val="0"/>
          <c:showSerName val="0"/>
          <c:showPercent val="0"/>
          <c:showBubbleSize val="0"/>
        </c:dLbls>
        <c:marker val="1"/>
        <c:smooth val="0"/>
        <c:axId val="545025728"/>
        <c:axId val="545031960"/>
      </c:lineChart>
      <c:catAx>
        <c:axId val="5450257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Socio-economic area quintiles</a:t>
                </a:r>
              </a:p>
            </c:rich>
          </c:tx>
          <c:layout>
            <c:manualLayout>
              <c:xMode val="edge"/>
              <c:yMode val="edge"/>
              <c:x val="0.34090032072464554"/>
              <c:y val="0.9258884610226640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45031960"/>
        <c:crosses val="autoZero"/>
        <c:auto val="1"/>
        <c:lblAlgn val="ctr"/>
        <c:lblOffset val="100"/>
        <c:noMultiLvlLbl val="0"/>
      </c:catAx>
      <c:valAx>
        <c:axId val="545031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Percentage of time on income support before retirement</a:t>
                </a:r>
              </a:p>
            </c:rich>
          </c:tx>
          <c:layout>
            <c:manualLayout>
              <c:xMode val="edge"/>
              <c:yMode val="edge"/>
              <c:x val="0"/>
              <c:y val="6.4878441289729291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45025728"/>
        <c:crosses val="autoZero"/>
        <c:crossBetween val="between"/>
        <c:majorUnit val="4.0000000000000008E-2"/>
      </c:valAx>
      <c:spPr>
        <a:noFill/>
        <a:ln>
          <a:noFill/>
        </a:ln>
        <a:effectLst/>
      </c:spPr>
    </c:plotArea>
    <c:legend>
      <c:legendPos val="r"/>
      <c:layout>
        <c:manualLayout>
          <c:xMode val="edge"/>
          <c:yMode val="edge"/>
          <c:x val="0.7867990152561225"/>
          <c:y val="0.51971032817978047"/>
          <c:w val="0.20438134634905167"/>
          <c:h val="0.155226545586911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6350" cap="flat" cmpd="sng" algn="ctr">
      <a:noFill/>
      <a:round/>
    </a:ln>
    <a:effectLst/>
  </c:spPr>
  <c:txPr>
    <a:bodyPr/>
    <a:lstStyle/>
    <a:p>
      <a:pPr>
        <a:defRPr sz="900" baseline="0">
          <a:solidFill>
            <a:schemeClr val="tx1"/>
          </a:solidFill>
          <a:latin typeface="Arial" panose="020B060402020202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658631152661767E-3"/>
          <c:y val="7.7294685990338161E-2"/>
          <c:w val="0.98330241065420143"/>
          <c:h val="0.86473429951690817"/>
        </c:manualLayout>
      </c:layout>
      <c:barChart>
        <c:barDir val="bar"/>
        <c:grouping val="stacked"/>
        <c:varyColors val="0"/>
        <c:ser>
          <c:idx val="0"/>
          <c:order val="0"/>
          <c:spPr>
            <a:solidFill>
              <a:srgbClr val="0E4E77"/>
            </a:solidFill>
            <a:ln>
              <a:solidFill>
                <a:sysClr val="windowText" lastClr="000000"/>
              </a:solidFill>
            </a:ln>
            <a:effectLst/>
          </c:spPr>
          <c:invertIfNegative val="0"/>
          <c:dLbls>
            <c:dLbl>
              <c:idx val="0"/>
              <c:tx>
                <c:rich>
                  <a:bodyPr/>
                  <a:lstStyle/>
                  <a:p>
                    <a:r>
                      <a:rPr lang="en-US">
                        <a:solidFill>
                          <a:schemeClr val="bg1"/>
                        </a:solidFill>
                      </a:rPr>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80C-4AF2-B9BF-02AF060A12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Sheet1!$P$7</c:f>
              <c:numCache>
                <c:formatCode>0%</c:formatCode>
                <c:ptCount val="1"/>
                <c:pt idx="0">
                  <c:v>0.26</c:v>
                </c:pt>
              </c:numCache>
            </c:numRef>
          </c:val>
          <c:extLst>
            <c:ext xmlns:c16="http://schemas.microsoft.com/office/drawing/2014/chart" uri="{C3380CC4-5D6E-409C-BE32-E72D297353CC}">
              <c16:uniqueId val="{00000001-C80C-4AF2-B9BF-02AF060A129A}"/>
            </c:ext>
          </c:extLst>
        </c:ser>
        <c:ser>
          <c:idx val="1"/>
          <c:order val="1"/>
          <c:spPr>
            <a:solidFill>
              <a:schemeClr val="accent2"/>
            </a:solidFill>
            <a:ln>
              <a:solidFill>
                <a:schemeClr val="tx1"/>
              </a:solidFill>
            </a:ln>
            <a:effectLst/>
          </c:spPr>
          <c:invertIfNegative val="0"/>
          <c:dPt>
            <c:idx val="0"/>
            <c:invertIfNegative val="0"/>
            <c:bubble3D val="0"/>
            <c:spPr>
              <a:solidFill>
                <a:srgbClr val="D9D9D9"/>
              </a:solidFill>
              <a:ln>
                <a:solidFill>
                  <a:schemeClr val="tx1"/>
                </a:solidFill>
              </a:ln>
              <a:effectLst/>
            </c:spPr>
            <c:extLst>
              <c:ext xmlns:c16="http://schemas.microsoft.com/office/drawing/2014/chart" uri="{C3380CC4-5D6E-409C-BE32-E72D297353CC}">
                <c16:uniqueId val="{00000003-C80C-4AF2-B9BF-02AF060A129A}"/>
              </c:ext>
            </c:extLst>
          </c:dPt>
          <c:val>
            <c:numRef>
              <c:f>Sheet1!$Q$7</c:f>
              <c:numCache>
                <c:formatCode>0%</c:formatCode>
                <c:ptCount val="1"/>
                <c:pt idx="0">
                  <c:v>0.74</c:v>
                </c:pt>
              </c:numCache>
            </c:numRef>
          </c:val>
          <c:extLst>
            <c:ext xmlns:c16="http://schemas.microsoft.com/office/drawing/2014/chart" uri="{C3380CC4-5D6E-409C-BE32-E72D297353CC}">
              <c16:uniqueId val="{00000004-C80C-4AF2-B9BF-02AF060A129A}"/>
            </c:ext>
          </c:extLst>
        </c:ser>
        <c:dLbls>
          <c:showLegendKey val="0"/>
          <c:showVal val="0"/>
          <c:showCatName val="0"/>
          <c:showSerName val="0"/>
          <c:showPercent val="0"/>
          <c:showBubbleSize val="0"/>
        </c:dLbls>
        <c:gapWidth val="0"/>
        <c:overlap val="100"/>
        <c:axId val="701237368"/>
        <c:axId val="701239992"/>
      </c:barChart>
      <c:catAx>
        <c:axId val="701237368"/>
        <c:scaling>
          <c:orientation val="minMax"/>
        </c:scaling>
        <c:delete val="1"/>
        <c:axPos val="l"/>
        <c:numFmt formatCode="0%" sourceLinked="1"/>
        <c:majorTickMark val="none"/>
        <c:minorTickMark val="none"/>
        <c:tickLblPos val="nextTo"/>
        <c:crossAx val="701239992"/>
        <c:crosses val="autoZero"/>
        <c:auto val="1"/>
        <c:lblAlgn val="ctr"/>
        <c:lblOffset val="100"/>
        <c:noMultiLvlLbl val="0"/>
      </c:catAx>
      <c:valAx>
        <c:axId val="701239992"/>
        <c:scaling>
          <c:orientation val="minMax"/>
          <c:max val="1"/>
        </c:scaling>
        <c:delete val="1"/>
        <c:axPos val="b"/>
        <c:numFmt formatCode="0%" sourceLinked="1"/>
        <c:majorTickMark val="none"/>
        <c:minorTickMark val="none"/>
        <c:tickLblPos val="nextTo"/>
        <c:crossAx val="701237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7108263295769469E-3"/>
          <c:w val="1"/>
          <c:h val="0.99228917367042302"/>
        </c:manualLayout>
      </c:layout>
      <c:ofPieChart>
        <c:ofPieType val="bar"/>
        <c:varyColors val="1"/>
        <c:ser>
          <c:idx val="0"/>
          <c:order val="0"/>
          <c:tx>
            <c:strRef>
              <c:f>Composition!$L$2</c:f>
              <c:strCache>
                <c:ptCount val="1"/>
                <c:pt idx="0">
                  <c:v>Total</c:v>
                </c:pt>
              </c:strCache>
            </c:strRef>
          </c:tx>
          <c:dPt>
            <c:idx val="0"/>
            <c:bubble3D val="0"/>
            <c:spPr>
              <a:solidFill>
                <a:srgbClr val="FFEC8F"/>
              </a:solidFill>
              <a:ln w="19050">
                <a:solidFill>
                  <a:schemeClr val="lt1"/>
                </a:solidFill>
              </a:ln>
              <a:effectLst/>
            </c:spPr>
            <c:extLst>
              <c:ext xmlns:c16="http://schemas.microsoft.com/office/drawing/2014/chart" uri="{C3380CC4-5D6E-409C-BE32-E72D297353CC}">
                <c16:uniqueId val="{00000001-65A1-4896-BF12-6C6F2BB26CF3}"/>
              </c:ext>
            </c:extLst>
          </c:dPt>
          <c:dPt>
            <c:idx val="1"/>
            <c:bubble3D val="0"/>
            <c:spPr>
              <a:solidFill>
                <a:srgbClr val="FCD5B5"/>
              </a:solidFill>
              <a:ln w="19050">
                <a:solidFill>
                  <a:schemeClr val="lt1"/>
                </a:solidFill>
              </a:ln>
              <a:effectLst/>
            </c:spPr>
            <c:extLst>
              <c:ext xmlns:c16="http://schemas.microsoft.com/office/drawing/2014/chart" uri="{C3380CC4-5D6E-409C-BE32-E72D297353CC}">
                <c16:uniqueId val="{00000003-65A1-4896-BF12-6C6F2BB26CF3}"/>
              </c:ext>
            </c:extLst>
          </c:dPt>
          <c:dPt>
            <c:idx val="2"/>
            <c:bubble3D val="0"/>
            <c:spPr>
              <a:solidFill>
                <a:srgbClr val="93CDDD"/>
              </a:solidFill>
              <a:ln w="19050">
                <a:solidFill>
                  <a:schemeClr val="lt1"/>
                </a:solidFill>
              </a:ln>
              <a:effectLst/>
            </c:spPr>
            <c:extLst>
              <c:ext xmlns:c16="http://schemas.microsoft.com/office/drawing/2014/chart" uri="{C3380CC4-5D6E-409C-BE32-E72D297353CC}">
                <c16:uniqueId val="{00000005-65A1-4896-BF12-6C6F2BB26CF3}"/>
              </c:ext>
            </c:extLst>
          </c:dPt>
          <c:dPt>
            <c:idx val="3"/>
            <c:bubble3D val="0"/>
            <c:spPr>
              <a:solidFill>
                <a:srgbClr val="CC706E"/>
              </a:solidFill>
              <a:ln w="19050">
                <a:solidFill>
                  <a:schemeClr val="lt1"/>
                </a:solidFill>
              </a:ln>
              <a:effectLst/>
            </c:spPr>
            <c:extLst>
              <c:ext xmlns:c16="http://schemas.microsoft.com/office/drawing/2014/chart" uri="{C3380CC4-5D6E-409C-BE32-E72D297353CC}">
                <c16:uniqueId val="{00000007-65A1-4896-BF12-6C6F2BB26CF3}"/>
              </c:ext>
            </c:extLst>
          </c:dPt>
          <c:dLbls>
            <c:dLbl>
              <c:idx val="0"/>
              <c:layout>
                <c:manualLayout>
                  <c:x val="0.17856700552442703"/>
                  <c:y val="0"/>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fld id="{28750D0F-D1B3-4A60-8538-8684053938FD}" type="CATEGORYNAME">
                      <a:rPr lang="en-US"/>
                      <a:pPr>
                        <a:defRPr>
                          <a:solidFill>
                            <a:schemeClr val="tx1"/>
                          </a:solidFill>
                        </a:defRPr>
                      </a:pPr>
                      <a:t>[CATEGORY NAME]</a:t>
                    </a:fld>
                    <a:endParaRPr lang="en-US"/>
                  </a:p>
                  <a:p>
                    <a:pPr>
                      <a:defRPr>
                        <a:solidFill>
                          <a:schemeClr val="tx1"/>
                        </a:solidFill>
                      </a:defRPr>
                    </a:pPr>
                    <a:r>
                      <a:rPr lang="en-US" baseline="0"/>
                      <a:t> </a:t>
                    </a:r>
                    <a:fld id="{88E5930A-4616-478F-8871-52636CFF312A}" type="VALUE">
                      <a:rPr lang="en-US" baseline="0"/>
                      <a:pPr>
                        <a:defRPr>
                          <a:solidFill>
                            <a:schemeClr val="tx1"/>
                          </a:solidFill>
                        </a:defRPr>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617669833017161"/>
                      <c:h val="0.41053285499075931"/>
                    </c:manualLayout>
                  </c15:layout>
                  <c15:dlblFieldTable/>
                  <c15:showDataLabelsRange val="0"/>
                </c:ext>
                <c:ext xmlns:c16="http://schemas.microsoft.com/office/drawing/2014/chart" uri="{C3380CC4-5D6E-409C-BE32-E72D297353CC}">
                  <c16:uniqueId val="{00000001-65A1-4896-BF12-6C6F2BB26CF3}"/>
                </c:ext>
              </c:extLst>
            </c:dLbl>
            <c:dLbl>
              <c:idx val="1"/>
              <c:layout>
                <c:manualLayout>
                  <c:x val="-0.13823915109244311"/>
                  <c:y val="3.9450915603788219E-3"/>
                </c:manualLayout>
              </c:layout>
              <c:tx>
                <c:rich>
                  <a:bodyPr rot="0" spcFirstLastPara="1" vertOverflow="ellipsis" horzOverflow="clip" vert="horz" wrap="square" lIns="38100" tIns="19050" rIns="38100" bIns="19050" anchor="ctr" anchorCtr="0">
                    <a:noAutofit/>
                  </a:bodyPr>
                  <a:lstStyle/>
                  <a:p>
                    <a:pPr algn="ctr">
                      <a:defRPr sz="900" b="0" i="0" u="none" strike="noStrike" kern="1200" baseline="0">
                        <a:solidFill>
                          <a:schemeClr val="tx1"/>
                        </a:solidFill>
                        <a:latin typeface="+mn-lt"/>
                        <a:ea typeface="+mn-ea"/>
                        <a:cs typeface="+mn-cs"/>
                      </a:defRPr>
                    </a:pPr>
                    <a:fld id="{0ADC8DE4-513D-4259-A717-49CF5E666597}" type="CATEGORYNAME">
                      <a:rPr lang="en-US">
                        <a:solidFill>
                          <a:schemeClr val="tx1"/>
                        </a:solidFill>
                      </a:rPr>
                      <a:pPr algn="ctr">
                        <a:defRPr>
                          <a:solidFill>
                            <a:schemeClr val="tx1"/>
                          </a:solidFill>
                        </a:defRPr>
                      </a:pPr>
                      <a:t>[CATEGORY NAME]</a:t>
                    </a:fld>
                    <a:endParaRPr lang="en-US">
                      <a:solidFill>
                        <a:schemeClr val="tx1"/>
                      </a:solidFill>
                    </a:endParaRPr>
                  </a:p>
                  <a:p>
                    <a:pPr algn="ctr">
                      <a:defRPr>
                        <a:solidFill>
                          <a:schemeClr val="tx1"/>
                        </a:solidFill>
                      </a:defRPr>
                    </a:pPr>
                    <a:r>
                      <a:rPr lang="en-US" baseline="0">
                        <a:solidFill>
                          <a:schemeClr val="tx1"/>
                        </a:solidFill>
                      </a:rPr>
                      <a:t> </a:t>
                    </a:r>
                    <a:fld id="{3372030B-6427-4EC1-905D-6329571A5138}" type="VALUE">
                      <a:rPr lang="en-US" baseline="0">
                        <a:solidFill>
                          <a:schemeClr val="tx1"/>
                        </a:solidFill>
                      </a:rPr>
                      <a:pPr algn="ctr">
                        <a:defRPr>
                          <a:solidFill>
                            <a:schemeClr val="tx1"/>
                          </a:solidFill>
                        </a:defRPr>
                      </a:pPr>
                      <a:t>[VALUE]</a:t>
                    </a:fld>
                    <a:endParaRPr lang="en-US" baseline="0">
                      <a:solidFill>
                        <a:schemeClr val="tx1"/>
                      </a:solidFill>
                    </a:endParaRPr>
                  </a:p>
                </c:rich>
              </c:tx>
              <c:spPr>
                <a:noFill/>
                <a:ln>
                  <a:noFill/>
                </a:ln>
                <a:effectLst/>
              </c:spPr>
              <c:txPr>
                <a:bodyPr rot="0" spcFirstLastPara="1" vertOverflow="ellipsis" horzOverflow="clip" vert="horz" wrap="square" lIns="38100" tIns="19050" rIns="38100" bIns="19050" anchor="ctr" anchorCtr="0">
                  <a:noAutofit/>
                </a:bodyPr>
                <a:lstStyle/>
                <a:p>
                  <a:pPr algn="ctr">
                    <a:defRPr sz="9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5005144789063649"/>
                      <c:h val="0.30524656506483361"/>
                    </c:manualLayout>
                  </c15:layout>
                  <c15:dlblFieldTable/>
                  <c15:showDataLabelsRange val="0"/>
                </c:ext>
                <c:ext xmlns:c16="http://schemas.microsoft.com/office/drawing/2014/chart" uri="{C3380CC4-5D6E-409C-BE32-E72D297353CC}">
                  <c16:uniqueId val="{00000003-65A1-4896-BF12-6C6F2BB26CF3}"/>
                </c:ext>
              </c:extLst>
            </c:dLbl>
            <c:dLbl>
              <c:idx val="2"/>
              <c:layout>
                <c:manualLayout>
                  <c:x val="-0.15103758068753836"/>
                  <c:y val="-2.400854849832954E-3"/>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fld id="{37C6186B-245E-4329-A321-3E23C32B830B}" type="CATEGORYNAME">
                      <a:rPr lang="en-US">
                        <a:solidFill>
                          <a:schemeClr val="tx1"/>
                        </a:solidFill>
                      </a:rPr>
                      <a:pPr>
                        <a:defRPr>
                          <a:solidFill>
                            <a:schemeClr val="tx1"/>
                          </a:solidFill>
                        </a:defRPr>
                      </a:pPr>
                      <a:t>[CATEGORY NAME]</a:t>
                    </a:fld>
                    <a:endParaRPr lang="en-US">
                      <a:solidFill>
                        <a:schemeClr val="tx1"/>
                      </a:solidFill>
                    </a:endParaRPr>
                  </a:p>
                  <a:p>
                    <a:pPr>
                      <a:defRPr>
                        <a:solidFill>
                          <a:schemeClr val="tx1"/>
                        </a:solidFill>
                      </a:defRPr>
                    </a:pPr>
                    <a:r>
                      <a:rPr lang="en-US" baseline="0">
                        <a:solidFill>
                          <a:schemeClr val="tx1"/>
                        </a:solidFill>
                      </a:rPr>
                      <a:t> </a:t>
                    </a:r>
                    <a:fld id="{860EE194-0A32-4256-B0D0-F59C83327DA4}" type="VALUE">
                      <a:rPr lang="en-US" baseline="0">
                        <a:solidFill>
                          <a:schemeClr val="tx1"/>
                        </a:solidFill>
                      </a:rPr>
                      <a:pPr>
                        <a:defRPr>
                          <a:solidFill>
                            <a:schemeClr val="tx1"/>
                          </a:solidFill>
                        </a:defRPr>
                      </a:pPr>
                      <a:t>[VALUE]</a:t>
                    </a:fld>
                    <a:endParaRPr lang="en-US" baseline="0">
                      <a:solidFill>
                        <a:schemeClr val="tx1"/>
                      </a:solidFill>
                    </a:endParaRP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0595325591650742"/>
                      <c:h val="0.28946745562130172"/>
                    </c:manualLayout>
                  </c15:layout>
                  <c15:dlblFieldTable/>
                  <c15:showDataLabelsRange val="0"/>
                </c:ext>
                <c:ext xmlns:c16="http://schemas.microsoft.com/office/drawing/2014/chart" uri="{C3380CC4-5D6E-409C-BE32-E72D297353CC}">
                  <c16:uniqueId val="{00000005-65A1-4896-BF12-6C6F2BB26CF3}"/>
                </c:ext>
              </c:extLst>
            </c:dLbl>
            <c:dLbl>
              <c:idx val="3"/>
              <c:layout>
                <c:manualLayout>
                  <c:x val="-0.14739050974500603"/>
                  <c:y val="7.818440404285365E-3"/>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solidFill>
                          <a:schemeClr val="tx1"/>
                        </a:solidFill>
                      </a:rPr>
                      <a:t>Income </a:t>
                    </a:r>
                    <a:br>
                      <a:rPr lang="en-US">
                        <a:solidFill>
                          <a:schemeClr val="tx1"/>
                        </a:solidFill>
                      </a:rPr>
                    </a:br>
                    <a:r>
                      <a:rPr lang="en-US">
                        <a:solidFill>
                          <a:schemeClr val="tx1"/>
                        </a:solidFill>
                      </a:rPr>
                      <a:t>support</a:t>
                    </a:r>
                  </a:p>
                  <a:p>
                    <a:pPr>
                      <a:defRPr>
                        <a:solidFill>
                          <a:schemeClr val="tx1"/>
                        </a:solidFill>
                      </a:defRPr>
                    </a:pPr>
                    <a:fld id="{828DC49B-67A9-49ED-AB2B-A723B6AD431F}" type="VALUE">
                      <a:rPr lang="en-US" baseline="0">
                        <a:solidFill>
                          <a:schemeClr val="tx1"/>
                        </a:solidFill>
                      </a:rPr>
                      <a:pPr>
                        <a:defRPr>
                          <a:solidFill>
                            <a:schemeClr val="tx1"/>
                          </a:solidFill>
                        </a:defRPr>
                      </a:pPr>
                      <a:t>[VALUE]</a:t>
                    </a:fld>
                    <a:endParaRPr lang="en-AU"/>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3150103995342491"/>
                      <c:h val="0.33991395926327306"/>
                    </c:manualLayout>
                  </c15:layout>
                  <c15:dlblFieldTable/>
                  <c15:showDataLabelsRange val="0"/>
                </c:ext>
                <c:ext xmlns:c16="http://schemas.microsoft.com/office/drawing/2014/chart" uri="{C3380CC4-5D6E-409C-BE32-E72D297353CC}">
                  <c16:uniqueId val="{00000007-65A1-4896-BF12-6C6F2BB26C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Composition!$K$3:$K$5</c:f>
              <c:strCache>
                <c:ptCount val="3"/>
                <c:pt idx="0">
                  <c:v>Not on income support</c:v>
                </c:pt>
                <c:pt idx="1">
                  <c:v>Age 45 to 54</c:v>
                </c:pt>
                <c:pt idx="2">
                  <c:v>Age 55 to 66</c:v>
                </c:pt>
              </c:strCache>
            </c:strRef>
          </c:cat>
          <c:val>
            <c:numRef>
              <c:f>Composition!$L$3:$L$5</c:f>
              <c:numCache>
                <c:formatCode>0%</c:formatCode>
                <c:ptCount val="3"/>
                <c:pt idx="0">
                  <c:v>0.84121800392742929</c:v>
                </c:pt>
                <c:pt idx="1">
                  <c:v>6.3772579960928416E-2</c:v>
                </c:pt>
                <c:pt idx="2">
                  <c:v>9.5009416111642264E-2</c:v>
                </c:pt>
              </c:numCache>
            </c:numRef>
          </c:val>
          <c:extLst>
            <c:ext xmlns:c16="http://schemas.microsoft.com/office/drawing/2014/chart" uri="{C3380CC4-5D6E-409C-BE32-E72D297353CC}">
              <c16:uniqueId val="{00000008-65A1-4896-BF12-6C6F2BB26CF3}"/>
            </c:ext>
          </c:extLst>
        </c:ser>
        <c:dLbls>
          <c:showLegendKey val="0"/>
          <c:showVal val="1"/>
          <c:showCatName val="0"/>
          <c:showSerName val="0"/>
          <c:showPercent val="0"/>
          <c:showBubbleSize val="0"/>
          <c:showLeaderLines val="1"/>
        </c:dLbls>
        <c:gapWidth val="100"/>
        <c:splitType val="pos"/>
        <c:splitPos val="2"/>
        <c:secondPieSize val="78"/>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35612588702761"/>
          <c:y val="3.3173143679620695E-2"/>
          <c:w val="0.73947459492743473"/>
          <c:h val="0.52652252722553317"/>
        </c:manualLayout>
      </c:layout>
      <c:barChart>
        <c:barDir val="bar"/>
        <c:grouping val="percentStacked"/>
        <c:varyColors val="0"/>
        <c:ser>
          <c:idx val="1"/>
          <c:order val="0"/>
          <c:tx>
            <c:strRef>
              <c:f>'5 OWL'!$I$14</c:f>
              <c:strCache>
                <c:ptCount val="1"/>
                <c:pt idx="0">
                  <c:v>A. Partial capacity to work</c:v>
                </c:pt>
              </c:strCache>
            </c:strRef>
          </c:tx>
          <c:spPr>
            <a:solidFill>
              <a:srgbClr val="E6B9B8"/>
            </a:solidFill>
            <a:ln>
              <a:noFill/>
            </a:ln>
            <a:effectLst/>
          </c:spPr>
          <c:invertIfNegative val="0"/>
          <c:dLbls>
            <c:dLbl>
              <c:idx val="0"/>
              <c:layout>
                <c:manualLayout>
                  <c:x val="2.9399952082279587E-3"/>
                  <c:y val="-4.3010752688172081E-2"/>
                </c:manualLayout>
              </c:layout>
              <c:tx>
                <c:rich>
                  <a:bodyPr/>
                  <a:lstStyle/>
                  <a:p>
                    <a:r>
                      <a:rPr lang="en-US" sz="800"/>
                      <a:t>A</a:t>
                    </a:r>
                  </a:p>
                  <a:p>
                    <a:fld id="{08C0704C-C785-4725-A649-326091269887}" type="VALUE">
                      <a:rPr lang="en-US"/>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manualLayout>
                      <c:w val="7.0586505953255899E-2"/>
                      <c:h val="0.22959139784946236"/>
                    </c:manualLayout>
                  </c15:layout>
                  <c15:dlblFieldTable/>
                  <c15:showDataLabelsRange val="0"/>
                </c:ext>
                <c:ext xmlns:c16="http://schemas.microsoft.com/office/drawing/2014/chart" uri="{C3380CC4-5D6E-409C-BE32-E72D297353CC}">
                  <c16:uniqueId val="{00000002-005B-4FA8-B791-589A3E59C25C}"/>
                </c:ext>
              </c:extLst>
            </c:dLbl>
            <c:dLbl>
              <c:idx val="1"/>
              <c:layout>
                <c:manualLayout>
                  <c:x val="-2.9398794649419914E-3"/>
                  <c:y val="-4.3010752688172046E-2"/>
                </c:manualLayout>
              </c:layout>
              <c:tx>
                <c:rich>
                  <a:bodyPr/>
                  <a:lstStyle/>
                  <a:p>
                    <a:r>
                      <a:rPr lang="en-US" sz="800"/>
                      <a:t>A</a:t>
                    </a:r>
                  </a:p>
                  <a:p>
                    <a:fld id="{97A12256-3D3A-4726-A363-2EE1C8F5ABB2}" type="VALUE">
                      <a:rPr lang="en-US"/>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05B-4FA8-B791-589A3E59C25C}"/>
                </c:ext>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OWL'!$J$12:$K$12</c:f>
              <c:strCache>
                <c:ptCount val="2"/>
                <c:pt idx="0">
                  <c:v>55 to 66</c:v>
                </c:pt>
                <c:pt idx="1">
                  <c:v>45 to 54</c:v>
                </c:pt>
              </c:strCache>
            </c:strRef>
          </c:cat>
          <c:val>
            <c:numRef>
              <c:f>'5 OWL'!$J$14:$K$14</c:f>
              <c:numCache>
                <c:formatCode>0%</c:formatCode>
                <c:ptCount val="2"/>
                <c:pt idx="0">
                  <c:v>0.56938441346347057</c:v>
                </c:pt>
                <c:pt idx="1">
                  <c:v>0.48548987184787101</c:v>
                </c:pt>
              </c:numCache>
            </c:numRef>
          </c:val>
          <c:extLst>
            <c:ext xmlns:c16="http://schemas.microsoft.com/office/drawing/2014/chart" uri="{C3380CC4-5D6E-409C-BE32-E72D297353CC}">
              <c16:uniqueId val="{00000000-37F8-4619-9E89-FF3B36612518}"/>
            </c:ext>
          </c:extLst>
        </c:ser>
        <c:ser>
          <c:idx val="0"/>
          <c:order val="1"/>
          <c:tx>
            <c:strRef>
              <c:f>'5 OWL'!$I$13</c:f>
              <c:strCache>
                <c:ptCount val="1"/>
                <c:pt idx="0">
                  <c:v>B. Full work capacity</c:v>
                </c:pt>
              </c:strCache>
            </c:strRef>
          </c:tx>
          <c:spPr>
            <a:solidFill>
              <a:srgbClr val="A591BD"/>
            </a:solidFill>
            <a:ln>
              <a:noFill/>
            </a:ln>
            <a:effectLst/>
          </c:spPr>
          <c:invertIfNegative val="0"/>
          <c:dLbls>
            <c:dLbl>
              <c:idx val="0"/>
              <c:layout>
                <c:manualLayout>
                  <c:x val="1.1574328602133612E-7"/>
                  <c:y val="-4.3010752688172046E-2"/>
                </c:manualLayout>
              </c:layout>
              <c:tx>
                <c:rich>
                  <a:bodyPr/>
                  <a:lstStyle/>
                  <a:p>
                    <a:r>
                      <a:rPr lang="en-US" sz="800"/>
                      <a:t>B</a:t>
                    </a:r>
                  </a:p>
                  <a:p>
                    <a:fld id="{AD350C72-3A5E-4A4A-A43B-866B1251B405}" type="VALUE">
                      <a:rPr lang="en-US"/>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manualLayout>
                      <c:w val="7.0586505953255899E-2"/>
                      <c:h val="0.21238709677419354"/>
                    </c:manualLayout>
                  </c15:layout>
                  <c15:dlblFieldTable/>
                  <c15:showDataLabelsRange val="0"/>
                </c:ext>
                <c:ext xmlns:c16="http://schemas.microsoft.com/office/drawing/2014/chart" uri="{C3380CC4-5D6E-409C-BE32-E72D297353CC}">
                  <c16:uniqueId val="{00000003-005B-4FA8-B791-589A3E59C25C}"/>
                </c:ext>
              </c:extLst>
            </c:dLbl>
            <c:dLbl>
              <c:idx val="1"/>
              <c:layout>
                <c:manualLayout>
                  <c:x val="2.9399952082279587E-3"/>
                  <c:y val="-4.3010414020828044E-2"/>
                </c:manualLayout>
              </c:layout>
              <c:tx>
                <c:rich>
                  <a:bodyPr/>
                  <a:lstStyle/>
                  <a:p>
                    <a:r>
                      <a:rPr lang="en-US" sz="800"/>
                      <a:t>B</a:t>
                    </a:r>
                  </a:p>
                  <a:p>
                    <a:fld id="{33121961-F610-4969-8522-32403BB4BE26}" type="VALUE">
                      <a:rPr lang="en-US"/>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manualLayout>
                      <c:w val="7.0586505953255899E-2"/>
                      <c:h val="0.23819354838709675"/>
                    </c:manualLayout>
                  </c15:layout>
                  <c15:dlblFieldTable/>
                  <c15:showDataLabelsRange val="0"/>
                </c:ext>
                <c:ext xmlns:c16="http://schemas.microsoft.com/office/drawing/2014/chart" uri="{C3380CC4-5D6E-409C-BE32-E72D297353CC}">
                  <c16:uniqueId val="{00000001-005B-4FA8-B791-589A3E59C25C}"/>
                </c:ext>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OWL'!$J$12:$K$12</c:f>
              <c:strCache>
                <c:ptCount val="2"/>
                <c:pt idx="0">
                  <c:v>55 to 66</c:v>
                </c:pt>
                <c:pt idx="1">
                  <c:v>45 to 54</c:v>
                </c:pt>
              </c:strCache>
            </c:strRef>
          </c:cat>
          <c:val>
            <c:numRef>
              <c:f>'5 OWL'!$J$13:$K$13</c:f>
              <c:numCache>
                <c:formatCode>0%</c:formatCode>
                <c:ptCount val="2"/>
                <c:pt idx="0">
                  <c:v>0.43061558653652943</c:v>
                </c:pt>
                <c:pt idx="1">
                  <c:v>0.51451012815212893</c:v>
                </c:pt>
              </c:numCache>
            </c:numRef>
          </c:val>
          <c:extLst>
            <c:ext xmlns:c16="http://schemas.microsoft.com/office/drawing/2014/chart" uri="{C3380CC4-5D6E-409C-BE32-E72D297353CC}">
              <c16:uniqueId val="{00000001-37F8-4619-9E89-FF3B36612518}"/>
            </c:ext>
          </c:extLst>
        </c:ser>
        <c:dLbls>
          <c:dLblPos val="ctr"/>
          <c:showLegendKey val="0"/>
          <c:showVal val="1"/>
          <c:showCatName val="0"/>
          <c:showSerName val="0"/>
          <c:showPercent val="0"/>
          <c:showBubbleSize val="0"/>
        </c:dLbls>
        <c:gapWidth val="150"/>
        <c:overlap val="100"/>
        <c:axId val="438753600"/>
        <c:axId val="438753928"/>
      </c:barChart>
      <c:catAx>
        <c:axId val="438753600"/>
        <c:scaling>
          <c:orientation val="minMax"/>
        </c:scaling>
        <c:delete val="0"/>
        <c:axPos val="l"/>
        <c:title>
          <c:tx>
            <c:rich>
              <a:bodyPr rot="-5400000" vert="horz"/>
              <a:lstStyle/>
              <a:p>
                <a:pPr>
                  <a:defRPr/>
                </a:pPr>
                <a:r>
                  <a:rPr lang="en-AU"/>
                  <a:t>Age group</a:t>
                </a:r>
              </a:p>
            </c:rich>
          </c:tx>
          <c:layout>
            <c:manualLayout>
              <c:xMode val="edge"/>
              <c:yMode val="edge"/>
              <c:x val="1.640826873385013E-2"/>
              <c:y val="0.11710565993968915"/>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438753928"/>
        <c:crosses val="autoZero"/>
        <c:auto val="1"/>
        <c:lblAlgn val="ctr"/>
        <c:lblOffset val="100"/>
        <c:noMultiLvlLbl val="0"/>
      </c:catAx>
      <c:valAx>
        <c:axId val="438753928"/>
        <c:scaling>
          <c:orientation val="minMax"/>
        </c:scaling>
        <c:delete val="0"/>
        <c:axPos val="b"/>
        <c:majorGridlines>
          <c:spPr>
            <a:ln>
              <a:solidFill>
                <a:srgbClr val="D9D9D9"/>
              </a:solidFill>
            </a:ln>
          </c:spPr>
        </c:majorGridlines>
        <c:title>
          <c:tx>
            <c:rich>
              <a:bodyPr rot="0" vert="horz"/>
              <a:lstStyle/>
              <a:p>
                <a:pPr>
                  <a:defRPr/>
                </a:pPr>
                <a:r>
                  <a:rPr lang="en-AU"/>
                  <a:t>Percentage of people</a:t>
                </a:r>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438753600"/>
        <c:crosses val="autoZero"/>
        <c:crossBetween val="between"/>
      </c:valAx>
    </c:plotArea>
    <c:legend>
      <c:legendPos val="b"/>
      <c:overlay val="0"/>
      <c:spPr>
        <a:noFill/>
        <a:ln>
          <a:noFill/>
        </a:ln>
        <a:effectLst/>
      </c:spPr>
      <c:txPr>
        <a:bodyPr rot="0" vert="horz"/>
        <a:lstStyle/>
        <a:p>
          <a:pPr>
            <a:defRPr/>
          </a:pPr>
          <a:endParaRPr lang="en-US"/>
        </a:p>
      </c:txPr>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20423250048321"/>
          <c:y val="1.4281381731705786E-3"/>
          <c:w val="0.65544612670880498"/>
          <c:h val="0.68717640558088133"/>
        </c:manualLayout>
      </c:layout>
      <c:barChart>
        <c:barDir val="bar"/>
        <c:grouping val="percentStacked"/>
        <c:varyColors val="0"/>
        <c:ser>
          <c:idx val="0"/>
          <c:order val="0"/>
          <c:tx>
            <c:strRef>
              <c:f>'2. Percentages'!$I$12</c:f>
              <c:strCache>
                <c:ptCount val="1"/>
                <c:pt idx="0">
                  <c:v>A. Before age 18</c:v>
                </c:pt>
              </c:strCache>
            </c:strRef>
          </c:tx>
          <c:spPr>
            <a:solidFill>
              <a:srgbClr val="C00000"/>
            </a:solidFill>
            <a:ln>
              <a:solidFill>
                <a:schemeClr val="bg1"/>
              </a:solidFill>
            </a:ln>
            <a:effectLst/>
          </c:spPr>
          <c:invertIfNegative val="0"/>
          <c:dLbls>
            <c:dLbl>
              <c:idx val="0"/>
              <c:layout>
                <c:manualLayout>
                  <c:x val="1.9063150694286102E-2"/>
                  <c:y val="-0.10012339755676047"/>
                </c:manualLayout>
              </c:layout>
              <c:tx>
                <c:rich>
                  <a:bodyPr/>
                  <a:lstStyle/>
                  <a:p>
                    <a:fld id="{C71A0B16-DC0C-4165-ADF7-FB4E91169D2F}" type="VALUE">
                      <a:rPr lang="en-US">
                        <a:solidFill>
                          <a:schemeClr val="tx1"/>
                        </a:solidFill>
                      </a:rPr>
                      <a:pPr/>
                      <a:t>[VALUE]</a:t>
                    </a:fld>
                    <a:endParaRPr lang="en-US">
                      <a:solidFill>
                        <a:schemeClr val="tx1"/>
                      </a:solidFill>
                    </a:endParaRPr>
                  </a:p>
                  <a:p>
                    <a:r>
                      <a:rPr lang="en-US">
                        <a:solidFill>
                          <a:schemeClr val="tx1"/>
                        </a:solidFill>
                      </a:rPr>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4DC-4E29-B9FE-A47174FBC4EA}"/>
                </c:ext>
              </c:extLst>
            </c:dLbl>
            <c:dLbl>
              <c:idx val="1"/>
              <c:layout>
                <c:manualLayout>
                  <c:x val="8.8196383948258121E-3"/>
                  <c:y val="-9.8026120486722323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fld id="{54E99BD4-775C-4367-BCE3-92F4CEDB5B4E}" type="VALUE">
                      <a:rPr lang="en-US"/>
                      <a:pPr>
                        <a:defRPr/>
                      </a:pPr>
                      <a:t>[VALUE]</a:t>
                    </a:fld>
                    <a:endParaRPr lang="en-US"/>
                  </a:p>
                  <a:p>
                    <a:pPr>
                      <a:defRPr/>
                    </a:pPr>
                    <a:r>
                      <a:rPr lang="en-US"/>
                      <a:t>A</a:t>
                    </a: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A57-4872-8226-A4C76CB9853F}"/>
                </c:ext>
              </c:extLst>
            </c:dLbl>
            <c:dLbl>
              <c:idx val="2"/>
              <c:layout>
                <c:manualLayout>
                  <c:x val="0"/>
                  <c:y val="-4.0758100672508658E-2"/>
                </c:manualLayout>
              </c:layout>
              <c:tx>
                <c:rich>
                  <a:bodyPr/>
                  <a:lstStyle/>
                  <a:p>
                    <a:r>
                      <a:rPr lang="en-US">
                        <a:solidFill>
                          <a:schemeClr val="tx1"/>
                        </a:solidFill>
                      </a:rPr>
                      <a:t>A</a:t>
                    </a:r>
                  </a:p>
                  <a:p>
                    <a:endParaRPr lang="en-US" sz="600"/>
                  </a:p>
                  <a:p>
                    <a:fld id="{C4F90621-9EAF-4DAC-8F9F-CB0DEF08D207}"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D71-4A92-A523-856E8985689B}"/>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Percentages'!$J$11:$L$11</c:f>
              <c:strCache>
                <c:ptCount val="3"/>
                <c:pt idx="0">
                  <c:v>Not at all</c:v>
                </c:pt>
                <c:pt idx="1">
                  <c:v>Under 50%</c:v>
                </c:pt>
                <c:pt idx="2">
                  <c:v>50% to 100%</c:v>
                </c:pt>
              </c:strCache>
            </c:strRef>
          </c:cat>
          <c:val>
            <c:numRef>
              <c:f>'2. Percentages'!$J$12:$L$12</c:f>
              <c:numCache>
                <c:formatCode>0%</c:formatCode>
                <c:ptCount val="3"/>
                <c:pt idx="0">
                  <c:v>1.133596337424508E-2</c:v>
                </c:pt>
                <c:pt idx="1">
                  <c:v>5.0946197713237308E-2</c:v>
                </c:pt>
                <c:pt idx="2">
                  <c:v>0.12123144507032274</c:v>
                </c:pt>
              </c:numCache>
            </c:numRef>
          </c:val>
          <c:extLst>
            <c:ext xmlns:c16="http://schemas.microsoft.com/office/drawing/2014/chart" uri="{C3380CC4-5D6E-409C-BE32-E72D297353CC}">
              <c16:uniqueId val="{00000000-C4DC-4E29-B9FE-A47174FBC4EA}"/>
            </c:ext>
          </c:extLst>
        </c:ser>
        <c:ser>
          <c:idx val="1"/>
          <c:order val="1"/>
          <c:tx>
            <c:strRef>
              <c:f>'2. Percentages'!$I$13</c:f>
              <c:strCache>
                <c:ptCount val="1"/>
                <c:pt idx="0">
                  <c:v>B. Between age 18 and 22</c:v>
                </c:pt>
              </c:strCache>
            </c:strRef>
          </c:tx>
          <c:spPr>
            <a:solidFill>
              <a:srgbClr val="FF0000"/>
            </a:solidFill>
            <a:ln>
              <a:solidFill>
                <a:schemeClr val="bg1"/>
              </a:solidFill>
            </a:ln>
            <a:effectLst/>
          </c:spPr>
          <c:invertIfNegative val="0"/>
          <c:dLbls>
            <c:dLbl>
              <c:idx val="0"/>
              <c:layout>
                <c:manualLayout>
                  <c:x val="2.9399952082279587E-3"/>
                  <c:y val="-4.0758100672508735E-2"/>
                </c:manualLayout>
              </c:layout>
              <c:tx>
                <c:rich>
                  <a:bodyPr/>
                  <a:lstStyle/>
                  <a:p>
                    <a:r>
                      <a:rPr lang="en-US"/>
                      <a:t>B</a:t>
                    </a:r>
                  </a:p>
                  <a:p>
                    <a:endParaRPr lang="en-US" sz="600"/>
                  </a:p>
                  <a:p>
                    <a:fld id="{3880C908-D4F7-4D50-881D-294A1F1C651D}"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layout>
                    <c:manualLayout>
                      <c:w val="7.0586505953255899E-2"/>
                      <c:h val="0.13281043150633276"/>
                    </c:manualLayout>
                  </c15:layout>
                  <c15:dlblFieldTable/>
                  <c15:showDataLabelsRange val="0"/>
                </c:ext>
                <c:ext xmlns:c16="http://schemas.microsoft.com/office/drawing/2014/chart" uri="{C3380CC4-5D6E-409C-BE32-E72D297353CC}">
                  <c16:uniqueId val="{00000007-1D71-4A92-A523-856E8985689B}"/>
                </c:ext>
              </c:extLst>
            </c:dLbl>
            <c:dLbl>
              <c:idx val="1"/>
              <c:layout>
                <c:manualLayout>
                  <c:x val="-5.3897167565923241E-17"/>
                  <c:y val="-4.0758100672508658E-2"/>
                </c:manualLayout>
              </c:layout>
              <c:tx>
                <c:rich>
                  <a:bodyPr/>
                  <a:lstStyle/>
                  <a:p>
                    <a:r>
                      <a:rPr lang="en-US"/>
                      <a:t>B</a:t>
                    </a:r>
                  </a:p>
                  <a:p>
                    <a:endParaRPr lang="en-US" sz="600"/>
                  </a:p>
                  <a:p>
                    <a:fld id="{48DF59D4-287D-4E35-A241-A51A8ED5A6E3}"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D71-4A92-A523-856E8985689B}"/>
                </c:ext>
              </c:extLst>
            </c:dLbl>
            <c:dLbl>
              <c:idx val="2"/>
              <c:layout>
                <c:manualLayout>
                  <c:x val="-2.9398794649419372E-3"/>
                  <c:y val="-3.6682290605257795E-2"/>
                </c:manualLayout>
              </c:layout>
              <c:tx>
                <c:rich>
                  <a:bodyPr/>
                  <a:lstStyle/>
                  <a:p>
                    <a:r>
                      <a:rPr lang="en-US"/>
                      <a:t>B</a:t>
                    </a:r>
                  </a:p>
                  <a:p>
                    <a:endParaRPr lang="en-US" sz="600"/>
                  </a:p>
                  <a:p>
                    <a:fld id="{10E80613-CBB4-409E-8546-EB789C79A8E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D71-4A92-A523-856E8985689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Percentages'!$J$11:$L$11</c:f>
              <c:strCache>
                <c:ptCount val="3"/>
                <c:pt idx="0">
                  <c:v>Not at all</c:v>
                </c:pt>
                <c:pt idx="1">
                  <c:v>Under 50%</c:v>
                </c:pt>
                <c:pt idx="2">
                  <c:v>50% to 100%</c:v>
                </c:pt>
              </c:strCache>
            </c:strRef>
          </c:cat>
          <c:val>
            <c:numRef>
              <c:f>'2. Percentages'!$J$13:$L$13</c:f>
              <c:numCache>
                <c:formatCode>0%</c:formatCode>
                <c:ptCount val="3"/>
                <c:pt idx="0">
                  <c:v>0.13294491525423729</c:v>
                </c:pt>
                <c:pt idx="1">
                  <c:v>0.3197401148109969</c:v>
                </c:pt>
                <c:pt idx="2">
                  <c:v>0.47270343996882419</c:v>
                </c:pt>
              </c:numCache>
            </c:numRef>
          </c:val>
          <c:extLst>
            <c:ext xmlns:c16="http://schemas.microsoft.com/office/drawing/2014/chart" uri="{C3380CC4-5D6E-409C-BE32-E72D297353CC}">
              <c16:uniqueId val="{00000001-C4DC-4E29-B9FE-A47174FBC4EA}"/>
            </c:ext>
          </c:extLst>
        </c:ser>
        <c:ser>
          <c:idx val="2"/>
          <c:order val="2"/>
          <c:tx>
            <c:strRef>
              <c:f>'2. Percentages'!$I$14</c:f>
              <c:strCache>
                <c:ptCount val="1"/>
                <c:pt idx="0">
                  <c:v>C. After 22 and before retirement</c:v>
                </c:pt>
              </c:strCache>
            </c:strRef>
          </c:tx>
          <c:spPr>
            <a:solidFill>
              <a:srgbClr val="FF9933"/>
            </a:solidFill>
            <a:ln>
              <a:solidFill>
                <a:schemeClr val="bg1"/>
              </a:solidFill>
            </a:ln>
            <a:effectLst/>
          </c:spPr>
          <c:invertIfNegative val="0"/>
          <c:dLbls>
            <c:dLbl>
              <c:idx val="0"/>
              <c:layout>
                <c:manualLayout>
                  <c:x val="-5.8797589298838207E-3"/>
                  <c:y val="-4.0758100672508658E-2"/>
                </c:manualLayout>
              </c:layout>
              <c:tx>
                <c:rich>
                  <a:bodyPr/>
                  <a:lstStyle/>
                  <a:p>
                    <a:r>
                      <a:rPr lang="en-US"/>
                      <a:t>C</a:t>
                    </a:r>
                  </a:p>
                  <a:p>
                    <a:endParaRPr lang="en-US" sz="600"/>
                  </a:p>
                  <a:p>
                    <a:fld id="{B35CD265-025B-40C8-9BB7-0C3ADEE9D104}"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D71-4A92-A523-856E8985689B}"/>
                </c:ext>
              </c:extLst>
            </c:dLbl>
            <c:dLbl>
              <c:idx val="1"/>
              <c:layout>
                <c:manualLayout>
                  <c:x val="0"/>
                  <c:y val="-3.6682290605257795E-2"/>
                </c:manualLayout>
              </c:layout>
              <c:tx>
                <c:rich>
                  <a:bodyPr/>
                  <a:lstStyle/>
                  <a:p>
                    <a:r>
                      <a:rPr lang="en-US"/>
                      <a:t>C</a:t>
                    </a:r>
                  </a:p>
                  <a:p>
                    <a:endParaRPr lang="en-US" sz="600"/>
                  </a:p>
                  <a:p>
                    <a:fld id="{3AC91863-448F-4519-9E49-E7C9E9184B2D}"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D71-4A92-A523-856E8985689B}"/>
                </c:ext>
              </c:extLst>
            </c:dLbl>
            <c:dLbl>
              <c:idx val="2"/>
              <c:layout>
                <c:manualLayout>
                  <c:x val="0"/>
                  <c:y val="-4.0758100672508658E-2"/>
                </c:manualLayout>
              </c:layout>
              <c:tx>
                <c:rich>
                  <a:bodyPr/>
                  <a:lstStyle/>
                  <a:p>
                    <a:r>
                      <a:rPr lang="en-US"/>
                      <a:t>C</a:t>
                    </a:r>
                  </a:p>
                  <a:p>
                    <a:endParaRPr lang="en-US" sz="600"/>
                  </a:p>
                  <a:p>
                    <a:fld id="{FB6EDA47-950D-4880-A339-EBDB3127DA33}"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D71-4A92-A523-856E8985689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Percentages'!$J$11:$L$11</c:f>
              <c:strCache>
                <c:ptCount val="3"/>
                <c:pt idx="0">
                  <c:v>Not at all</c:v>
                </c:pt>
                <c:pt idx="1">
                  <c:v>Under 50%</c:v>
                </c:pt>
                <c:pt idx="2">
                  <c:v>50% to 100%</c:v>
                </c:pt>
              </c:strCache>
            </c:strRef>
          </c:cat>
          <c:val>
            <c:numRef>
              <c:f>'2. Percentages'!$J$14:$L$14</c:f>
              <c:numCache>
                <c:formatCode>0%</c:formatCode>
                <c:ptCount val="3"/>
                <c:pt idx="0">
                  <c:v>0.35212107929086306</c:v>
                </c:pt>
                <c:pt idx="1">
                  <c:v>0.24351469183555735</c:v>
                </c:pt>
                <c:pt idx="2">
                  <c:v>0.15462146172104724</c:v>
                </c:pt>
              </c:numCache>
            </c:numRef>
          </c:val>
          <c:extLst>
            <c:ext xmlns:c16="http://schemas.microsoft.com/office/drawing/2014/chart" uri="{C3380CC4-5D6E-409C-BE32-E72D297353CC}">
              <c16:uniqueId val="{00000002-C4DC-4E29-B9FE-A47174FBC4EA}"/>
            </c:ext>
          </c:extLst>
        </c:ser>
        <c:ser>
          <c:idx val="3"/>
          <c:order val="3"/>
          <c:tx>
            <c:strRef>
              <c:f>'2. Percentages'!$I$15</c:f>
              <c:strCache>
                <c:ptCount val="1"/>
                <c:pt idx="0">
                  <c:v>D. Not before retirement</c:v>
                </c:pt>
              </c:strCache>
            </c:strRef>
          </c:tx>
          <c:spPr>
            <a:solidFill>
              <a:srgbClr val="FFEC8F"/>
            </a:solidFill>
            <a:ln>
              <a:noFill/>
            </a:ln>
            <a:effectLst/>
          </c:spPr>
          <c:invertIfNegative val="0"/>
          <c:dLbls>
            <c:dLbl>
              <c:idx val="0"/>
              <c:layout>
                <c:manualLayout>
                  <c:x val="0"/>
                  <c:y val="-3.6682290605257795E-2"/>
                </c:manualLayout>
              </c:layout>
              <c:tx>
                <c:rich>
                  <a:bodyPr/>
                  <a:lstStyle/>
                  <a:p>
                    <a:r>
                      <a:rPr lang="en-US"/>
                      <a:t>D</a:t>
                    </a:r>
                  </a:p>
                  <a:p>
                    <a:endParaRPr lang="en-US" sz="600"/>
                  </a:p>
                  <a:p>
                    <a:fld id="{3A5EDF1E-5317-4D44-93D0-DA7DDEFF414D}"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D71-4A92-A523-856E8985689B}"/>
                </c:ext>
              </c:extLst>
            </c:dLbl>
            <c:dLbl>
              <c:idx val="1"/>
              <c:layout>
                <c:manualLayout>
                  <c:x val="0"/>
                  <c:y val="-3.6682290605257795E-2"/>
                </c:manualLayout>
              </c:layout>
              <c:tx>
                <c:rich>
                  <a:bodyPr/>
                  <a:lstStyle/>
                  <a:p>
                    <a:r>
                      <a:rPr lang="en-US"/>
                      <a:t>D</a:t>
                    </a:r>
                  </a:p>
                  <a:p>
                    <a:endParaRPr lang="en-US" sz="600"/>
                  </a:p>
                  <a:p>
                    <a:fld id="{0A878016-CBC7-47F1-98BD-5B12EA85CB1E}"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D71-4A92-A523-856E8985689B}"/>
                </c:ext>
              </c:extLst>
            </c:dLbl>
            <c:dLbl>
              <c:idx val="2"/>
              <c:layout>
                <c:manualLayout>
                  <c:x val="0"/>
                  <c:y val="-4.0758100672508658E-2"/>
                </c:manualLayout>
              </c:layout>
              <c:tx>
                <c:rich>
                  <a:bodyPr/>
                  <a:lstStyle/>
                  <a:p>
                    <a:r>
                      <a:rPr lang="en-US"/>
                      <a:t>D</a:t>
                    </a:r>
                  </a:p>
                  <a:p>
                    <a:endParaRPr lang="en-US" sz="600"/>
                  </a:p>
                  <a:p>
                    <a:fld id="{DC07DD69-AC3B-4057-9687-C544A3323B27}"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D71-4A92-A523-856E8985689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Percentages'!$J$11:$L$11</c:f>
              <c:strCache>
                <c:ptCount val="3"/>
                <c:pt idx="0">
                  <c:v>Not at all</c:v>
                </c:pt>
                <c:pt idx="1">
                  <c:v>Under 50%</c:v>
                </c:pt>
                <c:pt idx="2">
                  <c:v>50% to 100%</c:v>
                </c:pt>
              </c:strCache>
            </c:strRef>
          </c:cat>
          <c:val>
            <c:numRef>
              <c:f>'2. Percentages'!$J$15:$L$15</c:f>
              <c:numCache>
                <c:formatCode>0%</c:formatCode>
                <c:ptCount val="3"/>
                <c:pt idx="0">
                  <c:v>0.50359804208065451</c:v>
                </c:pt>
                <c:pt idx="1">
                  <c:v>0.38579899564020836</c:v>
                </c:pt>
                <c:pt idx="2">
                  <c:v>0.25144365323980589</c:v>
                </c:pt>
              </c:numCache>
            </c:numRef>
          </c:val>
          <c:extLst>
            <c:ext xmlns:c16="http://schemas.microsoft.com/office/drawing/2014/chart" uri="{C3380CC4-5D6E-409C-BE32-E72D297353CC}">
              <c16:uniqueId val="{00000003-C4DC-4E29-B9FE-A47174FBC4EA}"/>
            </c:ext>
          </c:extLst>
        </c:ser>
        <c:dLbls>
          <c:showLegendKey val="0"/>
          <c:showVal val="1"/>
          <c:showCatName val="0"/>
          <c:showSerName val="0"/>
          <c:showPercent val="0"/>
          <c:showBubbleSize val="0"/>
        </c:dLbls>
        <c:gapWidth val="150"/>
        <c:overlap val="100"/>
        <c:axId val="617358792"/>
        <c:axId val="617364040"/>
      </c:barChart>
      <c:catAx>
        <c:axId val="61735879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t>Percentage of childhood at least one parent or guardian received income support</a:t>
                </a:r>
              </a:p>
            </c:rich>
          </c:tx>
          <c:layout>
            <c:manualLayout>
              <c:xMode val="edge"/>
              <c:yMode val="edge"/>
              <c:x val="7.7411424556790035E-3"/>
              <c:y val="5.6584127641939493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7364040"/>
        <c:crosses val="autoZero"/>
        <c:auto val="1"/>
        <c:lblAlgn val="ctr"/>
        <c:lblOffset val="100"/>
        <c:noMultiLvlLbl val="0"/>
      </c:catAx>
      <c:valAx>
        <c:axId val="617364040"/>
        <c:scaling>
          <c:orientation val="minMax"/>
        </c:scaling>
        <c:delete val="0"/>
        <c:axPos val="b"/>
        <c:majorGridlines>
          <c:spPr>
            <a:ln w="9525" cap="flat" cmpd="sng" algn="ctr">
              <a:solidFill>
                <a:srgbClr val="D9D9D9"/>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b="1"/>
                  <a:t>Percentage of children in group</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7358792"/>
        <c:crosses val="autoZero"/>
        <c:crossBetween val="between"/>
      </c:valAx>
      <c:spPr>
        <a:noFill/>
        <a:ln>
          <a:noFill/>
        </a:ln>
        <a:effectLst/>
      </c:spPr>
    </c:plotArea>
    <c:legend>
      <c:legendPos val="b"/>
      <c:layout>
        <c:manualLayout>
          <c:xMode val="edge"/>
          <c:yMode val="edge"/>
          <c:x val="8.0284172915839579E-3"/>
          <c:y val="0.87338190202860155"/>
          <c:w val="0.9819752980678973"/>
          <c:h val="0.122860277916765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85217267509347"/>
          <c:y val="1.6175922088686283E-2"/>
          <c:w val="0.65515144430259464"/>
          <c:h val="0.74282388203051908"/>
        </c:manualLayout>
      </c:layout>
      <c:barChart>
        <c:barDir val="bar"/>
        <c:grouping val="stacked"/>
        <c:varyColors val="0"/>
        <c:ser>
          <c:idx val="0"/>
          <c:order val="0"/>
          <c:tx>
            <c:strRef>
              <c:f>'Figures 5-3 and 5-4'!$C$1</c:f>
              <c:strCache>
                <c:ptCount val="1"/>
                <c:pt idx="0">
                  <c:v>A. Studying payments</c:v>
                </c:pt>
              </c:strCache>
            </c:strRef>
          </c:tx>
          <c:spPr>
            <a:solidFill>
              <a:srgbClr val="1F497D"/>
            </a:solidFill>
            <a:ln>
              <a:noFill/>
            </a:ln>
            <a:effectLst/>
          </c:spPr>
          <c:invertIfNegative val="0"/>
          <c:dLbls>
            <c:delete val="1"/>
          </c:dLbls>
          <c:cat>
            <c:multiLvlStrRef>
              <c:f>'Figures 5-3 and 5-4'!$A$2:$B$7</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'Figures 5-3 and 5-4'!$C$2:$C$7</c:f>
              <c:numCache>
                <c:formatCode>0.00</c:formatCode>
                <c:ptCount val="6"/>
                <c:pt idx="0">
                  <c:v>5.109275903742834E-3</c:v>
                </c:pt>
                <c:pt idx="1">
                  <c:v>5.7557759969994729E-3</c:v>
                </c:pt>
                <c:pt idx="2">
                  <c:v>2.0424998367364389E-2</c:v>
                </c:pt>
                <c:pt idx="3">
                  <c:v>2.9377056645047247E-2</c:v>
                </c:pt>
                <c:pt idx="4">
                  <c:v>1.1465718206913068E-2</c:v>
                </c:pt>
                <c:pt idx="5">
                  <c:v>2.0075671562455873E-2</c:v>
                </c:pt>
              </c:numCache>
            </c:numRef>
          </c:val>
          <c:extLst>
            <c:ext xmlns:c16="http://schemas.microsoft.com/office/drawing/2014/chart" uri="{C3380CC4-5D6E-409C-BE32-E72D297353CC}">
              <c16:uniqueId val="{00000000-246E-469A-9263-D0ACA5EDAAC0}"/>
            </c:ext>
          </c:extLst>
        </c:ser>
        <c:ser>
          <c:idx val="1"/>
          <c:order val="1"/>
          <c:tx>
            <c:strRef>
              <c:f>'Figures 5-3 and 5-4'!$D$1</c:f>
              <c:strCache>
                <c:ptCount val="1"/>
                <c:pt idx="0">
                  <c:v>B. Working age payments</c:v>
                </c:pt>
              </c:strCache>
            </c:strRef>
          </c:tx>
          <c:spPr>
            <a:solidFill>
              <a:srgbClr val="009644"/>
            </a:solidFill>
            <a:ln>
              <a:noFill/>
            </a:ln>
            <a:effectLst/>
          </c:spPr>
          <c:invertIfNegative val="0"/>
          <c:dLbls>
            <c:dLbl>
              <c:idx val="0"/>
              <c:layout>
                <c:manualLayout>
                  <c:x val="5.8797589298838744E-3"/>
                  <c:y val="-4.3859649122807015E-2"/>
                </c:manualLayout>
              </c:layout>
              <c:tx>
                <c:rich>
                  <a:bodyPr/>
                  <a:lstStyle/>
                  <a:p>
                    <a:r>
                      <a:rPr lang="en-US"/>
                      <a:t>A-E</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8D0-4F27-AA11-C5D3ABEF564F}"/>
                </c:ext>
              </c:extLst>
            </c:dLbl>
            <c:dLbl>
              <c:idx val="1"/>
              <c:layout>
                <c:manualLayout>
                  <c:x val="1.1759517859767695E-2"/>
                  <c:y val="-4.3859649122807015E-2"/>
                </c:manualLayout>
              </c:layout>
              <c:tx>
                <c:rich>
                  <a:bodyPr/>
                  <a:lstStyle/>
                  <a:p>
                    <a:r>
                      <a:rPr lang="en-US"/>
                      <a:t>A-E</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8D0-4F27-AA11-C5D3ABEF564F}"/>
                </c:ext>
              </c:extLst>
            </c:dLbl>
            <c:dLbl>
              <c:idx val="2"/>
              <c:layout>
                <c:manualLayout>
                  <c:x val="1.7639508276223667E-2"/>
                  <c:y val="-4.3859476447023073E-2"/>
                </c:manualLayout>
              </c:layout>
              <c:tx>
                <c:rich>
                  <a:bodyPr/>
                  <a:lstStyle/>
                  <a:p>
                    <a:r>
                      <a:rPr lang="en-US" sz="800" b="0" i="0" u="none" strike="noStrike" kern="1200" baseline="0">
                        <a:solidFill>
                          <a:sysClr val="windowText" lastClr="000000"/>
                        </a:solidFill>
                        <a:latin typeface="Arial" panose="020B0604020202020204" pitchFamily="34" charset="0"/>
                      </a:rPr>
                      <a:t>A                         B                       C-E    </a:t>
                    </a:r>
                  </a:p>
                  <a:p>
                    <a:endParaRPr lang="en-US" sz="800" b="0" i="0" u="none" strike="noStrike" kern="1200" baseline="0">
                      <a:solidFill>
                        <a:sysClr val="windowText" lastClr="000000"/>
                      </a:solidFill>
                      <a:latin typeface="Arial" panose="020B060402020202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layout>
                    <c:manualLayout>
                      <c:w val="0.43679247576046237"/>
                      <c:h val="5.3487014781047094E-2"/>
                    </c:manualLayout>
                  </c15:layout>
                  <c15:showDataLabelsRange val="0"/>
                </c:ext>
                <c:ext xmlns:c16="http://schemas.microsoft.com/office/drawing/2014/chart" uri="{C3380CC4-5D6E-409C-BE32-E72D297353CC}">
                  <c16:uniqueId val="{00000003-08D0-4F27-AA11-C5D3ABEF564F}"/>
                </c:ext>
              </c:extLst>
            </c:dLbl>
            <c:dLbl>
              <c:idx val="3"/>
              <c:layout>
                <c:manualLayout>
                  <c:x val="3.233867411436131E-2"/>
                  <c:y val="-4.8245441359303774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r>
                      <a:rPr lang="en-US" sz="800" b="0" i="0" u="none" strike="noStrike" kern="1200" baseline="0">
                        <a:solidFill>
                          <a:sysClr val="windowText" lastClr="000000"/>
                        </a:solidFill>
                        <a:latin typeface="Arial" panose="020B0604020202020204" pitchFamily="34" charset="0"/>
                      </a:rPr>
                      <a:t>A                         B                           C DE    </a:t>
                    </a: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solidFill>
                      </a:defRPr>
                    </a:pPr>
                    <a:endParaRPr lang="en-US"/>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50440970345412683"/>
                      <c:h val="5.3487014781047094E-2"/>
                    </c:manualLayout>
                  </c15:layout>
                  <c15:showDataLabelsRange val="0"/>
                </c:ext>
                <c:ext xmlns:c16="http://schemas.microsoft.com/office/drawing/2014/chart" uri="{C3380CC4-5D6E-409C-BE32-E72D297353CC}">
                  <c16:uniqueId val="{00000002-08D0-4F27-AA11-C5D3ABEF564F}"/>
                </c:ext>
              </c:extLst>
            </c:dLbl>
            <c:dLbl>
              <c:idx val="4"/>
              <c:layout>
                <c:manualLayout>
                  <c:x val="2.0579156254593563E-2"/>
                  <c:y val="-4.6052286227379474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r>
                      <a:rPr lang="en-US" sz="800" b="0" i="0" u="none" strike="noStrike" kern="1200" baseline="0">
                        <a:solidFill>
                          <a:sysClr val="windowText" lastClr="000000"/>
                        </a:solidFill>
                        <a:latin typeface="Arial" panose="020B0604020202020204" pitchFamily="34" charset="0"/>
                      </a:rPr>
                      <a:t>A                                  B                                CDE    </a:t>
                    </a: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solidFill>
                      </a:defRPr>
                    </a:pPr>
                    <a:endParaRPr lang="en-US"/>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57293852526849554"/>
                      <c:h val="5.6052631578947368E-2"/>
                    </c:manualLayout>
                  </c15:layout>
                  <c15:showDataLabelsRange val="0"/>
                </c:ext>
                <c:ext xmlns:c16="http://schemas.microsoft.com/office/drawing/2014/chart" uri="{C3380CC4-5D6E-409C-BE32-E72D297353CC}">
                  <c16:uniqueId val="{00000001-08D0-4F27-AA11-C5D3ABEF564F}"/>
                </c:ext>
              </c:extLst>
            </c:dLbl>
            <c:dLbl>
              <c:idx val="5"/>
              <c:layout>
                <c:manualLayout>
                  <c:x val="2.3519035719535446E-2"/>
                  <c:y val="-4.3859476447023073E-2"/>
                </c:manualLayout>
              </c:layout>
              <c:tx>
                <c:rich>
                  <a:bodyPr/>
                  <a:lstStyle/>
                  <a:p>
                    <a:r>
                      <a:rPr lang="en-US"/>
                      <a:t>A                                  B                                  CDE    </a:t>
                    </a:r>
                  </a:p>
                </c:rich>
              </c:tx>
              <c:dLblPos val="ctr"/>
              <c:showLegendKey val="0"/>
              <c:showVal val="1"/>
              <c:showCatName val="0"/>
              <c:showSerName val="0"/>
              <c:showPercent val="0"/>
              <c:showBubbleSize val="0"/>
              <c:extLst>
                <c:ext xmlns:c15="http://schemas.microsoft.com/office/drawing/2012/chart" uri="{CE6537A1-D6FC-4f65-9D91-7224C49458BB}">
                  <c15:layout>
                    <c:manualLayout>
                      <c:w val="0.57426123954114727"/>
                      <c:h val="5.3487014781047094E-2"/>
                    </c:manualLayout>
                  </c15:layout>
                  <c15:showDataLabelsRange val="0"/>
                </c:ext>
                <c:ext xmlns:c16="http://schemas.microsoft.com/office/drawing/2014/chart" uri="{C3380CC4-5D6E-409C-BE32-E72D297353CC}">
                  <c16:uniqueId val="{00000000-08D0-4F27-AA11-C5D3ABEF564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'Figures 5-3 and 5-4'!$A$2:$B$7</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'Figures 5-3 and 5-4'!$D$2:$D$7</c:f>
              <c:numCache>
                <c:formatCode>0.00</c:formatCode>
                <c:ptCount val="6"/>
                <c:pt idx="0">
                  <c:v>0.2304099632079826</c:v>
                </c:pt>
                <c:pt idx="1">
                  <c:v>0.13402385670292299</c:v>
                </c:pt>
                <c:pt idx="2">
                  <c:v>2.684484817324067</c:v>
                </c:pt>
                <c:pt idx="3">
                  <c:v>2.7834582678451349</c:v>
                </c:pt>
                <c:pt idx="4">
                  <c:v>3.6556189906093901</c:v>
                </c:pt>
                <c:pt idx="5">
                  <c:v>3.6875499345205274</c:v>
                </c:pt>
              </c:numCache>
            </c:numRef>
          </c:val>
          <c:extLst>
            <c:ext xmlns:c16="http://schemas.microsoft.com/office/drawing/2014/chart" uri="{C3380CC4-5D6E-409C-BE32-E72D297353CC}">
              <c16:uniqueId val="{00000001-246E-469A-9263-D0ACA5EDAAC0}"/>
            </c:ext>
          </c:extLst>
        </c:ser>
        <c:ser>
          <c:idx val="2"/>
          <c:order val="2"/>
          <c:tx>
            <c:strRef>
              <c:f>'Figures 5-3 and 5-4'!$E$1</c:f>
              <c:strCache>
                <c:ptCount val="1"/>
                <c:pt idx="0">
                  <c:v>C. Parenting Payment</c:v>
                </c:pt>
              </c:strCache>
            </c:strRef>
          </c:tx>
          <c:spPr>
            <a:solidFill>
              <a:srgbClr val="E26B0A"/>
            </a:solidFill>
            <a:ln>
              <a:noFill/>
            </a:ln>
            <a:effectLst/>
          </c:spPr>
          <c:invertIfNegative val="0"/>
          <c:dLbls>
            <c:delete val="1"/>
          </c:dLbls>
          <c:cat>
            <c:multiLvlStrRef>
              <c:f>'Figures 5-3 and 5-4'!$A$2:$B$7</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'Figures 5-3 and 5-4'!$E$2:$E$7</c:f>
              <c:numCache>
                <c:formatCode>0.00</c:formatCode>
                <c:ptCount val="6"/>
                <c:pt idx="0">
                  <c:v>6.4810003389503988E-3</c:v>
                </c:pt>
                <c:pt idx="1">
                  <c:v>1.8674535141109328E-2</c:v>
                </c:pt>
                <c:pt idx="2">
                  <c:v>4.3607527959141149E-2</c:v>
                </c:pt>
                <c:pt idx="3">
                  <c:v>0.26164567047528409</c:v>
                </c:pt>
                <c:pt idx="4">
                  <c:v>2.3919220410897467E-2</c:v>
                </c:pt>
                <c:pt idx="5">
                  <c:v>9.0002155596424133E-2</c:v>
                </c:pt>
              </c:numCache>
            </c:numRef>
          </c:val>
          <c:extLst>
            <c:ext xmlns:c16="http://schemas.microsoft.com/office/drawing/2014/chart" uri="{C3380CC4-5D6E-409C-BE32-E72D297353CC}">
              <c16:uniqueId val="{00000002-246E-469A-9263-D0ACA5EDAAC0}"/>
            </c:ext>
          </c:extLst>
        </c:ser>
        <c:ser>
          <c:idx val="3"/>
          <c:order val="3"/>
          <c:tx>
            <c:strRef>
              <c:f>'Figures 5-3 and 5-4'!$F$1</c:f>
              <c:strCache>
                <c:ptCount val="1"/>
                <c:pt idx="0">
                  <c:v>D. Carer Payment</c:v>
                </c:pt>
              </c:strCache>
            </c:strRef>
          </c:tx>
          <c:spPr>
            <a:solidFill>
              <a:srgbClr val="E18BD7"/>
            </a:solidFill>
            <a:ln>
              <a:noFill/>
            </a:ln>
            <a:effectLst/>
          </c:spPr>
          <c:invertIfNegative val="0"/>
          <c:dLbls>
            <c:dLbl>
              <c:idx val="0"/>
              <c:tx>
                <c:rich>
                  <a:bodyPr/>
                  <a:lstStyle/>
                  <a:p>
                    <a:r>
                      <a:rPr lang="en-US"/>
                      <a:t>0.3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46E-469A-9263-D0ACA5EDAAC0}"/>
                </c:ext>
              </c:extLst>
            </c:dLbl>
            <c:dLbl>
              <c:idx val="1"/>
              <c:tx>
                <c:rich>
                  <a:bodyPr/>
                  <a:lstStyle/>
                  <a:p>
                    <a:r>
                      <a:rPr lang="en-US"/>
                      <a:t>0.2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46E-469A-9263-D0ACA5EDAAC0}"/>
                </c:ext>
              </c:extLst>
            </c:dLbl>
            <c:dLbl>
              <c:idx val="2"/>
              <c:layout>
                <c:manualLayout>
                  <c:x val="3.5632265061384449E-2"/>
                  <c:y val="-8.0408427840126275E-17"/>
                </c:manualLayout>
              </c:layout>
              <c:tx>
                <c:rich>
                  <a:bodyPr/>
                  <a:lstStyle/>
                  <a:p>
                    <a:r>
                      <a:rPr lang="en-US"/>
                      <a:t>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46E-469A-9263-D0ACA5EDAAC0}"/>
                </c:ext>
              </c:extLst>
            </c:dLbl>
            <c:dLbl>
              <c:idx val="3"/>
              <c:layout>
                <c:manualLayout>
                  <c:x val="3.76114752523493E-2"/>
                  <c:y val="0"/>
                </c:manualLayout>
              </c:layout>
              <c:tx>
                <c:rich>
                  <a:bodyPr/>
                  <a:lstStyle/>
                  <a:p>
                    <a:r>
                      <a:rPr lang="en-US"/>
                      <a:t>3.2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46E-469A-9263-D0ACA5EDAAC0}"/>
                </c:ext>
              </c:extLst>
            </c:dLbl>
            <c:dLbl>
              <c:idx val="4"/>
              <c:layout>
                <c:manualLayout>
                  <c:x val="3.8799464340072184E-2"/>
                  <c:y val="2.0102106960031569E-17"/>
                </c:manualLayout>
              </c:layout>
              <c:tx>
                <c:rich>
                  <a:bodyPr/>
                  <a:lstStyle/>
                  <a:p>
                    <a:r>
                      <a:rPr lang="en-US"/>
                      <a:t>3.8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46E-469A-9263-D0ACA5EDAAC0}"/>
                </c:ext>
              </c:extLst>
            </c:dLbl>
            <c:dLbl>
              <c:idx val="5"/>
              <c:layout>
                <c:manualLayout>
                  <c:x val="4.321275583606584E-2"/>
                  <c:y val="0"/>
                </c:manualLayout>
              </c:layout>
              <c:tx>
                <c:rich>
                  <a:bodyPr/>
                  <a:lstStyle/>
                  <a:p>
                    <a:r>
                      <a:rPr lang="en-US"/>
                      <a:t>4.0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46E-469A-9263-D0ACA5EDAAC0}"/>
                </c:ext>
              </c:extLst>
            </c:dLbl>
            <c:spPr>
              <a:noFill/>
              <a:ln>
                <a:noFill/>
              </a:ln>
              <a:effectLst/>
            </c:spPr>
            <c:txPr>
              <a:bodyPr rot="0" spcFirstLastPara="1" vertOverflow="ellipsis" vert="horz" wrap="square" anchor="ctr" anchorCtr="0"/>
              <a:lstStyle/>
              <a:p>
                <a:pPr algn="l">
                  <a:defRPr sz="900" b="0" i="0" u="none" strike="noStrike" kern="1200" baseline="0">
                    <a:solidFill>
                      <a:schemeClr val="tx1"/>
                    </a:solidFill>
                    <a:latin typeface="Arial" panose="020B0604020202020204" pitchFamily="34"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'Figures 5-3 and 5-4'!$A$2:$B$7</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'Figures 5-3 and 5-4'!$F$2:$F$7</c:f>
              <c:numCache>
                <c:formatCode>0.00</c:formatCode>
                <c:ptCount val="6"/>
                <c:pt idx="0">
                  <c:v>1.7604522395100144E-2</c:v>
                </c:pt>
                <c:pt idx="1">
                  <c:v>2.3117802320660154E-2</c:v>
                </c:pt>
                <c:pt idx="2">
                  <c:v>9.5790045529683843E-2</c:v>
                </c:pt>
                <c:pt idx="3">
                  <c:v>0.15532853832765361</c:v>
                </c:pt>
                <c:pt idx="4">
                  <c:v>9.2322224390277513E-2</c:v>
                </c:pt>
                <c:pt idx="5">
                  <c:v>0.1595765358727346</c:v>
                </c:pt>
              </c:numCache>
            </c:numRef>
          </c:val>
          <c:extLst>
            <c:ext xmlns:c16="http://schemas.microsoft.com/office/drawing/2014/chart" uri="{C3380CC4-5D6E-409C-BE32-E72D297353CC}">
              <c16:uniqueId val="{00000009-246E-469A-9263-D0ACA5EDAAC0}"/>
            </c:ext>
          </c:extLst>
        </c:ser>
        <c:ser>
          <c:idx val="4"/>
          <c:order val="4"/>
          <c:tx>
            <c:strRef>
              <c:f>'Figures 5-3 and 5-4'!$G$1</c:f>
              <c:strCache>
                <c:ptCount val="1"/>
                <c:pt idx="0">
                  <c:v>E. DSP</c:v>
                </c:pt>
              </c:strCache>
            </c:strRef>
          </c:tx>
          <c:spPr>
            <a:solidFill>
              <a:srgbClr val="8064A2"/>
            </a:solidFill>
            <a:ln>
              <a:noFill/>
            </a:ln>
            <a:effectLst/>
          </c:spPr>
          <c:invertIfNegative val="0"/>
          <c:dLbls>
            <c:delete val="1"/>
          </c:dLbls>
          <c:cat>
            <c:multiLvlStrRef>
              <c:f>'Figures 5-3 and 5-4'!$A$2:$B$7</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'Figures 5-3 and 5-4'!$G$2:$G$7</c:f>
              <c:numCache>
                <c:formatCode>0.00</c:formatCode>
                <c:ptCount val="6"/>
                <c:pt idx="0">
                  <c:v>1.6305600466436709E-2</c:v>
                </c:pt>
                <c:pt idx="1">
                  <c:v>8.1670171827186583E-3</c:v>
                </c:pt>
                <c:pt idx="2">
                  <c:v>7.2065562116055122E-4</c:v>
                </c:pt>
                <c:pt idx="3">
                  <c:v>1.8473372942130536E-4</c:v>
                </c:pt>
                <c:pt idx="4">
                  <c:v>7.827149718387277E-3</c:v>
                </c:pt>
                <c:pt idx="5">
                  <c:v>6.0273327765803103E-3</c:v>
                </c:pt>
              </c:numCache>
            </c:numRef>
          </c:val>
          <c:extLst>
            <c:ext xmlns:c16="http://schemas.microsoft.com/office/drawing/2014/chart" uri="{C3380CC4-5D6E-409C-BE32-E72D297353CC}">
              <c16:uniqueId val="{0000000A-246E-469A-9263-D0ACA5EDAAC0}"/>
            </c:ext>
          </c:extLst>
        </c:ser>
        <c:dLbls>
          <c:dLblPos val="ctr"/>
          <c:showLegendKey val="0"/>
          <c:showVal val="1"/>
          <c:showCatName val="0"/>
          <c:showSerName val="0"/>
          <c:showPercent val="0"/>
          <c:showBubbleSize val="0"/>
        </c:dLbls>
        <c:gapWidth val="150"/>
        <c:overlap val="100"/>
        <c:axId val="532366544"/>
        <c:axId val="532366872"/>
      </c:barChart>
      <c:catAx>
        <c:axId val="5323665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Income support received at</a:t>
                </a:r>
              </a:p>
              <a:p>
                <a:pPr>
                  <a:defRPr b="1"/>
                </a:pPr>
                <a:r>
                  <a:rPr lang="en-AU" b="1"/>
                  <a:t>30 June 2022</a:t>
                </a:r>
              </a:p>
            </c:rich>
          </c:tx>
          <c:layout>
            <c:manualLayout>
              <c:xMode val="edge"/>
              <c:yMode val="edge"/>
              <c:x val="2.9398794649419372E-3"/>
              <c:y val="0.1245462298285269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mn-cs"/>
              </a:defRPr>
            </a:pPr>
            <a:endParaRPr lang="en-US"/>
          </a:p>
        </c:txPr>
        <c:crossAx val="532366872"/>
        <c:crosses val="autoZero"/>
        <c:auto val="1"/>
        <c:lblAlgn val="ctr"/>
        <c:lblOffset val="100"/>
        <c:noMultiLvlLbl val="0"/>
      </c:catAx>
      <c:valAx>
        <c:axId val="532366872"/>
        <c:scaling>
          <c:orientation val="minMax"/>
        </c:scaling>
        <c:delete val="0"/>
        <c:axPos val="b"/>
        <c:majorGridlines>
          <c:spPr>
            <a:ln w="9525" cap="flat" cmpd="sng" algn="ctr">
              <a:solidFill>
                <a:srgbClr val="D9D9D9"/>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Years</a:t>
                </a:r>
              </a:p>
            </c:rich>
          </c:tx>
          <c:layout>
            <c:manualLayout>
              <c:xMode val="edge"/>
              <c:yMode val="edge"/>
              <c:x val="0.60905506023859324"/>
              <c:y val="0.7970358594765559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32366544"/>
        <c:crosses val="autoZero"/>
        <c:crossBetween val="between"/>
        <c:majorUnit val="1"/>
      </c:valAx>
      <c:spPr>
        <a:noFill/>
        <a:ln>
          <a:noFill/>
        </a:ln>
        <a:effectLst/>
      </c:spPr>
    </c:plotArea>
    <c:legend>
      <c:legendPos val="b"/>
      <c:layout>
        <c:manualLayout>
          <c:xMode val="edge"/>
          <c:yMode val="edge"/>
          <c:x val="1.3352145475421333E-3"/>
          <c:y val="0.86337503317703268"/>
          <c:w val="0.99438969143997402"/>
          <c:h val="0.136624966822967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900" baseline="0">
          <a:solidFill>
            <a:schemeClr val="tx1"/>
          </a:solidFill>
          <a:latin typeface="Arial" panose="020B06040202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263810199529853"/>
          <c:y val="4.0160642570281121E-3"/>
          <c:w val="0.6423655149823897"/>
          <c:h val="0.72399962052936151"/>
        </c:manualLayout>
      </c:layout>
      <c:barChart>
        <c:barDir val="bar"/>
        <c:grouping val="stacked"/>
        <c:varyColors val="0"/>
        <c:ser>
          <c:idx val="0"/>
          <c:order val="0"/>
          <c:tx>
            <c:strRef>
              <c:f>'Figures 5-3 and 5-4'!$K$1</c:f>
              <c:strCache>
                <c:ptCount val="1"/>
                <c:pt idx="0">
                  <c:v>A. Studying payments</c:v>
                </c:pt>
              </c:strCache>
            </c:strRef>
          </c:tx>
          <c:spPr>
            <a:solidFill>
              <a:srgbClr val="1F497D"/>
            </a:solidFill>
            <a:ln>
              <a:noFill/>
            </a:ln>
            <a:effectLst/>
          </c:spPr>
          <c:invertIfNegative val="0"/>
          <c:dPt>
            <c:idx val="0"/>
            <c:invertIfNegative val="0"/>
            <c:bubble3D val="0"/>
            <c:spPr>
              <a:solidFill>
                <a:srgbClr val="1F497D"/>
              </a:solidFill>
              <a:ln>
                <a:noFill/>
              </a:ln>
              <a:effectLst/>
            </c:spPr>
            <c:extLst>
              <c:ext xmlns:c16="http://schemas.microsoft.com/office/drawing/2014/chart" uri="{C3380CC4-5D6E-409C-BE32-E72D297353CC}">
                <c16:uniqueId val="{00000001-C97E-4E4F-8175-7B5CF6ECEEE7}"/>
              </c:ext>
            </c:extLst>
          </c:dPt>
          <c:dPt>
            <c:idx val="2"/>
            <c:invertIfNegative val="0"/>
            <c:bubble3D val="0"/>
            <c:spPr>
              <a:solidFill>
                <a:srgbClr val="1F497D"/>
              </a:solidFill>
              <a:ln>
                <a:noFill/>
              </a:ln>
              <a:effectLst/>
            </c:spPr>
            <c:extLst>
              <c:ext xmlns:c16="http://schemas.microsoft.com/office/drawing/2014/chart" uri="{C3380CC4-5D6E-409C-BE32-E72D297353CC}">
                <c16:uniqueId val="{00000003-C97E-4E4F-8175-7B5CF6ECEEE7}"/>
              </c:ext>
            </c:extLst>
          </c:dPt>
          <c:dPt>
            <c:idx val="4"/>
            <c:invertIfNegative val="0"/>
            <c:bubble3D val="0"/>
            <c:spPr>
              <a:solidFill>
                <a:srgbClr val="1F497D"/>
              </a:solidFill>
              <a:ln>
                <a:noFill/>
              </a:ln>
              <a:effectLst/>
            </c:spPr>
            <c:extLst>
              <c:ext xmlns:c16="http://schemas.microsoft.com/office/drawing/2014/chart" uri="{C3380CC4-5D6E-409C-BE32-E72D297353CC}">
                <c16:uniqueId val="{00000005-C97E-4E4F-8175-7B5CF6ECEEE7}"/>
              </c:ext>
            </c:extLst>
          </c:dPt>
          <c:dLbls>
            <c:delete val="1"/>
          </c:dLbls>
          <c:cat>
            <c:multiLvlStrRef>
              <c:f>'Figures 5-3 and 5-4'!$I$2:$J$7</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'Figures 5-3 and 5-4'!$K$2:$K$7</c:f>
              <c:numCache>
                <c:formatCode>0.0</c:formatCode>
                <c:ptCount val="6"/>
                <c:pt idx="0">
                  <c:v>1.01138460419191E-3</c:v>
                </c:pt>
                <c:pt idx="1">
                  <c:v>2.0047331750049583E-3</c:v>
                </c:pt>
                <c:pt idx="2">
                  <c:v>7.7906836578852485E-3</c:v>
                </c:pt>
                <c:pt idx="3">
                  <c:v>1.4096606503858878E-2</c:v>
                </c:pt>
                <c:pt idx="4">
                  <c:v>4.5686650212807553E-3</c:v>
                </c:pt>
                <c:pt idx="5">
                  <c:v>8.7391005360024886E-3</c:v>
                </c:pt>
              </c:numCache>
            </c:numRef>
          </c:val>
          <c:extLst>
            <c:ext xmlns:c16="http://schemas.microsoft.com/office/drawing/2014/chart" uri="{C3380CC4-5D6E-409C-BE32-E72D297353CC}">
              <c16:uniqueId val="{00000006-C97E-4E4F-8175-7B5CF6ECEEE7}"/>
            </c:ext>
          </c:extLst>
        </c:ser>
        <c:ser>
          <c:idx val="1"/>
          <c:order val="1"/>
          <c:tx>
            <c:strRef>
              <c:f>'Figures 5-3 and 5-4'!$L$1</c:f>
              <c:strCache>
                <c:ptCount val="1"/>
                <c:pt idx="0">
                  <c:v>B. Working age payments</c:v>
                </c:pt>
              </c:strCache>
            </c:strRef>
          </c:tx>
          <c:spPr>
            <a:solidFill>
              <a:srgbClr val="009644"/>
            </a:solidFill>
            <a:ln>
              <a:noFill/>
            </a:ln>
            <a:effectLst/>
          </c:spPr>
          <c:invertIfNegative val="0"/>
          <c:dLbls>
            <c:dLbl>
              <c:idx val="0"/>
              <c:layout>
                <c:manualLayout>
                  <c:x val="1.4699397324709687E-2"/>
                  <c:y val="-3.7974683544303875E-2"/>
                </c:manualLayout>
              </c:layout>
              <c:tx>
                <c:rich>
                  <a:bodyPr/>
                  <a:lstStyle/>
                  <a:p>
                    <a:r>
                      <a:rPr lang="en-US"/>
                      <a:t>A-F</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7E8-41CE-867E-566384BA3B0C}"/>
                </c:ext>
              </c:extLst>
            </c:dLbl>
            <c:dLbl>
              <c:idx val="1"/>
              <c:layout>
                <c:manualLayout>
                  <c:x val="1.4699397324709634E-2"/>
                  <c:y val="-3.7974683544303799E-2"/>
                </c:manualLayout>
              </c:layout>
              <c:tx>
                <c:rich>
                  <a:bodyPr/>
                  <a:lstStyle/>
                  <a:p>
                    <a:r>
                      <a:rPr lang="en-US"/>
                      <a:t>A-F</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7E8-41CE-867E-566384BA3B0C}"/>
                </c:ext>
              </c:extLst>
            </c:dLbl>
            <c:dLbl>
              <c:idx val="2"/>
              <c:layout>
                <c:manualLayout>
                  <c:x val="4.262813649837207E-2"/>
                  <c:y val="-3.3755108143127675E-2"/>
                </c:manualLayout>
              </c:layout>
              <c:tx>
                <c:rich>
                  <a:bodyPr/>
                  <a:lstStyle/>
                  <a:p>
                    <a:r>
                      <a:rPr lang="en-US" sz="800" b="0" i="0" u="none" strike="noStrike" kern="1200" baseline="0">
                        <a:solidFill>
                          <a:sysClr val="windowText" lastClr="000000"/>
                        </a:solidFill>
                        <a:latin typeface="Arial" panose="020B0604020202020204" pitchFamily="34" charset="0"/>
                      </a:rPr>
                      <a:t>A                           B                CDE     F    </a:t>
                    </a:r>
                  </a:p>
                </c:rich>
              </c:tx>
              <c:dLblPos val="ctr"/>
              <c:showLegendKey val="0"/>
              <c:showVal val="1"/>
              <c:showCatName val="0"/>
              <c:showSerName val="0"/>
              <c:showPercent val="0"/>
              <c:showBubbleSize val="0"/>
              <c:extLst>
                <c:ext xmlns:c15="http://schemas.microsoft.com/office/drawing/2012/chart" uri="{CE6537A1-D6FC-4f65-9D91-7224C49458BB}">
                  <c15:layout>
                    <c:manualLayout>
                      <c:w val="0.58834349366479111"/>
                      <c:h val="5.145586232100733E-2"/>
                    </c:manualLayout>
                  </c15:layout>
                  <c15:showDataLabelsRange val="0"/>
                </c:ext>
                <c:ext xmlns:c16="http://schemas.microsoft.com/office/drawing/2014/chart" uri="{C3380CC4-5D6E-409C-BE32-E72D297353CC}">
                  <c16:uniqueId val="{0000000A-E7E8-41CE-867E-566384BA3B0C}"/>
                </c:ext>
              </c:extLst>
            </c:dLbl>
            <c:dLbl>
              <c:idx val="3"/>
              <c:layout>
                <c:manualLayout>
                  <c:x val="4.4098076230843039E-2"/>
                  <c:y val="-3.3755108143127675E-2"/>
                </c:manualLayout>
              </c:layout>
              <c:tx>
                <c:rich>
                  <a:bodyPr/>
                  <a:lstStyle/>
                  <a:p>
                    <a:r>
                      <a:rPr lang="en-US" sz="800" b="0" i="0" u="none" strike="noStrike" kern="1200" baseline="0">
                        <a:solidFill>
                          <a:sysClr val="windowText" lastClr="000000"/>
                        </a:solidFill>
                        <a:latin typeface="Arial" panose="020B0604020202020204" pitchFamily="34" charset="0"/>
                      </a:rPr>
                      <a:t>A                           B                    CDE     F    </a:t>
                    </a:r>
                  </a:p>
                </c:rich>
              </c:tx>
              <c:dLblPos val="ctr"/>
              <c:showLegendKey val="0"/>
              <c:showVal val="1"/>
              <c:showCatName val="0"/>
              <c:showSerName val="0"/>
              <c:showPercent val="0"/>
              <c:showBubbleSize val="0"/>
              <c:extLst>
                <c:ext xmlns:c15="http://schemas.microsoft.com/office/drawing/2012/chart" uri="{CE6537A1-D6FC-4f65-9D91-7224C49458BB}">
                  <c15:layout>
                    <c:manualLayout>
                      <c:w val="0.53836554276077819"/>
                      <c:h val="5.145586232100733E-2"/>
                    </c:manualLayout>
                  </c15:layout>
                  <c15:showDataLabelsRange val="0"/>
                </c:ext>
                <c:ext xmlns:c16="http://schemas.microsoft.com/office/drawing/2014/chart" uri="{C3380CC4-5D6E-409C-BE32-E72D297353CC}">
                  <c16:uniqueId val="{00000009-E7E8-41CE-867E-566384BA3B0C}"/>
                </c:ext>
              </c:extLst>
            </c:dLbl>
            <c:dLbl>
              <c:idx val="4"/>
              <c:layout>
                <c:manualLayout>
                  <c:x val="5.2917830368954817E-2"/>
                  <c:y val="-3.7974517425828101E-2"/>
                </c:manualLayout>
              </c:layout>
              <c:tx>
                <c:rich>
                  <a:bodyPr/>
                  <a:lstStyle/>
                  <a:p>
                    <a:r>
                      <a:rPr lang="en-US" sz="800" b="0" i="0" u="none" strike="noStrike" kern="1200" baseline="0">
                        <a:solidFill>
                          <a:sysClr val="windowText" lastClr="000000"/>
                        </a:solidFill>
                        <a:latin typeface="Arial" panose="020B0604020202020204" pitchFamily="34" charset="0"/>
                      </a:rPr>
                      <a:t>A                           B                       CD  E      F    </a:t>
                    </a:r>
                  </a:p>
                </c:rich>
              </c:tx>
              <c:dLblPos val="ctr"/>
              <c:showLegendKey val="0"/>
              <c:showVal val="1"/>
              <c:showCatName val="0"/>
              <c:showSerName val="0"/>
              <c:showPercent val="0"/>
              <c:showBubbleSize val="0"/>
              <c:extLst>
                <c:ext xmlns:c15="http://schemas.microsoft.com/office/drawing/2012/chart" uri="{CE6537A1-D6FC-4f65-9D91-7224C49458BB}">
                  <c15:layout>
                    <c:manualLayout>
                      <c:w val="0.57658397580502352"/>
                      <c:h val="5.145586232100733E-2"/>
                    </c:manualLayout>
                  </c15:layout>
                  <c15:showDataLabelsRange val="0"/>
                </c:ext>
                <c:ext xmlns:c16="http://schemas.microsoft.com/office/drawing/2014/chart" uri="{C3380CC4-5D6E-409C-BE32-E72D297353CC}">
                  <c16:uniqueId val="{00000008-E7E8-41CE-867E-566384BA3B0C}"/>
                </c:ext>
              </c:extLst>
            </c:dLbl>
            <c:dLbl>
              <c:idx val="5"/>
              <c:layout>
                <c:manualLayout>
                  <c:x val="5.5857825577182781E-2"/>
                  <c:y val="-3.3755108143127675E-2"/>
                </c:manualLayout>
              </c:layout>
              <c:tx>
                <c:rich>
                  <a:bodyPr/>
                  <a:lstStyle/>
                  <a:p>
                    <a:r>
                      <a:rPr lang="en-US" sz="800" b="0" i="0" u="none" strike="noStrike" kern="1200" baseline="0">
                        <a:solidFill>
                          <a:sysClr val="windowText" lastClr="000000"/>
                        </a:solidFill>
                        <a:latin typeface="Arial" panose="020B0604020202020204" pitchFamily="34" charset="0"/>
                      </a:rPr>
                      <a:t>A                           B                          CD  E       F    </a:t>
                    </a:r>
                  </a:p>
                </c:rich>
              </c:tx>
              <c:dLblPos val="ctr"/>
              <c:showLegendKey val="0"/>
              <c:showVal val="1"/>
              <c:showCatName val="0"/>
              <c:showSerName val="0"/>
              <c:showPercent val="0"/>
              <c:showBubbleSize val="0"/>
              <c:extLst>
                <c:ext xmlns:c15="http://schemas.microsoft.com/office/drawing/2012/chart" uri="{CE6537A1-D6FC-4f65-9D91-7224C49458BB}">
                  <c15:layout>
                    <c:manualLayout>
                      <c:w val="0.64126132403374603"/>
                      <c:h val="5.145586232100733E-2"/>
                    </c:manualLayout>
                  </c15:layout>
                  <c15:showDataLabelsRange val="0"/>
                </c:ext>
                <c:ext xmlns:c16="http://schemas.microsoft.com/office/drawing/2014/chart" uri="{C3380CC4-5D6E-409C-BE32-E72D297353CC}">
                  <c16:uniqueId val="{00000007-E7E8-41CE-867E-566384BA3B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'Figures 5-3 and 5-4'!$I$2:$J$7</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'Figures 5-3 and 5-4'!$L$2:$L$7</c:f>
              <c:numCache>
                <c:formatCode>0.0</c:formatCode>
                <c:ptCount val="6"/>
                <c:pt idx="0">
                  <c:v>6.9783186618199461E-2</c:v>
                </c:pt>
                <c:pt idx="1">
                  <c:v>8.6128538819418871E-2</c:v>
                </c:pt>
                <c:pt idx="2">
                  <c:v>2.5821575025616088</c:v>
                </c:pt>
                <c:pt idx="3">
                  <c:v>2.7535369956080804</c:v>
                </c:pt>
                <c:pt idx="4">
                  <c:v>2.930297930044282</c:v>
                </c:pt>
                <c:pt idx="5">
                  <c:v>3.0804226028033694</c:v>
                </c:pt>
              </c:numCache>
            </c:numRef>
          </c:val>
          <c:extLst>
            <c:ext xmlns:c16="http://schemas.microsoft.com/office/drawing/2014/chart" uri="{C3380CC4-5D6E-409C-BE32-E72D297353CC}">
              <c16:uniqueId val="{00000007-C97E-4E4F-8175-7B5CF6ECEEE7}"/>
            </c:ext>
          </c:extLst>
        </c:ser>
        <c:ser>
          <c:idx val="2"/>
          <c:order val="2"/>
          <c:tx>
            <c:strRef>
              <c:f>'Figures 5-3 and 5-4'!$M$1</c:f>
              <c:strCache>
                <c:ptCount val="1"/>
                <c:pt idx="0">
                  <c:v>C. Parenting Payment</c:v>
                </c:pt>
              </c:strCache>
            </c:strRef>
          </c:tx>
          <c:spPr>
            <a:solidFill>
              <a:srgbClr val="E26B0A"/>
            </a:solidFill>
            <a:ln>
              <a:noFill/>
            </a:ln>
            <a:effectLst/>
          </c:spPr>
          <c:invertIfNegative val="0"/>
          <c:dLbls>
            <c:delete val="1"/>
          </c:dLbls>
          <c:cat>
            <c:multiLvlStrRef>
              <c:f>'Figures 5-3 and 5-4'!$I$2:$J$7</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'Figures 5-3 and 5-4'!$M$2:$M$7</c:f>
              <c:numCache>
                <c:formatCode>0.0</c:formatCode>
                <c:ptCount val="6"/>
                <c:pt idx="0">
                  <c:v>1.2215022459178221E-3</c:v>
                </c:pt>
                <c:pt idx="1">
                  <c:v>2.6446113145273142E-3</c:v>
                </c:pt>
                <c:pt idx="2">
                  <c:v>7.1202919792225051E-3</c:v>
                </c:pt>
                <c:pt idx="3">
                  <c:v>1.484165760572043E-2</c:v>
                </c:pt>
                <c:pt idx="4">
                  <c:v>4.9903137819841837E-3</c:v>
                </c:pt>
                <c:pt idx="5">
                  <c:v>1.0168380626761037E-2</c:v>
                </c:pt>
              </c:numCache>
            </c:numRef>
          </c:val>
          <c:extLst>
            <c:ext xmlns:c16="http://schemas.microsoft.com/office/drawing/2014/chart" uri="{C3380CC4-5D6E-409C-BE32-E72D297353CC}">
              <c16:uniqueId val="{00000008-C97E-4E4F-8175-7B5CF6ECEEE7}"/>
            </c:ext>
          </c:extLst>
        </c:ser>
        <c:ser>
          <c:idx val="3"/>
          <c:order val="3"/>
          <c:tx>
            <c:strRef>
              <c:f>'Figures 5-3 and 5-4'!$N$1</c:f>
              <c:strCache>
                <c:ptCount val="1"/>
                <c:pt idx="0">
                  <c:v>D. Carer Payment</c:v>
                </c:pt>
              </c:strCache>
            </c:strRef>
          </c:tx>
          <c:spPr>
            <a:solidFill>
              <a:srgbClr val="E18BD7"/>
            </a:solidFill>
            <a:ln>
              <a:noFill/>
            </a:ln>
            <a:effectLst/>
          </c:spPr>
          <c:invertIfNegative val="0"/>
          <c:dLbls>
            <c:delete val="1"/>
          </c:dLbls>
          <c:cat>
            <c:multiLvlStrRef>
              <c:f>'Figures 5-3 and 5-4'!$I$2:$J$7</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'Figures 5-3 and 5-4'!$N$2:$N$7</c:f>
              <c:numCache>
                <c:formatCode>0.0</c:formatCode>
                <c:ptCount val="6"/>
                <c:pt idx="0">
                  <c:v>1.5275550029698043E-2</c:v>
                </c:pt>
                <c:pt idx="1">
                  <c:v>3.3866872393838718E-2</c:v>
                </c:pt>
                <c:pt idx="2">
                  <c:v>0.11200193777804132</c:v>
                </c:pt>
                <c:pt idx="3">
                  <c:v>0.15447704065532544</c:v>
                </c:pt>
                <c:pt idx="4">
                  <c:v>0.13242848287754524</c:v>
                </c:pt>
                <c:pt idx="5">
                  <c:v>0.16984486615690461</c:v>
                </c:pt>
              </c:numCache>
            </c:numRef>
          </c:val>
          <c:extLst>
            <c:ext xmlns:c16="http://schemas.microsoft.com/office/drawing/2014/chart" uri="{C3380CC4-5D6E-409C-BE32-E72D297353CC}">
              <c16:uniqueId val="{00000009-C97E-4E4F-8175-7B5CF6ECEEE7}"/>
            </c:ext>
          </c:extLst>
        </c:ser>
        <c:ser>
          <c:idx val="4"/>
          <c:order val="4"/>
          <c:tx>
            <c:strRef>
              <c:f>'Figures 5-3 and 5-4'!$O$1</c:f>
              <c:strCache>
                <c:ptCount val="1"/>
                <c:pt idx="0">
                  <c:v>E. DSP</c:v>
                </c:pt>
              </c:strCache>
            </c:strRef>
          </c:tx>
          <c:spPr>
            <a:solidFill>
              <a:srgbClr val="8064A2"/>
            </a:solidFill>
            <a:ln>
              <a:noFill/>
            </a:ln>
            <a:effectLst/>
          </c:spPr>
          <c:invertIfNegative val="0"/>
          <c:dLbls>
            <c:delete val="1"/>
          </c:dLbls>
          <c:cat>
            <c:multiLvlStrRef>
              <c:f>'Figures 5-3 and 5-4'!$I$2:$J$7</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'Figures 5-3 and 5-4'!$O$2:$O$7</c:f>
              <c:numCache>
                <c:formatCode>0.0</c:formatCode>
                <c:ptCount val="6"/>
                <c:pt idx="0">
                  <c:v>2.2538623767009887E-2</c:v>
                </c:pt>
                <c:pt idx="1">
                  <c:v>1.9985507817630269E-2</c:v>
                </c:pt>
                <c:pt idx="2">
                  <c:v>0.18694859529067148</c:v>
                </c:pt>
                <c:pt idx="3">
                  <c:v>0.1419752104813799</c:v>
                </c:pt>
                <c:pt idx="4">
                  <c:v>0.32790138282387898</c:v>
                </c:pt>
                <c:pt idx="5">
                  <c:v>0.27815726917311118</c:v>
                </c:pt>
              </c:numCache>
            </c:numRef>
          </c:val>
          <c:extLst>
            <c:ext xmlns:c16="http://schemas.microsoft.com/office/drawing/2014/chart" uri="{C3380CC4-5D6E-409C-BE32-E72D297353CC}">
              <c16:uniqueId val="{0000000A-C97E-4E4F-8175-7B5CF6ECEEE7}"/>
            </c:ext>
          </c:extLst>
        </c:ser>
        <c:ser>
          <c:idx val="5"/>
          <c:order val="5"/>
          <c:tx>
            <c:strRef>
              <c:f>'Figures 5-3 and 5-4'!$P$1</c:f>
              <c:strCache>
                <c:ptCount val="1"/>
                <c:pt idx="0">
                  <c:v>F. Age Pension</c:v>
                </c:pt>
              </c:strCache>
            </c:strRef>
          </c:tx>
          <c:spPr>
            <a:solidFill>
              <a:srgbClr val="C0504D"/>
            </a:solidFill>
            <a:ln>
              <a:noFill/>
            </a:ln>
            <a:effectLst/>
          </c:spPr>
          <c:invertIfNegative val="0"/>
          <c:dLbls>
            <c:dLbl>
              <c:idx val="0"/>
              <c:layout>
                <c:manualLayout>
                  <c:x val="3.888888888888889E-2"/>
                  <c:y val="0"/>
                </c:manualLayout>
              </c:layout>
              <c:tx>
                <c:rich>
                  <a:bodyPr/>
                  <a:lstStyle/>
                  <a:p>
                    <a:fld id="{7C37ADC8-3CAB-4323-8BC3-BD63EC7AE421}"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97E-4E4F-8175-7B5CF6ECEEE7}"/>
                </c:ext>
              </c:extLst>
            </c:dLbl>
            <c:dLbl>
              <c:idx val="1"/>
              <c:layout>
                <c:manualLayout>
                  <c:x val="4.1666666666666616E-2"/>
                  <c:y val="0"/>
                </c:manualLayout>
              </c:layout>
              <c:tx>
                <c:rich>
                  <a:bodyPr/>
                  <a:lstStyle/>
                  <a:p>
                    <a:fld id="{61F51457-A138-40BA-8A1D-4C912E5A6560}"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C97E-4E4F-8175-7B5CF6ECEEE7}"/>
                </c:ext>
              </c:extLst>
            </c:dLbl>
            <c:dLbl>
              <c:idx val="2"/>
              <c:layout>
                <c:manualLayout>
                  <c:x val="6.1111111111111012E-2"/>
                  <c:y val="0"/>
                </c:manualLayout>
              </c:layout>
              <c:tx>
                <c:rich>
                  <a:bodyPr/>
                  <a:lstStyle/>
                  <a:p>
                    <a:fld id="{0498067E-DB89-4F72-94FD-D7F5D148633D}"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C97E-4E4F-8175-7B5CF6ECEEE7}"/>
                </c:ext>
              </c:extLst>
            </c:dLbl>
            <c:dLbl>
              <c:idx val="3"/>
              <c:layout>
                <c:manualLayout>
                  <c:x val="6.3888888888888787E-2"/>
                  <c:y val="-4.6296296296296294E-3"/>
                </c:manualLayout>
              </c:layout>
              <c:tx>
                <c:rich>
                  <a:bodyPr/>
                  <a:lstStyle/>
                  <a:p>
                    <a:fld id="{2F0C5E60-BC8F-4DF4-9033-59FB41ADE714}"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C97E-4E4F-8175-7B5CF6ECEEE7}"/>
                </c:ext>
              </c:extLst>
            </c:dLbl>
            <c:dLbl>
              <c:idx val="4"/>
              <c:layout>
                <c:manualLayout>
                  <c:x val="6.6666666666666666E-2"/>
                  <c:y val="-4.2437781360066642E-17"/>
                </c:manualLayout>
              </c:layout>
              <c:tx>
                <c:rich>
                  <a:bodyPr/>
                  <a:lstStyle/>
                  <a:p>
                    <a:fld id="{6FBAB83E-9252-4C14-A7A8-3C76B1495960}"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C97E-4E4F-8175-7B5CF6ECEEE7}"/>
                </c:ext>
              </c:extLst>
            </c:dLbl>
            <c:dLbl>
              <c:idx val="5"/>
              <c:layout>
                <c:manualLayout>
                  <c:x val="6.6666666666666569E-2"/>
                  <c:y val="0"/>
                </c:manualLayout>
              </c:layout>
              <c:tx>
                <c:rich>
                  <a:bodyPr/>
                  <a:lstStyle/>
                  <a:p>
                    <a:fld id="{8F9D0EA6-4441-4F3C-AE94-A5BBB831A613}"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C97E-4E4F-8175-7B5CF6ECEEE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'Figures 5-3 and 5-4'!$I$2:$J$7</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'Figures 5-3 and 5-4'!$P$2:$P$7</c:f>
              <c:numCache>
                <c:formatCode>0.0</c:formatCode>
                <c:ptCount val="6"/>
                <c:pt idx="0">
                  <c:v>0.12304379922250863</c:v>
                </c:pt>
                <c:pt idx="1">
                  <c:v>0.14207820422474338</c:v>
                </c:pt>
                <c:pt idx="2">
                  <c:v>0.54038787388237486</c:v>
                </c:pt>
                <c:pt idx="3">
                  <c:v>0.59617526287709555</c:v>
                </c:pt>
                <c:pt idx="4">
                  <c:v>0.57838910837113666</c:v>
                </c:pt>
                <c:pt idx="5">
                  <c:v>0.64344779334540958</c:v>
                </c:pt>
              </c:numCache>
            </c:numRef>
          </c:val>
          <c:extLst>
            <c:ext xmlns:c15="http://schemas.microsoft.com/office/drawing/2012/chart" uri="{02D57815-91ED-43cb-92C2-25804820EDAC}">
              <c15:datalabelsRange>
                <c15:f>'Figures 5-3 and 5-4'!$Q$2:$Q$7</c15:f>
                <c15:dlblRangeCache>
                  <c:ptCount val="6"/>
                  <c:pt idx="0">
                    <c:v>0.2</c:v>
                  </c:pt>
                  <c:pt idx="1">
                    <c:v>0.3</c:v>
                  </c:pt>
                  <c:pt idx="2">
                    <c:v>3.4</c:v>
                  </c:pt>
                  <c:pt idx="3">
                    <c:v>3.7</c:v>
                  </c:pt>
                  <c:pt idx="4">
                    <c:v>4.0</c:v>
                  </c:pt>
                  <c:pt idx="5">
                    <c:v>4.2</c:v>
                  </c:pt>
                </c15:dlblRangeCache>
              </c15:datalabelsRange>
            </c:ext>
            <c:ext xmlns:c16="http://schemas.microsoft.com/office/drawing/2014/chart" uri="{C3380CC4-5D6E-409C-BE32-E72D297353CC}">
              <c16:uniqueId val="{00000011-C97E-4E4F-8175-7B5CF6ECEEE7}"/>
            </c:ext>
          </c:extLst>
        </c:ser>
        <c:dLbls>
          <c:dLblPos val="ctr"/>
          <c:showLegendKey val="0"/>
          <c:showVal val="1"/>
          <c:showCatName val="0"/>
          <c:showSerName val="0"/>
          <c:showPercent val="0"/>
          <c:showBubbleSize val="0"/>
        </c:dLbls>
        <c:gapWidth val="219"/>
        <c:overlap val="100"/>
        <c:axId val="572813432"/>
        <c:axId val="572814088"/>
        <c:extLst>
          <c:ext xmlns:c15="http://schemas.microsoft.com/office/drawing/2012/chart" uri="{02D57815-91ED-43cb-92C2-25804820EDAC}">
            <c15:filteredBarSeries>
              <c15: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'Figures 5-3 and 5-4'!$Q$2:$Q$7</c15:sqref>
                        </c15:formulaRef>
                      </c:ext>
                    </c:extLst>
                    <c:numCache>
                      <c:formatCode>0.0</c:formatCode>
                      <c:ptCount val="6"/>
                      <c:pt idx="0">
                        <c:v>0.23287404648752577</c:v>
                      </c:pt>
                      <c:pt idx="1">
                        <c:v>0.28670846774516351</c:v>
                      </c:pt>
                      <c:pt idx="2">
                        <c:v>3.4364068851498044</c:v>
                      </c:pt>
                      <c:pt idx="3">
                        <c:v>3.675102773731461</c:v>
                      </c:pt>
                      <c:pt idx="4">
                        <c:v>3.9785758829201074</c:v>
                      </c:pt>
                      <c:pt idx="5">
                        <c:v>4.1907800126415582</c:v>
                      </c:pt>
                    </c:numCache>
                  </c:numRef>
                </c:val>
                <c:extLst>
                  <c:ext xmlns:c16="http://schemas.microsoft.com/office/drawing/2014/chart" uri="{C3380CC4-5D6E-409C-BE32-E72D297353CC}">
                    <c16:uniqueId val="{00000012-C97E-4E4F-8175-7B5CF6ECEEE7}"/>
                  </c:ext>
                </c:extLst>
              </c15:ser>
            </c15:filteredBarSeries>
          </c:ext>
        </c:extLst>
      </c:barChart>
      <c:catAx>
        <c:axId val="57281343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b="1"/>
                  <a:t>Income support received at</a:t>
                </a:r>
              </a:p>
              <a:p>
                <a:pPr>
                  <a:defRPr b="1"/>
                </a:pPr>
                <a:r>
                  <a:rPr lang="en-AU" b="1"/>
                  <a:t>30 June 2022</a:t>
                </a:r>
              </a:p>
            </c:rich>
          </c:tx>
          <c:layout>
            <c:manualLayout>
              <c:xMode val="edge"/>
              <c:yMode val="edge"/>
              <c:x val="4.033885004415606E-3"/>
              <c:y val="0.1122505771115959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572814088"/>
        <c:crosses val="autoZero"/>
        <c:auto val="1"/>
        <c:lblAlgn val="ctr"/>
        <c:lblOffset val="100"/>
        <c:noMultiLvlLbl val="0"/>
      </c:catAx>
      <c:valAx>
        <c:axId val="572814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b="1"/>
                  <a:t>Years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72813432"/>
        <c:crosses val="autoZero"/>
        <c:crossBetween val="between"/>
        <c:majorUnit val="1"/>
      </c:valAx>
      <c:spPr>
        <a:noFill/>
        <a:ln>
          <a:noFill/>
        </a:ln>
        <a:effectLst/>
      </c:spPr>
    </c:plotArea>
    <c:legend>
      <c:legendPos val="b"/>
      <c:layout>
        <c:manualLayout>
          <c:xMode val="edge"/>
          <c:yMode val="edge"/>
          <c:x val="4.2750940124840668E-3"/>
          <c:y val="0.87236156456052749"/>
          <c:w val="0.99124263149305369"/>
          <c:h val="0.127638459749493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900" baseline="0">
          <a:solidFill>
            <a:schemeClr val="tx1"/>
          </a:solidFill>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95372930654725"/>
          <c:y val="5.0314465408805029E-3"/>
          <c:w val="0.67422663229862689"/>
          <c:h val="0.89946847737150271"/>
        </c:manualLayout>
      </c:layout>
      <c:barChart>
        <c:barDir val="bar"/>
        <c:grouping val="clustered"/>
        <c:varyColors val="0"/>
        <c:ser>
          <c:idx val="0"/>
          <c:order val="0"/>
          <c:tx>
            <c:strRef>
              <c:f>'Figure 5-7'!$I$2</c:f>
              <c:strCache>
                <c:ptCount val="1"/>
                <c:pt idx="0">
                  <c:v>Lifetime Cost</c:v>
                </c:pt>
              </c:strCache>
            </c:strRef>
          </c:tx>
          <c:spPr>
            <a:solidFill>
              <a:srgbClr val="C00000"/>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81AE-4BCB-B973-53EC703FEEF9}"/>
              </c:ext>
            </c:extLst>
          </c:dPt>
          <c:dPt>
            <c:idx val="1"/>
            <c:invertIfNegative val="0"/>
            <c:bubble3D val="0"/>
            <c:spPr>
              <a:solidFill>
                <a:srgbClr val="7F7F7F"/>
              </a:solidFill>
              <a:ln>
                <a:noFill/>
              </a:ln>
              <a:effectLst/>
            </c:spPr>
            <c:extLst>
              <c:ext xmlns:c16="http://schemas.microsoft.com/office/drawing/2014/chart" uri="{C3380CC4-5D6E-409C-BE32-E72D297353CC}">
                <c16:uniqueId val="{00000000-81AE-4BCB-B973-53EC703FEEF9}"/>
              </c:ext>
            </c:extLst>
          </c:dPt>
          <c:dLbls>
            <c:dLbl>
              <c:idx val="0"/>
              <c:tx>
                <c:rich>
                  <a:bodyPr/>
                  <a:lstStyle/>
                  <a:p>
                    <a:fld id="{CA8166ED-C14E-483E-9ED2-000EFC8386A9}"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1AE-4BCB-B973-53EC703FEEF9}"/>
                </c:ext>
              </c:extLst>
            </c:dLbl>
            <c:dLbl>
              <c:idx val="1"/>
              <c:tx>
                <c:rich>
                  <a:bodyPr/>
                  <a:lstStyle/>
                  <a:p>
                    <a:fld id="{6732E12E-A374-4262-8A13-DEFF3FDE2FED}"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1AE-4BCB-B973-53EC703FEEF9}"/>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 5-7'!$G$3:$H$8</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'Figure 5-7'!$I$3:$I$8</c:f>
              <c:numCache>
                <c:formatCode>"$"#,##0_);[Red]\("$"#,##0\)</c:formatCode>
                <c:ptCount val="6"/>
                <c:pt idx="0">
                  <c:v>150000</c:v>
                </c:pt>
                <c:pt idx="1">
                  <c:v>202000</c:v>
                </c:pt>
                <c:pt idx="2">
                  <c:v>367000</c:v>
                </c:pt>
                <c:pt idx="3">
                  <c:v>457000</c:v>
                </c:pt>
                <c:pt idx="4">
                  <c:v>393000</c:v>
                </c:pt>
                <c:pt idx="5">
                  <c:v>481000</c:v>
                </c:pt>
              </c:numCache>
            </c:numRef>
          </c:val>
          <c:extLst>
            <c:ext xmlns:c16="http://schemas.microsoft.com/office/drawing/2014/chart" uri="{C3380CC4-5D6E-409C-BE32-E72D297353CC}">
              <c16:uniqueId val="{00000000-7EA8-4E9E-A94A-C503A7899FD1}"/>
            </c:ext>
          </c:extLst>
        </c:ser>
        <c:dLbls>
          <c:dLblPos val="ctr"/>
          <c:showLegendKey val="0"/>
          <c:showVal val="1"/>
          <c:showCatName val="0"/>
          <c:showSerName val="0"/>
          <c:showPercent val="0"/>
          <c:showBubbleSize val="0"/>
        </c:dLbls>
        <c:gapWidth val="90"/>
        <c:axId val="791825936"/>
        <c:axId val="791827904"/>
      </c:barChart>
      <c:catAx>
        <c:axId val="79182593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b="1"/>
                  <a:t>Income support received at</a:t>
                </a:r>
              </a:p>
              <a:p>
                <a:pPr>
                  <a:defRPr b="1"/>
                </a:pPr>
                <a:r>
                  <a:rPr lang="en-AU" b="1"/>
                  <a:t>30 June 2022</a:t>
                </a:r>
              </a:p>
            </c:rich>
          </c:tx>
          <c:layout>
            <c:manualLayout>
              <c:xMode val="edge"/>
              <c:yMode val="edge"/>
              <c:x val="5.4466230936819175E-3"/>
              <c:y val="0.132946664685782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91827904"/>
        <c:crosses val="autoZero"/>
        <c:auto val="1"/>
        <c:lblAlgn val="ctr"/>
        <c:lblOffset val="100"/>
        <c:noMultiLvlLbl val="0"/>
      </c:catAx>
      <c:valAx>
        <c:axId val="79182790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b="1"/>
                  <a:t>Lifetime Cost ($)</a:t>
                </a:r>
              </a:p>
            </c:rich>
          </c:tx>
          <c:layout>
            <c:manualLayout>
              <c:xMode val="edge"/>
              <c:yMode val="edge"/>
              <c:x val="0.54162394774885103"/>
              <c:y val="0.9260922141817294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quot;$&quot;#,##0_);[Red]\(&quot;$&quot;#,##0\)" sourceLinked="1"/>
        <c:majorTickMark val="none"/>
        <c:minorTickMark val="none"/>
        <c:tickLblPos val="nextTo"/>
        <c:crossAx val="791825936"/>
        <c:crosses val="autoZero"/>
        <c:crossBetween val="between"/>
      </c:valAx>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sz="900" baseline="0">
          <a:solidFill>
            <a:schemeClr val="tx1"/>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932923023008772"/>
          <c:y val="4.3089661907738677E-2"/>
          <c:w val="0.59920090835330875"/>
          <c:h val="0.65043705944134689"/>
        </c:manualLayout>
      </c:layout>
      <c:barChart>
        <c:barDir val="bar"/>
        <c:grouping val="percentStacked"/>
        <c:varyColors val="0"/>
        <c:ser>
          <c:idx val="1"/>
          <c:order val="0"/>
          <c:tx>
            <c:strRef>
              <c:f>'5 OWL'!$AY$25</c:f>
              <c:strCache>
                <c:ptCount val="1"/>
                <c:pt idx="0">
                  <c:v>A. Will receive Age Pension during first year</c:v>
                </c:pt>
              </c:strCache>
            </c:strRef>
          </c:tx>
          <c:spPr>
            <a:solidFill>
              <a:srgbClr val="C00000"/>
            </a:solidFill>
            <a:ln>
              <a:noFill/>
            </a:ln>
            <a:effectLst/>
          </c:spPr>
          <c:invertIfNegative val="0"/>
          <c:dPt>
            <c:idx val="0"/>
            <c:invertIfNegative val="0"/>
            <c:bubble3D val="0"/>
            <c:extLst>
              <c:ext xmlns:c16="http://schemas.microsoft.com/office/drawing/2014/chart" uri="{C3380CC4-5D6E-409C-BE32-E72D297353CC}">
                <c16:uniqueId val="{00000000-D920-44CC-9249-F7A436172A15}"/>
              </c:ext>
            </c:extLst>
          </c:dPt>
          <c:dPt>
            <c:idx val="2"/>
            <c:invertIfNegative val="0"/>
            <c:bubble3D val="0"/>
            <c:extLst>
              <c:ext xmlns:c16="http://schemas.microsoft.com/office/drawing/2014/chart" uri="{C3380CC4-5D6E-409C-BE32-E72D297353CC}">
                <c16:uniqueId val="{00000001-D920-44CC-9249-F7A436172A15}"/>
              </c:ext>
            </c:extLst>
          </c:dPt>
          <c:dPt>
            <c:idx val="4"/>
            <c:invertIfNegative val="0"/>
            <c:bubble3D val="0"/>
            <c:extLst>
              <c:ext xmlns:c16="http://schemas.microsoft.com/office/drawing/2014/chart" uri="{C3380CC4-5D6E-409C-BE32-E72D297353CC}">
                <c16:uniqueId val="{00000002-D920-44CC-9249-F7A436172A15}"/>
              </c:ext>
            </c:extLst>
          </c:dPt>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'5 OWL'!$AV$26:$AW$31</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'5 OWL'!$AY$26:$AY$31</c:f>
              <c:numCache>
                <c:formatCode>0%</c:formatCode>
                <c:ptCount val="6"/>
                <c:pt idx="0">
                  <c:v>0.28094704670234688</c:v>
                </c:pt>
                <c:pt idx="1">
                  <c:v>0.33885614711132517</c:v>
                </c:pt>
                <c:pt idx="2">
                  <c:v>0.63387965181091532</c:v>
                </c:pt>
                <c:pt idx="3">
                  <c:v>0.69727646313794456</c:v>
                </c:pt>
                <c:pt idx="4">
                  <c:v>0.67063216649234103</c:v>
                </c:pt>
                <c:pt idx="5">
                  <c:v>0.74143438351097812</c:v>
                </c:pt>
              </c:numCache>
            </c:numRef>
          </c:val>
          <c:extLst>
            <c:ext xmlns:c16="http://schemas.microsoft.com/office/drawing/2014/chart" uri="{C3380CC4-5D6E-409C-BE32-E72D297353CC}">
              <c16:uniqueId val="{00000003-D920-44CC-9249-F7A436172A15}"/>
            </c:ext>
          </c:extLst>
        </c:ser>
        <c:ser>
          <c:idx val="2"/>
          <c:order val="1"/>
          <c:tx>
            <c:strRef>
              <c:f>'5 OWL'!$AZ$25</c:f>
              <c:strCache>
                <c:ptCount val="1"/>
                <c:pt idx="0">
                  <c:v>B. Will not receive Age Pension during first year</c:v>
                </c:pt>
              </c:strCache>
            </c:strRef>
          </c:tx>
          <c:spPr>
            <a:solidFill>
              <a:srgbClr val="FFD966"/>
            </a:solidFill>
            <a:ln>
              <a:noFill/>
            </a:ln>
            <a:effectLst/>
          </c:spPr>
          <c:invertIfNegative val="0"/>
          <c:dLbls>
            <c:dLbl>
              <c:idx val="0"/>
              <c:layout>
                <c:manualLayout>
                  <c:x val="-3.8942976356050069E-2"/>
                  <c:y val="-2.6730820636193531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mn-lt"/>
                        <a:ea typeface="+mn-ea"/>
                        <a:cs typeface="+mn-cs"/>
                      </a:defRPr>
                    </a:pPr>
                    <a:r>
                      <a:rPr lang="en-US" sz="800" b="0" i="0" u="none" strike="noStrike" kern="1200" baseline="0">
                        <a:solidFill>
                          <a:sysClr val="windowText" lastClr="000000"/>
                        </a:solidFill>
                      </a:rPr>
                      <a:t>A                                              B                               C</a:t>
                    </a:r>
                    <a:endParaRPr lang="en-US"/>
                  </a:p>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mn-lt"/>
                        <a:ea typeface="+mn-ea"/>
                        <a:cs typeface="+mn-cs"/>
                      </a:defRPr>
                    </a:pPr>
                    <a:r>
                      <a:rPr lang="en-US"/>
                      <a:t>                </a:t>
                    </a:r>
                    <a:fld id="{89B47CC3-EEA5-4272-B1F6-6146B0EDABDD}" type="VALUE">
                      <a:rPr lang="en-US"/>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mn-lt"/>
                          <a:ea typeface="+mn-ea"/>
                          <a:cs typeface="+mn-cs"/>
                        </a:defRPr>
                      </a:pPr>
                      <a:t>[VALUE]</a:t>
                    </a:fld>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53901372203300735"/>
                      <c:h val="0.16246992782678429"/>
                    </c:manualLayout>
                  </c15:layout>
                  <c15:dlblFieldTable/>
                  <c15:showDataLabelsRange val="0"/>
                </c:ext>
                <c:ext xmlns:c16="http://schemas.microsoft.com/office/drawing/2014/chart" uri="{C3380CC4-5D6E-409C-BE32-E72D297353CC}">
                  <c16:uniqueId val="{00000010-4EF5-48A0-89FD-B59BF5489702}"/>
                </c:ext>
              </c:extLst>
            </c:dLbl>
            <c:dLbl>
              <c:idx val="1"/>
              <c:layout>
                <c:manualLayout>
                  <c:x val="-3.337969401947144E-2"/>
                  <c:y val="-2.6730820636193579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mn-lt"/>
                        <a:ea typeface="+mn-ea"/>
                        <a:cs typeface="+mn-cs"/>
                      </a:defRPr>
                    </a:pPr>
                    <a:r>
                      <a:rPr lang="en-US" sz="800" b="0" i="0" u="none" strike="noStrike" kern="1200" baseline="0">
                        <a:solidFill>
                          <a:sysClr val="windowText" lastClr="000000"/>
                        </a:solidFill>
                      </a:rPr>
                      <a:t>A                                              B                             C</a:t>
                    </a:r>
                    <a:endParaRPr lang="en-US"/>
                  </a:p>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mn-lt"/>
                        <a:ea typeface="+mn-ea"/>
                        <a:cs typeface="+mn-cs"/>
                      </a:defRPr>
                    </a:pPr>
                    <a:r>
                      <a:rPr lang="en-US"/>
                      <a:t>                    </a:t>
                    </a:r>
                    <a:fld id="{A40314B2-3E09-4686-A62F-12DA546A8EC4}" type="VALUE">
                      <a:rPr lang="en-US"/>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mn-lt"/>
                          <a:ea typeface="+mn-ea"/>
                          <a:cs typeface="+mn-cs"/>
                        </a:defRPr>
                      </a:pPr>
                      <a:t>[VALUE]</a:t>
                    </a:fld>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54238958308236507"/>
                      <c:h val="0.14851643945469126"/>
                    </c:manualLayout>
                  </c15:layout>
                  <c15:dlblFieldTable/>
                  <c15:showDataLabelsRange val="0"/>
                </c:ext>
                <c:ext xmlns:c16="http://schemas.microsoft.com/office/drawing/2014/chart" uri="{C3380CC4-5D6E-409C-BE32-E72D297353CC}">
                  <c16:uniqueId val="{0000000F-4EF5-48A0-89FD-B59BF5489702}"/>
                </c:ext>
              </c:extLst>
            </c:dLbl>
            <c:dLbl>
              <c:idx val="2"/>
              <c:layout>
                <c:manualLayout>
                  <c:x val="-6.258692628650904E-2"/>
                  <c:y val="-2.6730610157290884E-2"/>
                </c:manualLayout>
              </c:layout>
              <c:tx>
                <c:rich>
                  <a:bodyPr/>
                  <a:lstStyle/>
                  <a:p>
                    <a:r>
                      <a:rPr lang="en-US"/>
                      <a:t>A                                       B               C</a:t>
                    </a:r>
                  </a:p>
                  <a:p>
                    <a:r>
                      <a:rPr lang="en-US"/>
                      <a:t>                          </a:t>
                    </a:r>
                    <a:fld id="{C0527F69-0685-4493-BF40-7F3D6E0D3136}"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39979017226462826"/>
                      <c:h val="0.13573910719059074"/>
                    </c:manualLayout>
                  </c15:layout>
                  <c15:dlblFieldTable/>
                  <c15:showDataLabelsRange val="0"/>
                </c:ext>
                <c:ext xmlns:c16="http://schemas.microsoft.com/office/drawing/2014/chart" uri="{C3380CC4-5D6E-409C-BE32-E72D297353CC}">
                  <c16:uniqueId val="{0000000E-4EF5-48A0-89FD-B59BF5489702}"/>
                </c:ext>
              </c:extLst>
            </c:dLbl>
            <c:dLbl>
              <c:idx val="3"/>
              <c:layout>
                <c:manualLayout>
                  <c:x val="-4.3731560675916901E-2"/>
                  <c:y val="-2.6730820636193579E-2"/>
                </c:manualLayout>
              </c:layout>
              <c:tx>
                <c:rich>
                  <a:bodyPr/>
                  <a:lstStyle/>
                  <a:p>
                    <a:r>
                      <a:rPr lang="en-US"/>
                      <a:t>A                                        </a:t>
                    </a:r>
                    <a:r>
                      <a:rPr lang="en-US" baseline="0"/>
                      <a:t>   </a:t>
                    </a:r>
                    <a:r>
                      <a:rPr lang="en-US"/>
                      <a:t>B              C </a:t>
                    </a:r>
                  </a:p>
                  <a:p>
                    <a:r>
                      <a:rPr lang="en-US"/>
                      <a:t>                                </a:t>
                    </a:r>
                    <a:fld id="{FD22767E-A8B7-4831-87D2-A7048FF325EE}"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41895261353805047"/>
                      <c:h val="0.13143565554706624"/>
                    </c:manualLayout>
                  </c15:layout>
                  <c15:dlblFieldTable/>
                  <c15:showDataLabelsRange val="0"/>
                </c:ext>
                <c:ext xmlns:c16="http://schemas.microsoft.com/office/drawing/2014/chart" uri="{C3380CC4-5D6E-409C-BE32-E72D297353CC}">
                  <c16:uniqueId val="{0000000D-4EF5-48A0-89FD-B59BF5489702}"/>
                </c:ext>
              </c:extLst>
            </c:dLbl>
            <c:dLbl>
              <c:idx val="4"/>
              <c:layout>
                <c:manualLayout>
                  <c:x val="-4.1724617524339362E-2"/>
                  <c:y val="-2.6730820636193555E-2"/>
                </c:manualLayout>
              </c:layout>
              <c:tx>
                <c:rich>
                  <a:bodyPr/>
                  <a:lstStyle/>
                  <a:p>
                    <a:r>
                      <a:rPr lang="en-US"/>
                      <a:t>A                                        B                C</a:t>
                    </a:r>
                  </a:p>
                  <a:p>
                    <a:r>
                      <a:rPr lang="en-US"/>
                      <a:t>                          </a:t>
                    </a:r>
                    <a:fld id="{C341837A-C729-42C9-B401-9DF315A156D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42929703328113195"/>
                      <c:h val="0.15282031205602106"/>
                    </c:manualLayout>
                  </c15:layout>
                  <c15:dlblFieldTable/>
                  <c15:showDataLabelsRange val="0"/>
                </c:ext>
                <c:ext xmlns:c16="http://schemas.microsoft.com/office/drawing/2014/chart" uri="{C3380CC4-5D6E-409C-BE32-E72D297353CC}">
                  <c16:uniqueId val="{0000000C-4EF5-48A0-89FD-B59BF5489702}"/>
                </c:ext>
              </c:extLst>
            </c:dLbl>
            <c:dLbl>
              <c:idx val="5"/>
              <c:layout>
                <c:manualLayout>
                  <c:x val="-1.8080777107312315E-2"/>
                  <c:y val="-2.940348174200761E-2"/>
                </c:manualLayout>
              </c:layout>
              <c:tx>
                <c:rich>
                  <a:bodyPr/>
                  <a:lstStyle/>
                  <a:p>
                    <a:r>
                      <a:rPr lang="en-US"/>
                      <a:t>A                                              B          C</a:t>
                    </a:r>
                  </a:p>
                  <a:p>
                    <a:endParaRPr lang="en-US" sz="100"/>
                  </a:p>
                  <a:p>
                    <a:r>
                      <a:rPr lang="en-US"/>
                      <a:t>                                    </a:t>
                    </a:r>
                    <a:fld id="{0FE773FF-3CC2-4EEA-AB7A-FC4D928CC86D}"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47746958264431122"/>
                      <c:h val="0.12400448741020441"/>
                    </c:manualLayout>
                  </c15:layout>
                  <c15:dlblFieldTable/>
                  <c15:showDataLabelsRange val="0"/>
                </c:ext>
                <c:ext xmlns:c16="http://schemas.microsoft.com/office/drawing/2014/chart" uri="{C3380CC4-5D6E-409C-BE32-E72D297353CC}">
                  <c16:uniqueId val="{0000000B-4EF5-48A0-89FD-B59BF5489702}"/>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'5 OWL'!$AV$26:$AW$31</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'5 OWL'!$AZ$26:$AZ$31</c:f>
              <c:numCache>
                <c:formatCode>0%</c:formatCode>
                <c:ptCount val="6"/>
                <c:pt idx="0">
                  <c:v>0.68256708832570756</c:v>
                </c:pt>
                <c:pt idx="1">
                  <c:v>0.64072656050774945</c:v>
                </c:pt>
                <c:pt idx="2">
                  <c:v>0.26900453025307747</c:v>
                </c:pt>
                <c:pt idx="3">
                  <c:v>0.25598877418061544</c:v>
                </c:pt>
                <c:pt idx="4">
                  <c:v>0.21714777270550054</c:v>
                </c:pt>
                <c:pt idx="5">
                  <c:v>0.19903500218553513</c:v>
                </c:pt>
              </c:numCache>
            </c:numRef>
          </c:val>
          <c:extLst>
            <c:ext xmlns:c16="http://schemas.microsoft.com/office/drawing/2014/chart" uri="{C3380CC4-5D6E-409C-BE32-E72D297353CC}">
              <c16:uniqueId val="{00000004-D920-44CC-9249-F7A436172A15}"/>
            </c:ext>
          </c:extLst>
        </c:ser>
        <c:ser>
          <c:idx val="0"/>
          <c:order val="2"/>
          <c:tx>
            <c:strRef>
              <c:f>'5 OWL'!$AX$25</c:f>
              <c:strCache>
                <c:ptCount val="1"/>
                <c:pt idx="0">
                  <c:v>C. Will die before Age Pension eligibility age</c:v>
                </c:pt>
              </c:strCache>
            </c:strRef>
          </c:tx>
          <c:spPr>
            <a:solidFill>
              <a:schemeClr val="tx1"/>
            </a:solidFill>
            <a:ln>
              <a:noFill/>
            </a:ln>
            <a:effectLst/>
          </c:spPr>
          <c:invertIfNegative val="0"/>
          <c:dPt>
            <c:idx val="0"/>
            <c:invertIfNegative val="0"/>
            <c:bubble3D val="0"/>
            <c:spPr>
              <a:solidFill>
                <a:schemeClr val="tx1"/>
              </a:solidFill>
              <a:ln>
                <a:solidFill>
                  <a:schemeClr val="accent6">
                    <a:lumMod val="50000"/>
                  </a:schemeClr>
                </a:solidFill>
              </a:ln>
              <a:effectLst/>
            </c:spPr>
            <c:extLst>
              <c:ext xmlns:c16="http://schemas.microsoft.com/office/drawing/2014/chart" uri="{C3380CC4-5D6E-409C-BE32-E72D297353CC}">
                <c16:uniqueId val="{00000006-D920-44CC-9249-F7A436172A15}"/>
              </c:ext>
            </c:extLst>
          </c:dPt>
          <c:dPt>
            <c:idx val="1"/>
            <c:invertIfNegative val="0"/>
            <c:bubble3D val="0"/>
            <c:extLst>
              <c:ext xmlns:c16="http://schemas.microsoft.com/office/drawing/2014/chart" uri="{C3380CC4-5D6E-409C-BE32-E72D297353CC}">
                <c16:uniqueId val="{00000007-D920-44CC-9249-F7A436172A15}"/>
              </c:ext>
            </c:extLst>
          </c:dPt>
          <c:dPt>
            <c:idx val="2"/>
            <c:invertIfNegative val="0"/>
            <c:bubble3D val="0"/>
            <c:extLst>
              <c:ext xmlns:c16="http://schemas.microsoft.com/office/drawing/2014/chart" uri="{C3380CC4-5D6E-409C-BE32-E72D297353CC}">
                <c16:uniqueId val="{00000008-D920-44CC-9249-F7A436172A15}"/>
              </c:ext>
            </c:extLst>
          </c:dPt>
          <c:dPt>
            <c:idx val="3"/>
            <c:invertIfNegative val="0"/>
            <c:bubble3D val="0"/>
            <c:extLst>
              <c:ext xmlns:c16="http://schemas.microsoft.com/office/drawing/2014/chart" uri="{C3380CC4-5D6E-409C-BE32-E72D297353CC}">
                <c16:uniqueId val="{00000009-D920-44CC-9249-F7A436172A15}"/>
              </c:ext>
            </c:extLst>
          </c:dPt>
          <c:dPt>
            <c:idx val="4"/>
            <c:invertIfNegative val="0"/>
            <c:bubble3D val="0"/>
            <c:extLst>
              <c:ext xmlns:c16="http://schemas.microsoft.com/office/drawing/2014/chart" uri="{C3380CC4-5D6E-409C-BE32-E72D297353CC}">
                <c16:uniqueId val="{0000000A-D920-44CC-9249-F7A436172A15}"/>
              </c:ext>
            </c:extLst>
          </c:dPt>
          <c:dPt>
            <c:idx val="5"/>
            <c:invertIfNegative val="0"/>
            <c:bubble3D val="0"/>
            <c:extLst>
              <c:ext xmlns:c16="http://schemas.microsoft.com/office/drawing/2014/chart" uri="{C3380CC4-5D6E-409C-BE32-E72D297353CC}">
                <c16:uniqueId val="{0000000B-D920-44CC-9249-F7A436172A15}"/>
              </c:ext>
            </c:extLst>
          </c:dPt>
          <c:dLbls>
            <c:dLbl>
              <c:idx val="0"/>
              <c:layout>
                <c:manualLayout>
                  <c:x val="3.5089660536516319E-2"/>
                  <c:y val="-1.0781018257894025E-16"/>
                </c:manualLayout>
              </c:layout>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20-44CC-9249-F7A436172A15}"/>
                </c:ext>
              </c:extLst>
            </c:dLbl>
            <c:dLbl>
              <c:idx val="1"/>
              <c:layout>
                <c:manualLayout>
                  <c:x val="3.0275434297744867E-2"/>
                  <c:y val="-1.0781018257894025E-16"/>
                </c:manualLayout>
              </c:layout>
              <c:tx>
                <c:rich>
                  <a:bodyPr/>
                  <a:lstStyle/>
                  <a:p>
                    <a:fld id="{C2D45D5C-4BFB-4672-8EC0-54162C2A971B}"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920-44CC-9249-F7A436172A15}"/>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20-44CC-9249-F7A436172A15}"/>
                </c:ext>
              </c:extLst>
            </c:dLbl>
            <c:dLbl>
              <c:idx val="3"/>
              <c:layout>
                <c:manualLayout>
                  <c:x val="3.8160329914662366E-2"/>
                  <c:y val="0"/>
                </c:manualLayout>
              </c:layout>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20-44CC-9249-F7A436172A15}"/>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20-44CC-9249-F7A436172A15}"/>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20-44CC-9249-F7A436172A15}"/>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'5 OWL'!$AV$26:$AW$31</c:f>
              <c:multiLvlStrCache>
                <c:ptCount val="6"/>
                <c:lvl>
                  <c:pt idx="0">
                    <c:v>Male</c:v>
                  </c:pt>
                  <c:pt idx="1">
                    <c:v>Female</c:v>
                  </c:pt>
                  <c:pt idx="2">
                    <c:v>Male</c:v>
                  </c:pt>
                  <c:pt idx="3">
                    <c:v>Female</c:v>
                  </c:pt>
                  <c:pt idx="4">
                    <c:v>Male</c:v>
                  </c:pt>
                  <c:pt idx="5">
                    <c:v>Female</c:v>
                  </c:pt>
                </c:lvl>
                <c:lvl>
                  <c:pt idx="0">
                    <c:v>Not on Income Support</c:v>
                  </c:pt>
                  <c:pt idx="2">
                    <c:v>JobSeeker Payment (with full work capacity)</c:v>
                  </c:pt>
                  <c:pt idx="4">
                    <c:v>JobSeeker Payment (with partial capacity to work)</c:v>
                  </c:pt>
                </c:lvl>
              </c:multiLvlStrCache>
            </c:multiLvlStrRef>
          </c:cat>
          <c:val>
            <c:numRef>
              <c:f>'5 OWL'!$AX$26:$AX$31</c:f>
              <c:numCache>
                <c:formatCode>0%</c:formatCode>
                <c:ptCount val="6"/>
                <c:pt idx="0">
                  <c:v>3.6485864971945545E-2</c:v>
                </c:pt>
                <c:pt idx="1">
                  <c:v>2.0417292380925395E-2</c:v>
                </c:pt>
                <c:pt idx="2">
                  <c:v>9.7115817936007209E-2</c:v>
                </c:pt>
                <c:pt idx="3">
                  <c:v>4.6734762681440042E-2</c:v>
                </c:pt>
                <c:pt idx="4">
                  <c:v>0.11222006080215838</c:v>
                </c:pt>
                <c:pt idx="5">
                  <c:v>5.9530614303486766E-2</c:v>
                </c:pt>
              </c:numCache>
            </c:numRef>
          </c:val>
          <c:extLst>
            <c:ext xmlns:c16="http://schemas.microsoft.com/office/drawing/2014/chart" uri="{C3380CC4-5D6E-409C-BE32-E72D297353CC}">
              <c16:uniqueId val="{0000000C-D920-44CC-9249-F7A436172A15}"/>
            </c:ext>
          </c:extLst>
        </c:ser>
        <c:dLbls>
          <c:showLegendKey val="0"/>
          <c:showVal val="1"/>
          <c:showCatName val="0"/>
          <c:showSerName val="0"/>
          <c:showPercent val="0"/>
          <c:showBubbleSize val="0"/>
        </c:dLbls>
        <c:gapWidth val="70"/>
        <c:overlap val="100"/>
        <c:axId val="798891144"/>
        <c:axId val="798885568"/>
      </c:barChart>
      <c:catAx>
        <c:axId val="798891144"/>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AU" sz="800" b="1" i="0" baseline="0">
                    <a:effectLst/>
                  </a:rPr>
                  <a:t>Income support received at</a:t>
                </a:r>
                <a:endParaRPr lang="en-AU" sz="800" b="1">
                  <a:effectLst/>
                </a:endParaRPr>
              </a:p>
              <a:p>
                <a:pPr>
                  <a:defRPr sz="800" b="1" i="0" u="none" strike="noStrike" kern="1200" baseline="0">
                    <a:solidFill>
                      <a:schemeClr val="tx1"/>
                    </a:solidFill>
                    <a:latin typeface="+mn-lt"/>
                    <a:ea typeface="+mn-ea"/>
                    <a:cs typeface="+mn-cs"/>
                  </a:defRPr>
                </a:pPr>
                <a:r>
                  <a:rPr lang="en-AU" sz="800" b="1" i="0" baseline="0">
                    <a:effectLst/>
                  </a:rPr>
                  <a:t>30 June 2022</a:t>
                </a:r>
                <a:endParaRPr lang="en-AU" sz="800" b="1">
                  <a:effectLst/>
                </a:endParaRPr>
              </a:p>
            </c:rich>
          </c:tx>
          <c:layout>
            <c:manualLayout>
              <c:xMode val="edge"/>
              <c:yMode val="edge"/>
              <c:x val="2.073656712358258E-3"/>
              <c:y val="1.9848744203417267E-2"/>
            </c:manualLayout>
          </c:layout>
          <c:overlay val="0"/>
          <c:spPr>
            <a:noFill/>
            <a:ln>
              <a:noFill/>
            </a:ln>
            <a:effectLst/>
          </c:spPr>
        </c:title>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98885568"/>
        <c:crosses val="autoZero"/>
        <c:auto val="1"/>
        <c:lblAlgn val="ctr"/>
        <c:lblOffset val="100"/>
        <c:noMultiLvlLbl val="0"/>
      </c:catAx>
      <c:valAx>
        <c:axId val="798885568"/>
        <c:scaling>
          <c:orientation val="minMax"/>
        </c:scaling>
        <c:delete val="0"/>
        <c:axPos val="b"/>
        <c:majorGridlines>
          <c:spPr>
            <a:ln>
              <a:solidFill>
                <a:srgbClr val="D9D9D9"/>
              </a:solidFill>
            </a:ln>
          </c:spPr>
        </c:majorGridlines>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AU" sz="800" b="1"/>
                  <a:t>Likelihood of receiving Age Pension during first year of eligibility</a:t>
                </a:r>
              </a:p>
            </c:rich>
          </c:tx>
          <c:layout>
            <c:manualLayout>
              <c:xMode val="edge"/>
              <c:yMode val="edge"/>
              <c:x val="0.31317077574622593"/>
              <c:y val="0.79439210792564474"/>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8891144"/>
        <c:crosses val="autoZero"/>
        <c:crossBetween val="between"/>
      </c:valAx>
    </c:plotArea>
    <c:legend>
      <c:legendPos val="b"/>
      <c:layout>
        <c:manualLayout>
          <c:xMode val="edge"/>
          <c:yMode val="edge"/>
          <c:x val="2.5669240669240669E-3"/>
          <c:y val="0.87134708951894846"/>
          <c:w val="0.99470884154186612"/>
          <c:h val="0.128652910481051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ln>
      <a:noFill/>
    </a:ln>
  </c:spPr>
  <c:txPr>
    <a:bodyPr/>
    <a:lstStyle/>
    <a:p>
      <a:pPr>
        <a:defRPr sz="900" baseline="0">
          <a:solidFill>
            <a:schemeClr val="tx1"/>
          </a:solidFill>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5.8394205333030892E-2"/>
          <c:w val="0.98614958448753465"/>
          <c:h val="0.88321158933393817"/>
        </c:manualLayout>
      </c:layout>
      <c:barChart>
        <c:barDir val="bar"/>
        <c:grouping val="stacked"/>
        <c:varyColors val="0"/>
        <c:ser>
          <c:idx val="0"/>
          <c:order val="0"/>
          <c:spPr>
            <a:solidFill>
              <a:srgbClr val="0E4E77"/>
            </a:solidFill>
            <a:ln>
              <a:solidFill>
                <a:sysClr val="windowText" lastClr="000000"/>
              </a:solidFill>
            </a:ln>
            <a:effectLst/>
          </c:spPr>
          <c:invertIfNegative val="0"/>
          <c:dLbls>
            <c:dLbl>
              <c:idx val="0"/>
              <c:tx>
                <c:rich>
                  <a:bodyPr/>
                  <a:lstStyle/>
                  <a:p>
                    <a:r>
                      <a:rPr lang="en-US">
                        <a:solidFill>
                          <a:schemeClr val="bg1"/>
                        </a:solidFill>
                      </a:rPr>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B2C-4E07-B6AC-5EF1F87CD3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Sheet1!$P$8</c:f>
              <c:numCache>
                <c:formatCode>0%</c:formatCode>
                <c:ptCount val="1"/>
                <c:pt idx="0">
                  <c:v>0.16</c:v>
                </c:pt>
              </c:numCache>
            </c:numRef>
          </c:val>
          <c:extLst>
            <c:ext xmlns:c16="http://schemas.microsoft.com/office/drawing/2014/chart" uri="{C3380CC4-5D6E-409C-BE32-E72D297353CC}">
              <c16:uniqueId val="{00000001-EB2C-4E07-B6AC-5EF1F87CD33B}"/>
            </c:ext>
          </c:extLst>
        </c:ser>
        <c:ser>
          <c:idx val="1"/>
          <c:order val="1"/>
          <c:spPr>
            <a:solidFill>
              <a:schemeClr val="accent2"/>
            </a:solidFill>
            <a:ln>
              <a:solidFill>
                <a:schemeClr val="tx1"/>
              </a:solidFill>
            </a:ln>
            <a:effectLst/>
          </c:spPr>
          <c:invertIfNegative val="0"/>
          <c:dPt>
            <c:idx val="0"/>
            <c:invertIfNegative val="0"/>
            <c:bubble3D val="0"/>
            <c:spPr>
              <a:solidFill>
                <a:srgbClr val="D9D9D9"/>
              </a:solidFill>
              <a:ln>
                <a:solidFill>
                  <a:schemeClr val="tx1"/>
                </a:solidFill>
              </a:ln>
              <a:effectLst/>
            </c:spPr>
            <c:extLst>
              <c:ext xmlns:c16="http://schemas.microsoft.com/office/drawing/2014/chart" uri="{C3380CC4-5D6E-409C-BE32-E72D297353CC}">
                <c16:uniqueId val="{00000003-EB2C-4E07-B6AC-5EF1F87CD33B}"/>
              </c:ext>
            </c:extLst>
          </c:dPt>
          <c:val>
            <c:numRef>
              <c:f>Sheet1!$Q$8</c:f>
              <c:numCache>
                <c:formatCode>0%</c:formatCode>
                <c:ptCount val="1"/>
                <c:pt idx="0">
                  <c:v>0.84</c:v>
                </c:pt>
              </c:numCache>
            </c:numRef>
          </c:val>
          <c:extLst>
            <c:ext xmlns:c16="http://schemas.microsoft.com/office/drawing/2014/chart" uri="{C3380CC4-5D6E-409C-BE32-E72D297353CC}">
              <c16:uniqueId val="{00000004-EB2C-4E07-B6AC-5EF1F87CD33B}"/>
            </c:ext>
          </c:extLst>
        </c:ser>
        <c:dLbls>
          <c:showLegendKey val="0"/>
          <c:showVal val="0"/>
          <c:showCatName val="0"/>
          <c:showSerName val="0"/>
          <c:showPercent val="0"/>
          <c:showBubbleSize val="0"/>
        </c:dLbls>
        <c:gapWidth val="0"/>
        <c:overlap val="100"/>
        <c:axId val="701237368"/>
        <c:axId val="701239992"/>
      </c:barChart>
      <c:catAx>
        <c:axId val="701237368"/>
        <c:scaling>
          <c:orientation val="minMax"/>
        </c:scaling>
        <c:delete val="1"/>
        <c:axPos val="l"/>
        <c:numFmt formatCode="0%" sourceLinked="1"/>
        <c:majorTickMark val="none"/>
        <c:minorTickMark val="none"/>
        <c:tickLblPos val="nextTo"/>
        <c:crossAx val="701239992"/>
        <c:crosses val="autoZero"/>
        <c:auto val="1"/>
        <c:lblAlgn val="ctr"/>
        <c:lblOffset val="100"/>
        <c:noMultiLvlLbl val="0"/>
      </c:catAx>
      <c:valAx>
        <c:axId val="701239992"/>
        <c:scaling>
          <c:orientation val="minMax"/>
          <c:max val="1"/>
        </c:scaling>
        <c:delete val="1"/>
        <c:axPos val="b"/>
        <c:numFmt formatCode="0%" sourceLinked="1"/>
        <c:majorTickMark val="none"/>
        <c:minorTickMark val="none"/>
        <c:tickLblPos val="nextTo"/>
        <c:crossAx val="701237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38659646450565E-2"/>
          <c:y val="4.3977079850431977E-2"/>
          <c:w val="0.88675954679558933"/>
          <c:h val="0.84258531702986073"/>
        </c:manualLayout>
      </c:layout>
      <c:ofPieChart>
        <c:ofPieType val="bar"/>
        <c:varyColors val="1"/>
        <c:ser>
          <c:idx val="0"/>
          <c:order val="0"/>
          <c:dPt>
            <c:idx val="0"/>
            <c:bubble3D val="0"/>
            <c:spPr>
              <a:solidFill>
                <a:srgbClr val="D6A300"/>
              </a:solidFill>
              <a:ln w="19050">
                <a:solidFill>
                  <a:schemeClr val="lt1"/>
                </a:solidFill>
              </a:ln>
              <a:effectLst/>
            </c:spPr>
            <c:extLst>
              <c:ext xmlns:c16="http://schemas.microsoft.com/office/drawing/2014/chart" uri="{C3380CC4-5D6E-409C-BE32-E72D297353CC}">
                <c16:uniqueId val="{00000001-774F-468D-B130-B9E5609A982F}"/>
              </c:ext>
            </c:extLst>
          </c:dPt>
          <c:dPt>
            <c:idx val="1"/>
            <c:bubble3D val="0"/>
            <c:spPr>
              <a:solidFill>
                <a:srgbClr val="FFEC8F"/>
              </a:solidFill>
              <a:ln w="19050">
                <a:solidFill>
                  <a:schemeClr val="lt1"/>
                </a:solidFill>
              </a:ln>
              <a:effectLst/>
            </c:spPr>
            <c:extLst>
              <c:ext xmlns:c16="http://schemas.microsoft.com/office/drawing/2014/chart" uri="{C3380CC4-5D6E-409C-BE32-E72D297353CC}">
                <c16:uniqueId val="{00000003-774F-468D-B130-B9E5609A982F}"/>
              </c:ext>
            </c:extLst>
          </c:dPt>
          <c:dPt>
            <c:idx val="2"/>
            <c:bubble3D val="0"/>
            <c:spPr>
              <a:solidFill>
                <a:srgbClr val="953735"/>
              </a:solidFill>
              <a:ln w="19050">
                <a:solidFill>
                  <a:schemeClr val="lt1"/>
                </a:solidFill>
              </a:ln>
              <a:effectLst/>
            </c:spPr>
            <c:extLst>
              <c:ext xmlns:c16="http://schemas.microsoft.com/office/drawing/2014/chart" uri="{C3380CC4-5D6E-409C-BE32-E72D297353CC}">
                <c16:uniqueId val="{00000005-774F-468D-B130-B9E5609A982F}"/>
              </c:ext>
            </c:extLst>
          </c:dPt>
          <c:dPt>
            <c:idx val="3"/>
            <c:bubble3D val="0"/>
            <c:spPr>
              <a:solidFill>
                <a:srgbClr val="31859C"/>
              </a:solidFill>
              <a:ln w="19050">
                <a:solidFill>
                  <a:schemeClr val="lt1"/>
                </a:solidFill>
              </a:ln>
              <a:effectLst/>
            </c:spPr>
            <c:extLst>
              <c:ext xmlns:c16="http://schemas.microsoft.com/office/drawing/2014/chart" uri="{C3380CC4-5D6E-409C-BE32-E72D297353CC}">
                <c16:uniqueId val="{00000007-774F-468D-B130-B9E5609A982F}"/>
              </c:ext>
            </c:extLst>
          </c:dPt>
          <c:dPt>
            <c:idx val="4"/>
            <c:bubble3D val="0"/>
            <c:spPr>
              <a:solidFill>
                <a:srgbClr val="C0504D"/>
              </a:solidFill>
              <a:ln w="19050">
                <a:solidFill>
                  <a:schemeClr val="lt1"/>
                </a:solidFill>
              </a:ln>
              <a:effectLst/>
            </c:spPr>
            <c:extLst>
              <c:ext xmlns:c16="http://schemas.microsoft.com/office/drawing/2014/chart" uri="{C3380CC4-5D6E-409C-BE32-E72D297353CC}">
                <c16:uniqueId val="{00000009-774F-468D-B130-B9E5609A982F}"/>
              </c:ext>
            </c:extLst>
          </c:dPt>
          <c:dLbls>
            <c:dLbl>
              <c:idx val="0"/>
              <c:tx>
                <c:rich>
                  <a:bodyPr rot="0" vert="horz"/>
                  <a:lstStyle/>
                  <a:p>
                    <a:pPr>
                      <a:defRPr/>
                    </a:pPr>
                    <a:r>
                      <a:rPr lang="en-US"/>
                      <a:t>Other income support</a:t>
                    </a:r>
                    <a:r>
                      <a:rPr lang="en-US" baseline="0"/>
                      <a:t>
</a:t>
                    </a:r>
                    <a:fld id="{CD8F419C-4B8D-4D1B-88B2-3726D16D78A3}" type="PERCENTAGE">
                      <a:rPr lang="en-US" baseline="0"/>
                      <a:pPr>
                        <a:defRPr/>
                      </a:pPr>
                      <a:t>[PERCENTAGE]</a:t>
                    </a:fld>
                    <a:endParaRPr lang="en-US" baseline="0"/>
                  </a:p>
                </c:rich>
              </c:tx>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774F-468D-B130-B9E5609A982F}"/>
                </c:ext>
              </c:extLst>
            </c:dLbl>
            <c:dLbl>
              <c:idx val="1"/>
              <c:layout>
                <c:manualLayout>
                  <c:x val="0.12100694444444444"/>
                  <c:y val="1.6866274928774929E-2"/>
                </c:manualLayout>
              </c:layout>
              <c:tx>
                <c:rich>
                  <a:bodyPr rot="0" vert="horz"/>
                  <a:lstStyle/>
                  <a:p>
                    <a:pPr algn="ctr">
                      <a:defRPr/>
                    </a:pPr>
                    <a:r>
                      <a:rPr lang="en-US"/>
                      <a:t>Not on income support</a:t>
                    </a:r>
                    <a:r>
                      <a:rPr lang="en-US" baseline="0"/>
                      <a:t>
</a:t>
                    </a:r>
                    <a:fld id="{511D3333-57B5-4CE7-8FB0-BAA5674FB90D}" type="PERCENTAGE">
                      <a:rPr lang="en-US" baseline="0"/>
                      <a:pPr algn="ctr">
                        <a:defRPr/>
                      </a:pPr>
                      <a:t>[PERCENTAGE]</a:t>
                    </a:fld>
                    <a:endParaRPr lang="en-US" baseline="0"/>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1700680272108844"/>
                      <c:h val="0.17125382262996941"/>
                    </c:manualLayout>
                  </c15:layout>
                  <c15:dlblFieldTable/>
                  <c15:showDataLabelsRange val="0"/>
                </c:ext>
                <c:ext xmlns:c16="http://schemas.microsoft.com/office/drawing/2014/chart" uri="{C3380CC4-5D6E-409C-BE32-E72D297353CC}">
                  <c16:uniqueId val="{00000003-774F-468D-B130-B9E5609A982F}"/>
                </c:ext>
              </c:extLst>
            </c:dLbl>
            <c:dLbl>
              <c:idx val="2"/>
              <c:spPr>
                <a:noFill/>
                <a:ln>
                  <a:noFill/>
                </a:ln>
                <a:effectLst/>
              </c:spPr>
              <c:txPr>
                <a:bodyPr rot="0" vert="horz"/>
                <a:lstStyle/>
                <a:p>
                  <a:pPr>
                    <a:defRPr>
                      <a:solidFill>
                        <a:schemeClr val="bg1"/>
                      </a:solidFill>
                    </a:defRPr>
                  </a:pPr>
                  <a:endParaRPr lang="en-US"/>
                </a:p>
              </c:txPr>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74F-468D-B130-B9E5609A982F}"/>
                </c:ext>
              </c:extLst>
            </c:dLbl>
            <c:dLbl>
              <c:idx val="3"/>
              <c:tx>
                <c:rich>
                  <a:bodyPr rot="0" vert="horz"/>
                  <a:lstStyle/>
                  <a:p>
                    <a:pPr>
                      <a:defRPr>
                        <a:solidFill>
                          <a:schemeClr val="bg1"/>
                        </a:solidFill>
                      </a:defRPr>
                    </a:pPr>
                    <a:fld id="{0239779A-81B6-4967-A906-EA6D3A76BEA7}" type="CATEGORYNAME">
                      <a:rPr lang="en-US">
                        <a:solidFill>
                          <a:schemeClr val="tx1"/>
                        </a:solidFill>
                      </a:rPr>
                      <a:pPr>
                        <a:defRPr>
                          <a:solidFill>
                            <a:schemeClr val="bg1"/>
                          </a:solidFill>
                        </a:defRPr>
                      </a:pPr>
                      <a:t>[CATEGORY NAME]</a:t>
                    </a:fld>
                    <a:r>
                      <a:rPr lang="en-US" baseline="0">
                        <a:solidFill>
                          <a:schemeClr val="tx1"/>
                        </a:solidFill>
                      </a:rPr>
                      <a:t>
</a:t>
                    </a:r>
                    <a:fld id="{5977E7F8-DAE5-4312-A8A6-077225D90AF6}" type="PERCENTAGE">
                      <a:rPr lang="en-US" baseline="0">
                        <a:solidFill>
                          <a:schemeClr val="tx1"/>
                        </a:solidFill>
                      </a:rPr>
                      <a:pPr>
                        <a:defRPr>
                          <a:solidFill>
                            <a:schemeClr val="bg1"/>
                          </a:solidFill>
                        </a:defRPr>
                      </a:pPr>
                      <a:t>[PERCENTAGE]</a:t>
                    </a:fld>
                    <a:endParaRPr lang="en-US" baseline="0">
                      <a:solidFill>
                        <a:schemeClr val="tx1"/>
                      </a:solidFill>
                    </a:endParaRPr>
                  </a:p>
                </c:rich>
              </c:tx>
              <c:spPr>
                <a:noFill/>
                <a:ln>
                  <a:noFill/>
                </a:ln>
                <a:effectLst/>
              </c:spPr>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74F-468D-B130-B9E5609A982F}"/>
                </c:ext>
              </c:extLst>
            </c:dLbl>
            <c:dLbl>
              <c:idx val="4"/>
              <c:layout>
                <c:manualLayout>
                  <c:x val="-0.2300397809674056"/>
                  <c:y val="-1.7047909529947329E-2"/>
                </c:manualLayout>
              </c:layout>
              <c:tx>
                <c:rich>
                  <a:bodyPr/>
                  <a:lstStyle/>
                  <a:p>
                    <a:r>
                      <a:rPr lang="en-US">
                        <a:solidFill>
                          <a:schemeClr val="bg1"/>
                        </a:solidFill>
                      </a:rPr>
                      <a:t>Age Pension
</a:t>
                    </a:r>
                    <a:fld id="{08F2C0DF-1808-498F-9B2D-31E18C1ABECC}" type="PERCENTAGE">
                      <a:rPr lang="en-US">
                        <a:solidFill>
                          <a:schemeClr val="bg1"/>
                        </a:solidFill>
                      </a:rPr>
                      <a:pPr/>
                      <a:t>[PERCENTAGE]</a:t>
                    </a:fld>
                    <a:endParaRPr lang="en-US">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74F-468D-B130-B9E5609A982F}"/>
                </c:ext>
              </c:extLst>
            </c:dLbl>
            <c:dLbl>
              <c:idx val="5"/>
              <c:layout>
                <c:manualLayout>
                  <c:x val="-0.12516996089774493"/>
                  <c:y val="-1.2486696043728479E-2"/>
                </c:manualLayout>
              </c:layout>
              <c:showLegendKey val="0"/>
              <c:showVal val="0"/>
              <c:showCatName val="1"/>
              <c:showSerName val="0"/>
              <c:showPercent val="1"/>
              <c:showBubbleSize val="0"/>
              <c:extLst>
                <c:ext xmlns:c15="http://schemas.microsoft.com/office/drawing/2012/chart" uri="{CE6537A1-D6FC-4f65-9D91-7224C49458BB}">
                  <c15:layout>
                    <c:manualLayout>
                      <c:w val="0.16870748299319727"/>
                      <c:h val="0.13761467889908258"/>
                    </c:manualLayout>
                  </c15:layout>
                </c:ext>
                <c:ext xmlns:c16="http://schemas.microsoft.com/office/drawing/2014/chart" uri="{C3380CC4-5D6E-409C-BE32-E72D297353CC}">
                  <c16:uniqueId val="{0000000A-774F-468D-B130-B9E5609A982F}"/>
                </c:ext>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 RA'!$A$19:$A$22</c:f>
              <c:strCache>
                <c:ptCount val="4"/>
                <c:pt idx="0">
                  <c:v>Other Income Support</c:v>
                </c:pt>
                <c:pt idx="1">
                  <c:v>Not on Income Support</c:v>
                </c:pt>
                <c:pt idx="2">
                  <c:v>Full rate</c:v>
                </c:pt>
                <c:pt idx="3">
                  <c:v>Part rate</c:v>
                </c:pt>
              </c:strCache>
            </c:strRef>
          </c:cat>
          <c:val>
            <c:numRef>
              <c:f>'6 RA'!$B$19:$B$22</c:f>
              <c:numCache>
                <c:formatCode>_-* #,##0_-;\-* #,##0_-;_-* "-"??_-;_-@_-</c:formatCode>
                <c:ptCount val="4"/>
                <c:pt idx="0">
                  <c:v>120578</c:v>
                </c:pt>
                <c:pt idx="1">
                  <c:v>1456980</c:v>
                </c:pt>
                <c:pt idx="2">
                  <c:v>1629142</c:v>
                </c:pt>
                <c:pt idx="3">
                  <c:v>912496</c:v>
                </c:pt>
              </c:numCache>
            </c:numRef>
          </c:val>
          <c:extLst>
            <c:ext xmlns:c16="http://schemas.microsoft.com/office/drawing/2014/chart" uri="{C3380CC4-5D6E-409C-BE32-E72D297353CC}">
              <c16:uniqueId val="{0000000B-774F-468D-B130-B9E5609A982F}"/>
            </c:ext>
          </c:extLst>
        </c:ser>
        <c:dLbls>
          <c:showLegendKey val="0"/>
          <c:showVal val="1"/>
          <c:showCatName val="0"/>
          <c:showSerName val="0"/>
          <c:showPercent val="0"/>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[2022 Retirement v5.xlsx]Historic IS!PivotTable4</c:name>
    <c:fmtId val="-1"/>
  </c:pivotSource>
  <c:chart>
    <c:autoTitleDeleted val="1"/>
    <c:pivotFmts>
      <c:pivotFmt>
        <c:idx val="0"/>
        <c:spPr>
          <a:solidFill>
            <a:srgbClr val="1F497D"/>
          </a:solidFill>
          <a:ln>
            <a:noFill/>
          </a:ln>
          <a:effectLst/>
        </c:spPr>
      </c:pivotFmt>
      <c:pivotFmt>
        <c:idx val="1"/>
        <c:spPr>
          <a:solidFill>
            <a:srgbClr val="009644"/>
          </a:solidFill>
          <a:ln>
            <a:noFill/>
          </a:ln>
          <a:effectLst/>
        </c:spPr>
      </c:pivotFmt>
      <c:pivotFmt>
        <c:idx val="2"/>
        <c:spPr>
          <a:solidFill>
            <a:srgbClr val="E26B0A"/>
          </a:solidFill>
          <a:ln>
            <a:noFill/>
          </a:ln>
          <a:effectLst/>
        </c:spPr>
      </c:pivotFmt>
      <c:pivotFmt>
        <c:idx val="3"/>
        <c:spPr>
          <a:solidFill>
            <a:srgbClr val="E18BD7"/>
          </a:solidFill>
          <a:ln>
            <a:noFill/>
          </a:ln>
          <a:effectLst/>
        </c:spPr>
      </c:pivotFmt>
      <c:pivotFmt>
        <c:idx val="4"/>
        <c:spPr>
          <a:solidFill>
            <a:srgbClr val="8064A2"/>
          </a:solidFill>
          <a:ln>
            <a:noFill/>
          </a:ln>
          <a:effectLst/>
        </c:spPr>
      </c:pivotFmt>
      <c:pivotFmt>
        <c:idx val="5"/>
        <c:spPr>
          <a:solidFill>
            <a:schemeClr val="accent1"/>
          </a:solidFill>
          <a:ln w="28575" cap="rnd">
            <a:noFill/>
            <a:round/>
          </a:ln>
          <a:effectLst/>
        </c:spP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6"/>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7"/>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8"/>
        <c:spPr>
          <a:solidFill>
            <a:schemeClr val="accent1"/>
          </a:solidFill>
          <a:ln w="28575" cap="rnd">
            <a:noFill/>
            <a:round/>
          </a:ln>
          <a:effectLst/>
        </c:spPr>
        <c:marker>
          <c:spPr>
            <a:solidFill>
              <a:schemeClr val="accent1"/>
            </a:solidFill>
            <a:ln w="9525">
              <a:solidFill>
                <a:schemeClr val="accent1"/>
              </a:solidFill>
            </a:ln>
            <a:effectLst/>
          </c:spPr>
        </c:marker>
      </c:pivotFmt>
      <c:pivotFmt>
        <c:idx val="9"/>
      </c:pivotFmt>
      <c:pivotFmt>
        <c:idx val="10"/>
      </c:pivotFmt>
      <c:pivotFmt>
        <c:idx val="11"/>
        <c:spPr>
          <a:solidFill>
            <a:srgbClr val="1F497D"/>
          </a:solidFill>
          <a:ln>
            <a:noFill/>
          </a:ln>
          <a:effectLst/>
        </c:spPr>
        <c:marker>
          <c:spPr>
            <a:solidFill>
              <a:schemeClr val="accent1"/>
            </a:solidFill>
            <a:ln w="9525">
              <a:solidFill>
                <a:schemeClr val="accent1"/>
              </a:solidFill>
            </a:ln>
            <a:effectLst/>
          </c:spPr>
        </c:marker>
      </c:pivotFmt>
      <c:pivotFmt>
        <c:idx val="12"/>
        <c:spPr>
          <a:solidFill>
            <a:srgbClr val="009644"/>
          </a:solidFill>
          <a:ln>
            <a:noFill/>
          </a:ln>
          <a:effectLst/>
        </c:spPr>
        <c:marker>
          <c:spPr>
            <a:solidFill>
              <a:schemeClr val="accent1"/>
            </a:solidFill>
            <a:ln w="9525">
              <a:solidFill>
                <a:schemeClr val="accent1"/>
              </a:solidFill>
            </a:ln>
            <a:effectLst/>
          </c:spPr>
        </c:marker>
      </c:pivotFmt>
      <c:pivotFmt>
        <c:idx val="13"/>
        <c:spPr>
          <a:solidFill>
            <a:srgbClr val="E26B0A"/>
          </a:solidFill>
          <a:ln>
            <a:noFill/>
          </a:ln>
          <a:effectLst/>
        </c:spPr>
        <c:marker>
          <c:spPr>
            <a:solidFill>
              <a:schemeClr val="accent1"/>
            </a:solidFill>
            <a:ln w="9525">
              <a:solidFill>
                <a:schemeClr val="accent1"/>
              </a:solidFill>
            </a:ln>
            <a:effectLst/>
          </c:spPr>
        </c:marker>
      </c:pivotFmt>
      <c:pivotFmt>
        <c:idx val="14"/>
        <c:spPr>
          <a:solidFill>
            <a:srgbClr val="E18BD7"/>
          </a:solidFill>
          <a:ln>
            <a:noFill/>
          </a:ln>
          <a:effectLst/>
        </c:spPr>
        <c:marker>
          <c:spPr>
            <a:solidFill>
              <a:schemeClr val="accent1"/>
            </a:solidFill>
            <a:ln w="9525">
              <a:solidFill>
                <a:schemeClr val="accent1"/>
              </a:solidFill>
            </a:ln>
            <a:effectLst/>
          </c:spPr>
        </c:marker>
      </c:pivotFmt>
      <c:pivotFmt>
        <c:idx val="15"/>
        <c:spPr>
          <a:solidFill>
            <a:srgbClr val="8064A2"/>
          </a:solidFill>
          <a:ln>
            <a:noFill/>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6"/>
        <c:spPr>
          <a:solidFill>
            <a:srgbClr val="8064A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7"/>
        <c:spPr>
          <a:solidFill>
            <a:srgbClr val="8064A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8"/>
        <c:spPr>
          <a:solidFill>
            <a:srgbClr val="1F497D"/>
          </a:solidFill>
          <a:ln>
            <a:noFill/>
          </a:ln>
          <a:effectLst/>
        </c:spPr>
        <c:marker>
          <c:symbol val="none"/>
        </c:marker>
      </c:pivotFmt>
      <c:pivotFmt>
        <c:idx val="19"/>
        <c:spPr>
          <a:solidFill>
            <a:srgbClr val="009644"/>
          </a:solidFill>
          <a:ln>
            <a:noFill/>
          </a:ln>
          <a:effectLst/>
        </c:spPr>
        <c:marker>
          <c:symbol val="none"/>
        </c:marker>
      </c:pivotFmt>
      <c:pivotFmt>
        <c:idx val="20"/>
        <c:spPr>
          <a:solidFill>
            <a:srgbClr val="E26B0A"/>
          </a:solidFill>
          <a:ln>
            <a:noFill/>
          </a:ln>
          <a:effectLst/>
        </c:spPr>
        <c:marker>
          <c:symbol val="none"/>
        </c:marker>
      </c:pivotFmt>
      <c:pivotFmt>
        <c:idx val="21"/>
        <c:spPr>
          <a:solidFill>
            <a:srgbClr val="FF8BD7"/>
          </a:solidFill>
          <a:ln>
            <a:noFill/>
          </a:ln>
          <a:effectLst/>
        </c:spPr>
        <c:marker>
          <c:symbol val="none"/>
        </c:marker>
      </c:pivotFmt>
      <c:pivotFmt>
        <c:idx val="22"/>
        <c:spPr>
          <a:solidFill>
            <a:srgbClr val="8064A2"/>
          </a:solidFill>
          <a:ln>
            <a:noFill/>
          </a:ln>
          <a:effectLst/>
        </c:spPr>
        <c:marker>
          <c:symbol val="none"/>
        </c:marker>
      </c:pivotFmt>
      <c:pivotFmt>
        <c:idx val="23"/>
        <c:spPr>
          <a:solidFill>
            <a:schemeClr val="accent1"/>
          </a:solidFill>
          <a:ln>
            <a:noFill/>
          </a:ln>
          <a:effectLst/>
        </c:spPr>
        <c:marker>
          <c:symbol val="none"/>
        </c:marker>
      </c:pivotFmt>
      <c:pivotFmt>
        <c:idx val="24"/>
        <c:spPr>
          <a:solidFill>
            <a:srgbClr val="1F497D"/>
          </a:solidFill>
          <a:ln>
            <a:noFill/>
          </a:ln>
          <a:effectLst/>
        </c:spPr>
        <c:marker>
          <c:symbol val="none"/>
        </c:marker>
      </c:pivotFmt>
      <c:pivotFmt>
        <c:idx val="25"/>
        <c:spPr>
          <a:solidFill>
            <a:srgbClr val="009644"/>
          </a:solidFill>
          <a:ln>
            <a:noFill/>
          </a:ln>
          <a:effectLst/>
        </c:spPr>
        <c:marker>
          <c:symbol val="none"/>
        </c:marker>
      </c:pivotFmt>
      <c:pivotFmt>
        <c:idx val="26"/>
        <c:spPr>
          <a:solidFill>
            <a:srgbClr val="E26B0A"/>
          </a:solidFill>
          <a:ln>
            <a:noFill/>
          </a:ln>
          <a:effectLst/>
        </c:spPr>
        <c:marker>
          <c:symbol val="none"/>
        </c:marker>
      </c:pivotFmt>
      <c:pivotFmt>
        <c:idx val="27"/>
        <c:spPr>
          <a:solidFill>
            <a:srgbClr val="FF8BD7"/>
          </a:solidFill>
          <a:ln>
            <a:noFill/>
          </a:ln>
          <a:effectLst/>
        </c:spPr>
        <c:marker>
          <c:symbol val="none"/>
        </c:marker>
      </c:pivotFmt>
      <c:pivotFmt>
        <c:idx val="28"/>
        <c:spPr>
          <a:solidFill>
            <a:srgbClr val="8064A2"/>
          </a:solidFill>
          <a:ln>
            <a:noFill/>
          </a:ln>
          <a:effectLst/>
        </c:spPr>
        <c:marker>
          <c:symbol val="none"/>
        </c:marker>
      </c:pivotFmt>
      <c:pivotFmt>
        <c:idx val="29"/>
        <c:spPr>
          <a:solidFill>
            <a:schemeClr val="accent1"/>
          </a:solidFill>
          <a:ln>
            <a:noFill/>
          </a:ln>
          <a:effectLst/>
        </c:spPr>
        <c:marker>
          <c:symbol val="none"/>
        </c:marker>
      </c:pivotFmt>
      <c:pivotFmt>
        <c:idx val="30"/>
        <c:spPr>
          <a:solidFill>
            <a:srgbClr val="8064A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rgbClr val="8064A2"/>
          </a:solidFill>
          <a:ln>
            <a:noFill/>
          </a:ln>
          <a:effectLst/>
        </c:spPr>
        <c:dLbl>
          <c:idx val="0"/>
          <c:layout>
            <c:manualLayout>
              <c:x val="0.1"/>
              <c:y val="-2.121889068003332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2"/>
        <c:spPr>
          <a:solidFill>
            <a:srgbClr val="8064A2"/>
          </a:solidFill>
          <a:ln>
            <a:noFill/>
          </a:ln>
          <a:effectLst/>
        </c:spPr>
        <c:dLbl>
          <c:idx val="0"/>
          <c:layout>
            <c:manualLayout>
              <c:x val="6.1111111111111109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3"/>
        <c:spPr>
          <a:solidFill>
            <a:srgbClr val="1F497D"/>
          </a:solidFill>
          <a:ln>
            <a:noFill/>
          </a:ln>
          <a:effectLst/>
        </c:spPr>
        <c:marker>
          <c:symbol val="none"/>
        </c:marker>
      </c:pivotFmt>
      <c:pivotFmt>
        <c:idx val="34"/>
        <c:spPr>
          <a:solidFill>
            <a:srgbClr val="009644"/>
          </a:solidFill>
          <a:ln>
            <a:noFill/>
          </a:ln>
          <a:effectLst/>
        </c:spPr>
        <c:marker>
          <c:symbol val="none"/>
        </c:marker>
      </c:pivotFmt>
      <c:pivotFmt>
        <c:idx val="35"/>
        <c:spPr>
          <a:solidFill>
            <a:srgbClr val="E26B0A"/>
          </a:solidFill>
          <a:ln>
            <a:noFill/>
          </a:ln>
          <a:effectLst/>
        </c:spPr>
        <c:marker>
          <c:symbol val="none"/>
        </c:marker>
      </c:pivotFmt>
      <c:pivotFmt>
        <c:idx val="36"/>
        <c:spPr>
          <a:solidFill>
            <a:srgbClr val="FF8BD7"/>
          </a:solidFill>
          <a:ln>
            <a:noFill/>
          </a:ln>
          <a:effectLst/>
        </c:spPr>
        <c:marker>
          <c:symbol val="none"/>
        </c:marker>
      </c:pivotFmt>
      <c:pivotFmt>
        <c:idx val="37"/>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8"/>
        <c:dLbl>
          <c:idx val="0"/>
          <c:layout>
            <c:manualLayout>
              <c:x val="6.1111111111111109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9"/>
        <c:dLbl>
          <c:idx val="0"/>
          <c:layout>
            <c:manualLayout>
              <c:x val="0.1"/>
              <c:y val="-2.121889068003332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pivotFmt>
      <c:pivotFmt>
        <c:idx val="41"/>
        <c:spPr>
          <a:solidFill>
            <a:srgbClr val="1F497D"/>
          </a:solidFill>
          <a:ln>
            <a:noFill/>
          </a:ln>
          <a:effectLst/>
        </c:spPr>
        <c:marker>
          <c:symbol val="none"/>
        </c:marker>
      </c:pivotFmt>
      <c:pivotFmt>
        <c:idx val="42"/>
        <c:spPr>
          <a:solidFill>
            <a:srgbClr val="009644"/>
          </a:solidFill>
          <a:ln>
            <a:noFill/>
          </a:ln>
          <a:effectLst/>
        </c:spPr>
        <c:marker>
          <c:symbol val="none"/>
        </c:marker>
      </c:pivotFmt>
      <c:pivotFmt>
        <c:idx val="43"/>
        <c:spPr>
          <a:solidFill>
            <a:srgbClr val="E26B0A"/>
          </a:solidFill>
          <a:ln>
            <a:noFill/>
          </a:ln>
          <a:effectLst/>
        </c:spPr>
        <c:marker>
          <c:symbol val="none"/>
        </c:marker>
      </c:pivotFmt>
      <c:pivotFmt>
        <c:idx val="44"/>
        <c:spPr>
          <a:solidFill>
            <a:srgbClr val="FF8BD7"/>
          </a:solidFill>
          <a:ln>
            <a:noFill/>
          </a:ln>
          <a:effectLst/>
        </c:spPr>
        <c:marker>
          <c:symbol val="none"/>
        </c:marker>
      </c:pivotFmt>
      <c:pivotFmt>
        <c:idx val="45"/>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6"/>
        <c:dLbl>
          <c:idx val="0"/>
          <c:layout>
            <c:manualLayout>
              <c:x val="6.1111111111111109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7"/>
        <c:dLbl>
          <c:idx val="0"/>
          <c:layout>
            <c:manualLayout>
              <c:x val="0.1"/>
              <c:y val="-2.121889068003332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pivotFmt>
      <c:pivotFmt>
        <c:idx val="49"/>
        <c:spPr>
          <a:solidFill>
            <a:srgbClr val="8064A2"/>
          </a:solidFill>
          <a:ln>
            <a:noFill/>
          </a:ln>
          <a:effectLst/>
        </c:spPr>
        <c:dLbl>
          <c:idx val="0"/>
          <c:layout>
            <c:manualLayout>
              <c:x val="0.1"/>
              <c:y val="-2.1218890680033321E-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50"/>
        <c:spPr>
          <a:solidFill>
            <a:srgbClr val="8064A2"/>
          </a:solidFill>
          <a:ln>
            <a:noFill/>
          </a:ln>
          <a:effectLst/>
        </c:spPr>
        <c:dLbl>
          <c:idx val="0"/>
          <c:layout>
            <c:manualLayout>
              <c:x val="6.1111111111111109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51"/>
        <c:spPr>
          <a:solidFill>
            <a:srgbClr val="1F497D"/>
          </a:solidFill>
          <a:ln>
            <a:noFill/>
          </a:ln>
          <a:effectLst/>
        </c:spPr>
        <c:marker>
          <c:symbol val="none"/>
        </c:marker>
      </c:pivotFmt>
      <c:pivotFmt>
        <c:idx val="52"/>
        <c:spPr>
          <a:solidFill>
            <a:srgbClr val="009644"/>
          </a:solidFill>
          <a:ln>
            <a:noFill/>
          </a:ln>
          <a:effectLst/>
        </c:spPr>
        <c:marker>
          <c:symbol val="none"/>
        </c:marker>
      </c:pivotFmt>
      <c:pivotFmt>
        <c:idx val="53"/>
        <c:spPr>
          <a:solidFill>
            <a:srgbClr val="E26B0A"/>
          </a:solidFill>
          <a:ln>
            <a:noFill/>
          </a:ln>
          <a:effectLst/>
        </c:spPr>
        <c:marker>
          <c:symbol val="none"/>
        </c:marker>
      </c:pivotFmt>
      <c:pivotFmt>
        <c:idx val="54"/>
        <c:spPr>
          <a:solidFill>
            <a:srgbClr val="FF8BD7"/>
          </a:solidFill>
          <a:ln>
            <a:noFill/>
          </a:ln>
          <a:effectLst/>
        </c:spPr>
        <c:marker>
          <c:symbol val="none"/>
        </c:marker>
      </c:pivotFmt>
      <c:pivotFmt>
        <c:idx val="55"/>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pivotFmt>
      <c:pivotFmt>
        <c:idx val="57"/>
        <c:spPr>
          <a:solidFill>
            <a:srgbClr val="1F497D"/>
          </a:solidFill>
          <a:ln>
            <a:noFill/>
          </a:ln>
          <a:effectLst/>
        </c:spPr>
        <c:marker>
          <c:symbol val="none"/>
        </c:marker>
      </c:pivotFmt>
      <c:pivotFmt>
        <c:idx val="58"/>
        <c:spPr>
          <a:solidFill>
            <a:srgbClr val="009644"/>
          </a:solidFill>
          <a:ln>
            <a:noFill/>
          </a:ln>
          <a:effectLst/>
        </c:spPr>
        <c:marker>
          <c:symbol val="none"/>
        </c:marker>
      </c:pivotFmt>
      <c:pivotFmt>
        <c:idx val="59"/>
        <c:spPr>
          <a:solidFill>
            <a:srgbClr val="E26B0A"/>
          </a:solidFill>
          <a:ln>
            <a:noFill/>
          </a:ln>
          <a:effectLst/>
        </c:spPr>
        <c:marker>
          <c:symbol val="none"/>
        </c:marker>
      </c:pivotFmt>
      <c:pivotFmt>
        <c:idx val="60"/>
        <c:spPr>
          <a:solidFill>
            <a:srgbClr val="FF8BD7"/>
          </a:solidFill>
          <a:ln>
            <a:noFill/>
          </a:ln>
          <a:effectLst/>
        </c:spPr>
        <c:marker>
          <c:symbol val="none"/>
        </c:marker>
      </c:pivotFmt>
      <c:pivotFmt>
        <c:idx val="61"/>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2"/>
        <c:spPr>
          <a:solidFill>
            <a:srgbClr val="8064A2"/>
          </a:solidFill>
          <a:ln>
            <a:noFill/>
          </a:ln>
          <a:effectLst/>
        </c:spPr>
        <c:dLbl>
          <c:idx val="0"/>
          <c:layout>
            <c:manualLayout>
              <c:x val="6.1111111111111109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63"/>
        <c:spPr>
          <a:solidFill>
            <a:srgbClr val="8064A2"/>
          </a:solidFill>
          <a:ln>
            <a:noFill/>
          </a:ln>
          <a:effectLst/>
        </c:spPr>
        <c:dLbl>
          <c:idx val="0"/>
          <c:layout>
            <c:manualLayout>
              <c:x val="0.1"/>
              <c:y val="-2.1218890680033321E-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64"/>
        <c:spPr>
          <a:solidFill>
            <a:schemeClr val="accent1"/>
          </a:solidFill>
          <a:ln>
            <a:noFill/>
          </a:ln>
          <a:effectLst/>
        </c:spPr>
        <c:marker>
          <c:symbol val="none"/>
        </c:marker>
      </c:pivotFmt>
      <c:pivotFmt>
        <c:idx val="65"/>
        <c:spPr>
          <a:solidFill>
            <a:srgbClr val="1F497D"/>
          </a:solidFill>
          <a:ln>
            <a:noFill/>
          </a:ln>
          <a:effectLst/>
        </c:spPr>
        <c:marker>
          <c:symbol val="none"/>
        </c:marker>
      </c:pivotFmt>
      <c:pivotFmt>
        <c:idx val="66"/>
        <c:spPr>
          <a:solidFill>
            <a:srgbClr val="009644"/>
          </a:solidFill>
          <a:ln>
            <a:noFill/>
          </a:ln>
          <a:effectLst/>
        </c:spPr>
        <c:marker>
          <c:symbol val="none"/>
        </c:marker>
      </c:pivotFmt>
      <c:pivotFmt>
        <c:idx val="67"/>
        <c:spPr>
          <a:solidFill>
            <a:srgbClr val="E26B0A"/>
          </a:solidFill>
          <a:ln>
            <a:noFill/>
          </a:ln>
          <a:effectLst/>
        </c:spPr>
        <c:marker>
          <c:symbol val="none"/>
        </c:marker>
      </c:pivotFmt>
      <c:pivotFmt>
        <c:idx val="68"/>
        <c:spPr>
          <a:solidFill>
            <a:srgbClr val="FF8BD7"/>
          </a:solidFill>
          <a:ln>
            <a:noFill/>
          </a:ln>
          <a:effectLst/>
        </c:spPr>
        <c:marker>
          <c:symbol val="none"/>
        </c:marker>
      </c:pivotFmt>
      <c:pivotFmt>
        <c:idx val="69"/>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0"/>
        <c:spPr>
          <a:solidFill>
            <a:srgbClr val="8064A2"/>
          </a:solidFill>
          <a:ln>
            <a:noFill/>
          </a:ln>
          <a:effectLst/>
        </c:spPr>
        <c:dLbl>
          <c:idx val="0"/>
          <c:layout>
            <c:manualLayout>
              <c:x val="6.1111111111111109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71"/>
        <c:spPr>
          <a:solidFill>
            <a:srgbClr val="8064A2"/>
          </a:solidFill>
          <a:ln>
            <a:noFill/>
          </a:ln>
          <a:effectLst/>
        </c:spPr>
        <c:dLbl>
          <c:idx val="0"/>
          <c:layout>
            <c:manualLayout>
              <c:x val="0.1"/>
              <c:y val="-2.1218890680033321E-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72"/>
        <c:spPr>
          <a:solidFill>
            <a:schemeClr val="accent1"/>
          </a:solidFill>
          <a:ln>
            <a:noFill/>
          </a:ln>
          <a:effectLst/>
        </c:spPr>
        <c:marker>
          <c:symbol val="none"/>
        </c:marker>
      </c:pivotFmt>
      <c:pivotFmt>
        <c:idx val="73"/>
        <c:spPr>
          <a:solidFill>
            <a:srgbClr val="1F497D"/>
          </a:solidFill>
          <a:ln>
            <a:noFill/>
          </a:ln>
          <a:effectLst/>
        </c:spPr>
        <c:marker>
          <c:symbol val="none"/>
        </c:marker>
      </c:pivotFmt>
      <c:pivotFmt>
        <c:idx val="74"/>
        <c:spPr>
          <a:solidFill>
            <a:srgbClr val="009644"/>
          </a:solidFill>
          <a:ln>
            <a:noFill/>
          </a:ln>
          <a:effectLst/>
        </c:spPr>
        <c:marker>
          <c:symbol val="none"/>
        </c:marker>
      </c:pivotFmt>
      <c:pivotFmt>
        <c:idx val="75"/>
        <c:spPr>
          <a:solidFill>
            <a:srgbClr val="E26B0A"/>
          </a:solidFill>
          <a:ln>
            <a:noFill/>
          </a:ln>
          <a:effectLst/>
        </c:spPr>
        <c:marker>
          <c:symbol val="none"/>
        </c:marker>
      </c:pivotFmt>
      <c:pivotFmt>
        <c:idx val="76"/>
        <c:spPr>
          <a:solidFill>
            <a:srgbClr val="FF8BD7"/>
          </a:solidFill>
          <a:ln>
            <a:noFill/>
          </a:ln>
          <a:effectLst/>
        </c:spPr>
        <c:marker>
          <c:symbol val="none"/>
        </c:marker>
      </c:pivotFmt>
      <c:pivotFmt>
        <c:idx val="77"/>
        <c:spPr>
          <a:solidFill>
            <a:srgbClr val="8064A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8"/>
        <c:spPr>
          <a:solidFill>
            <a:srgbClr val="8064A2"/>
          </a:solidFill>
          <a:ln>
            <a:noFill/>
          </a:ln>
          <a:effectLst/>
        </c:spPr>
        <c:dLbl>
          <c:idx val="0"/>
          <c:layout>
            <c:manualLayout>
              <c:x val="4.5449369729331994E-2"/>
              <c:y val="-9.7516603976323343E-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0.6</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79"/>
        <c:spPr>
          <a:solidFill>
            <a:srgbClr val="8064A2"/>
          </a:solidFill>
          <a:ln>
            <a:noFill/>
          </a:ln>
          <a:effectLst/>
        </c:spPr>
        <c:dLbl>
          <c:idx val="0"/>
          <c:layout>
            <c:manualLayout>
              <c:x val="8.172800835291047E-2"/>
              <c:y val="5.3191489361702126E-3"/>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2.2</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0"/>
        <c:spPr>
          <a:solidFill>
            <a:schemeClr val="accent1"/>
          </a:solidFill>
          <a:ln>
            <a:noFill/>
          </a:ln>
          <a:effectLst/>
        </c:spPr>
        <c:marker>
          <c:symbol val="none"/>
        </c:marker>
      </c:pivotFmt>
      <c:pivotFmt>
        <c:idx val="81"/>
        <c:spPr>
          <a:solidFill>
            <a:srgbClr val="1F497D"/>
          </a:solidFill>
          <a:ln>
            <a:noFill/>
          </a:ln>
          <a:effectLst/>
        </c:spPr>
        <c:marker>
          <c:symbol val="none"/>
        </c:marker>
      </c:pivotFmt>
      <c:pivotFmt>
        <c:idx val="82"/>
        <c:spPr>
          <a:solidFill>
            <a:srgbClr val="009644"/>
          </a:solidFill>
          <a:ln>
            <a:noFill/>
          </a:ln>
          <a:effectLst/>
        </c:spPr>
        <c:marker>
          <c:symbol val="none"/>
        </c:marker>
      </c:pivotFmt>
      <c:pivotFmt>
        <c:idx val="83"/>
        <c:spPr>
          <a:solidFill>
            <a:srgbClr val="E26B0A"/>
          </a:solidFill>
          <a:ln>
            <a:noFill/>
          </a:ln>
          <a:effectLst/>
        </c:spPr>
        <c:marker>
          <c:symbol val="none"/>
        </c:marker>
      </c:pivotFmt>
      <c:pivotFmt>
        <c:idx val="84"/>
        <c:spPr>
          <a:solidFill>
            <a:srgbClr val="FF8BD7"/>
          </a:solidFill>
          <a:ln>
            <a:noFill/>
          </a:ln>
          <a:effectLst/>
        </c:spPr>
        <c:marker>
          <c:symbol val="none"/>
        </c:marker>
      </c:pivotFmt>
      <c:pivotFmt>
        <c:idx val="85"/>
        <c:spPr>
          <a:solidFill>
            <a:srgbClr val="8064A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6"/>
        <c:spPr>
          <a:solidFill>
            <a:srgbClr val="8064A2"/>
          </a:solidFill>
          <a:ln>
            <a:noFill/>
          </a:ln>
          <a:effectLst/>
        </c:spPr>
        <c:dLbl>
          <c:idx val="0"/>
          <c:layout>
            <c:manualLayout>
              <c:x val="4.5449369729331994E-2"/>
              <c:y val="-9.7516603976323343E-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0.6</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7"/>
        <c:spPr>
          <a:solidFill>
            <a:srgbClr val="8064A2"/>
          </a:solidFill>
          <a:ln>
            <a:noFill/>
          </a:ln>
          <a:effectLst/>
        </c:spPr>
        <c:dLbl>
          <c:idx val="0"/>
          <c:layout>
            <c:manualLayout>
              <c:x val="8.172800835291047E-2"/>
              <c:y val="5.3191489361702126E-3"/>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2.2</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8"/>
        <c:spPr>
          <a:solidFill>
            <a:schemeClr val="accent1"/>
          </a:solidFill>
          <a:ln>
            <a:noFill/>
          </a:ln>
          <a:effectLst/>
        </c:spPr>
        <c:marker>
          <c:symbol val="none"/>
        </c:marker>
      </c:pivotFmt>
      <c:pivotFmt>
        <c:idx val="89"/>
        <c:spPr>
          <a:solidFill>
            <a:srgbClr val="1F497D"/>
          </a:solidFill>
          <a:ln>
            <a:noFill/>
          </a:ln>
          <a:effectLst/>
        </c:spPr>
        <c:marker>
          <c:symbol val="none"/>
        </c:marker>
      </c:pivotFmt>
      <c:pivotFmt>
        <c:idx val="90"/>
        <c:spPr>
          <a:solidFill>
            <a:srgbClr val="009644"/>
          </a:solidFill>
          <a:ln>
            <a:noFill/>
          </a:ln>
          <a:effectLst/>
        </c:spPr>
        <c:marker>
          <c:symbol val="none"/>
        </c:marker>
      </c:pivotFmt>
      <c:pivotFmt>
        <c:idx val="91"/>
        <c:spPr>
          <a:solidFill>
            <a:srgbClr val="E26B0A"/>
          </a:solidFill>
          <a:ln>
            <a:noFill/>
          </a:ln>
          <a:effectLst/>
        </c:spPr>
        <c:marker>
          <c:symbol val="none"/>
        </c:marker>
      </c:pivotFmt>
      <c:pivotFmt>
        <c:idx val="92"/>
        <c:spPr>
          <a:solidFill>
            <a:srgbClr val="FF8BD7"/>
          </a:solidFill>
          <a:ln>
            <a:noFill/>
          </a:ln>
          <a:effectLst/>
        </c:spPr>
        <c:marker>
          <c:symbol val="none"/>
        </c:marker>
      </c:pivotFmt>
      <c:pivotFmt>
        <c:idx val="93"/>
        <c:spPr>
          <a:solidFill>
            <a:srgbClr val="8064A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4"/>
        <c:spPr>
          <a:solidFill>
            <a:srgbClr val="8064A2"/>
          </a:solidFill>
          <a:ln>
            <a:noFill/>
          </a:ln>
          <a:effectLst/>
        </c:spPr>
        <c:dLbl>
          <c:idx val="0"/>
          <c:layout>
            <c:manualLayout>
              <c:x val="4.5449369729331994E-2"/>
              <c:y val="-9.7516603976323343E-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0.6</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95"/>
        <c:spPr>
          <a:solidFill>
            <a:srgbClr val="8064A2"/>
          </a:solidFill>
          <a:ln>
            <a:noFill/>
          </a:ln>
          <a:effectLst/>
        </c:spPr>
        <c:dLbl>
          <c:idx val="0"/>
          <c:layout>
            <c:manualLayout>
              <c:x val="8.172800835291047E-2"/>
              <c:y val="5.3191489361702126E-3"/>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2.2</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96"/>
        <c:spPr>
          <a:solidFill>
            <a:schemeClr val="accent1"/>
          </a:solidFill>
          <a:ln>
            <a:noFill/>
          </a:ln>
          <a:effectLst/>
        </c:spPr>
        <c:marker>
          <c:symbol val="none"/>
        </c:marker>
      </c:pivotFmt>
    </c:pivotFmts>
    <c:plotArea>
      <c:layout>
        <c:manualLayout>
          <c:layoutTarget val="inner"/>
          <c:xMode val="edge"/>
          <c:yMode val="edge"/>
          <c:x val="0.45603826936009018"/>
          <c:y val="1.0695990587383471E-2"/>
          <c:w val="0.51589259486030359"/>
          <c:h val="0.55794239095909193"/>
        </c:manualLayout>
      </c:layout>
      <c:barChart>
        <c:barDir val="bar"/>
        <c:grouping val="stacked"/>
        <c:varyColors val="0"/>
        <c:ser>
          <c:idx val="0"/>
          <c:order val="0"/>
          <c:tx>
            <c:strRef>
              <c:f>'Historic IS'!$C$45</c:f>
              <c:strCache>
                <c:ptCount val="1"/>
                <c:pt idx="0">
                  <c:v>A. Studying payments</c:v>
                </c:pt>
              </c:strCache>
            </c:strRef>
          </c:tx>
          <c:spPr>
            <a:solidFill>
              <a:srgbClr val="1F497D"/>
            </a:solidFill>
            <a:ln>
              <a:noFill/>
            </a:ln>
            <a:effectLst/>
          </c:spPr>
          <c:invertIfNegative val="0"/>
          <c:cat>
            <c:strRef>
              <c:f>'Historic IS'!$B$46:$B$48</c:f>
              <c:strCache>
                <c:ptCount val="2"/>
                <c:pt idx="0">
                  <c:v>Did not receive Age Pension</c:v>
                </c:pt>
                <c:pt idx="1">
                  <c:v>Received Age Pension</c:v>
                </c:pt>
              </c:strCache>
            </c:strRef>
          </c:cat>
          <c:val>
            <c:numRef>
              <c:f>'Historic IS'!$C$46:$C$48</c:f>
              <c:numCache>
                <c:formatCode>0.0</c:formatCode>
                <c:ptCount val="2"/>
                <c:pt idx="0">
                  <c:v>4.0967504339910383E-4</c:v>
                </c:pt>
                <c:pt idx="1">
                  <c:v>4.4683501659544761E-3</c:v>
                </c:pt>
              </c:numCache>
            </c:numRef>
          </c:val>
          <c:extLst>
            <c:ext xmlns:c16="http://schemas.microsoft.com/office/drawing/2014/chart" uri="{C3380CC4-5D6E-409C-BE32-E72D297353CC}">
              <c16:uniqueId val="{00000000-B723-4E93-9286-B3510E7A63A4}"/>
            </c:ext>
          </c:extLst>
        </c:ser>
        <c:ser>
          <c:idx val="1"/>
          <c:order val="1"/>
          <c:tx>
            <c:strRef>
              <c:f>'Historic IS'!$D$45</c:f>
              <c:strCache>
                <c:ptCount val="1"/>
                <c:pt idx="0">
                  <c:v>B. Working age payments</c:v>
                </c:pt>
              </c:strCache>
            </c:strRef>
          </c:tx>
          <c:spPr>
            <a:solidFill>
              <a:srgbClr val="009644"/>
            </a:solidFill>
            <a:ln>
              <a:noFill/>
            </a:ln>
            <a:effectLst/>
          </c:spPr>
          <c:invertIfNegative val="0"/>
          <c:cat>
            <c:strRef>
              <c:f>'Historic IS'!$B$46:$B$48</c:f>
              <c:strCache>
                <c:ptCount val="2"/>
                <c:pt idx="0">
                  <c:v>Did not receive Age Pension</c:v>
                </c:pt>
                <c:pt idx="1">
                  <c:v>Received Age Pension</c:v>
                </c:pt>
              </c:strCache>
            </c:strRef>
          </c:cat>
          <c:val>
            <c:numRef>
              <c:f>'Historic IS'!$D$46:$D$48</c:f>
              <c:numCache>
                <c:formatCode>0.0</c:formatCode>
                <c:ptCount val="2"/>
                <c:pt idx="0">
                  <c:v>7.7123074934174279E-2</c:v>
                </c:pt>
                <c:pt idx="1">
                  <c:v>1.0886126057342966</c:v>
                </c:pt>
              </c:numCache>
            </c:numRef>
          </c:val>
          <c:extLst>
            <c:ext xmlns:c16="http://schemas.microsoft.com/office/drawing/2014/chart" uri="{C3380CC4-5D6E-409C-BE32-E72D297353CC}">
              <c16:uniqueId val="{00000001-B723-4E93-9286-B3510E7A63A4}"/>
            </c:ext>
          </c:extLst>
        </c:ser>
        <c:ser>
          <c:idx val="2"/>
          <c:order val="2"/>
          <c:tx>
            <c:strRef>
              <c:f>'Historic IS'!$E$45</c:f>
              <c:strCache>
                <c:ptCount val="1"/>
                <c:pt idx="0">
                  <c:v>C. Parenting Payment</c:v>
                </c:pt>
              </c:strCache>
            </c:strRef>
          </c:tx>
          <c:spPr>
            <a:solidFill>
              <a:srgbClr val="E26B0A"/>
            </a:solidFill>
            <a:ln>
              <a:noFill/>
            </a:ln>
            <a:effectLst/>
          </c:spPr>
          <c:invertIfNegative val="0"/>
          <c:cat>
            <c:strRef>
              <c:f>'Historic IS'!$B$46:$B$48</c:f>
              <c:strCache>
                <c:ptCount val="2"/>
                <c:pt idx="0">
                  <c:v>Did not receive Age Pension</c:v>
                </c:pt>
                <c:pt idx="1">
                  <c:v>Received Age Pension</c:v>
                </c:pt>
              </c:strCache>
            </c:strRef>
          </c:cat>
          <c:val>
            <c:numRef>
              <c:f>'Historic IS'!$E$46:$E$48</c:f>
              <c:numCache>
                <c:formatCode>0.0</c:formatCode>
                <c:ptCount val="2"/>
                <c:pt idx="0">
                  <c:v>1.0510995902505728E-3</c:v>
                </c:pt>
                <c:pt idx="1">
                  <c:v>7.6998298228034955E-3</c:v>
                </c:pt>
              </c:numCache>
            </c:numRef>
          </c:val>
          <c:extLst>
            <c:ext xmlns:c16="http://schemas.microsoft.com/office/drawing/2014/chart" uri="{C3380CC4-5D6E-409C-BE32-E72D297353CC}">
              <c16:uniqueId val="{00000002-B723-4E93-9286-B3510E7A63A4}"/>
            </c:ext>
          </c:extLst>
        </c:ser>
        <c:ser>
          <c:idx val="3"/>
          <c:order val="3"/>
          <c:tx>
            <c:strRef>
              <c:f>'Historic IS'!$F$45</c:f>
              <c:strCache>
                <c:ptCount val="1"/>
                <c:pt idx="0">
                  <c:v>D. Carer Payment</c:v>
                </c:pt>
              </c:strCache>
            </c:strRef>
          </c:tx>
          <c:spPr>
            <a:solidFill>
              <a:srgbClr val="FF8BD7"/>
            </a:solidFill>
            <a:ln>
              <a:noFill/>
            </a:ln>
            <a:effectLst/>
          </c:spPr>
          <c:invertIfNegative val="0"/>
          <c:cat>
            <c:strRef>
              <c:f>'Historic IS'!$B$46:$B$48</c:f>
              <c:strCache>
                <c:ptCount val="2"/>
                <c:pt idx="0">
                  <c:v>Did not receive Age Pension</c:v>
                </c:pt>
                <c:pt idx="1">
                  <c:v>Received Age Pension</c:v>
                </c:pt>
              </c:strCache>
            </c:strRef>
          </c:cat>
          <c:val>
            <c:numRef>
              <c:f>'Historic IS'!$F$46:$F$48</c:f>
              <c:numCache>
                <c:formatCode>0.0</c:formatCode>
                <c:ptCount val="2"/>
                <c:pt idx="0">
                  <c:v>0.13760624393680726</c:v>
                </c:pt>
                <c:pt idx="1">
                  <c:v>0.19099579800607103</c:v>
                </c:pt>
              </c:numCache>
            </c:numRef>
          </c:val>
          <c:extLst>
            <c:ext xmlns:c16="http://schemas.microsoft.com/office/drawing/2014/chart" uri="{C3380CC4-5D6E-409C-BE32-E72D297353CC}">
              <c16:uniqueId val="{00000003-B723-4E93-9286-B3510E7A63A4}"/>
            </c:ext>
          </c:extLst>
        </c:ser>
        <c:ser>
          <c:idx val="4"/>
          <c:order val="4"/>
          <c:tx>
            <c:strRef>
              <c:f>'Historic IS'!$G$45</c:f>
              <c:strCache>
                <c:ptCount val="1"/>
                <c:pt idx="0">
                  <c:v>E. DSP</c:v>
                </c:pt>
              </c:strCache>
            </c:strRef>
          </c:tx>
          <c:spPr>
            <a:solidFill>
              <a:srgbClr val="8064A2"/>
            </a:solidFill>
            <a:ln>
              <a:noFill/>
            </a:ln>
            <a:effectLst/>
          </c:spPr>
          <c:invertIfNegative val="0"/>
          <c:dPt>
            <c:idx val="0"/>
            <c:invertIfNegative val="0"/>
            <c:bubble3D val="0"/>
            <c:spPr>
              <a:solidFill>
                <a:srgbClr val="8064A2"/>
              </a:solidFill>
              <a:ln>
                <a:noFill/>
              </a:ln>
              <a:effectLst/>
            </c:spPr>
            <c:extLst>
              <c:ext xmlns:c16="http://schemas.microsoft.com/office/drawing/2014/chart" uri="{C3380CC4-5D6E-409C-BE32-E72D297353CC}">
                <c16:uniqueId val="{00000005-B723-4E93-9286-B3510E7A63A4}"/>
              </c:ext>
            </c:extLst>
          </c:dPt>
          <c:dPt>
            <c:idx val="1"/>
            <c:invertIfNegative val="0"/>
            <c:bubble3D val="0"/>
            <c:spPr>
              <a:solidFill>
                <a:srgbClr val="8064A2"/>
              </a:solidFill>
              <a:ln>
                <a:noFill/>
              </a:ln>
              <a:effectLst/>
            </c:spPr>
            <c:extLst>
              <c:ext xmlns:c16="http://schemas.microsoft.com/office/drawing/2014/chart" uri="{C3380CC4-5D6E-409C-BE32-E72D297353CC}">
                <c16:uniqueId val="{00000007-B723-4E93-9286-B3510E7A63A4}"/>
              </c:ext>
            </c:extLst>
          </c:dPt>
          <c:dLbls>
            <c:dLbl>
              <c:idx val="0"/>
              <c:layout>
                <c:manualLayout>
                  <c:x val="4.5449369729331994E-2"/>
                  <c:y val="-9.7516603976323343E-17"/>
                </c:manualLayout>
              </c:layout>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723-4E93-9286-B3510E7A63A4}"/>
                </c:ext>
              </c:extLst>
            </c:dLbl>
            <c:dLbl>
              <c:idx val="1"/>
              <c:layout>
                <c:manualLayout>
                  <c:x val="8.172800835291047E-2"/>
                  <c:y val="5.3191489361702126E-3"/>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723-4E93-9286-B3510E7A63A4}"/>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'Historic IS'!$B$46:$B$48</c:f>
              <c:strCache>
                <c:ptCount val="2"/>
                <c:pt idx="0">
                  <c:v>Did not receive Age Pension</c:v>
                </c:pt>
                <c:pt idx="1">
                  <c:v>Received Age Pension</c:v>
                </c:pt>
              </c:strCache>
            </c:strRef>
          </c:cat>
          <c:val>
            <c:numRef>
              <c:f>'Historic IS'!$G$46:$G$48</c:f>
              <c:numCache>
                <c:formatCode>0.0</c:formatCode>
                <c:ptCount val="2"/>
                <c:pt idx="0">
                  <c:v>0.33417046605631273</c:v>
                </c:pt>
                <c:pt idx="1">
                  <c:v>0.87392471430122198</c:v>
                </c:pt>
              </c:numCache>
            </c:numRef>
          </c:val>
          <c:extLst>
            <c:ext xmlns:c16="http://schemas.microsoft.com/office/drawing/2014/chart" uri="{C3380CC4-5D6E-409C-BE32-E72D297353CC}">
              <c16:uniqueId val="{00000008-B723-4E93-9286-B3510E7A63A4}"/>
            </c:ext>
          </c:extLst>
        </c:ser>
        <c:ser>
          <c:idx val="5"/>
          <c:order val="5"/>
          <c:tx>
            <c:strRef>
              <c:f>'Historic IS'!$H$45</c:f>
              <c:strCache>
                <c:ptCount val="1"/>
                <c:pt idx="0">
                  <c:v>F. Age Pension</c:v>
                </c:pt>
              </c:strCache>
            </c:strRef>
          </c:tx>
          <c:spPr>
            <a:solidFill>
              <a:schemeClr val="accent6"/>
            </a:solidFill>
            <a:ln>
              <a:noFill/>
            </a:ln>
            <a:effectLst/>
          </c:spPr>
          <c:invertIfNegative val="0"/>
          <c:cat>
            <c:strRef>
              <c:f>'Historic IS'!$B$46:$B$48</c:f>
              <c:strCache>
                <c:ptCount val="2"/>
                <c:pt idx="0">
                  <c:v>Did not receive Age Pension</c:v>
                </c:pt>
                <c:pt idx="1">
                  <c:v>Received Age Pension</c:v>
                </c:pt>
              </c:strCache>
            </c:strRef>
          </c:cat>
          <c:val>
            <c:numRef>
              <c:f>'Historic IS'!$H$46:$H$48</c:f>
              <c:numCache>
                <c:formatCode>0.0</c:formatCode>
                <c:ptCount val="2"/>
                <c:pt idx="0">
                  <c:v>0</c:v>
                </c:pt>
                <c:pt idx="1">
                  <c:v>0</c:v>
                </c:pt>
              </c:numCache>
            </c:numRef>
          </c:val>
          <c:extLst>
            <c:ext xmlns:c16="http://schemas.microsoft.com/office/drawing/2014/chart" uri="{C3380CC4-5D6E-409C-BE32-E72D297353CC}">
              <c16:uniqueId val="{00000009-B723-4E93-9286-B3510E7A63A4}"/>
            </c:ext>
          </c:extLst>
        </c:ser>
        <c:dLbls>
          <c:showLegendKey val="0"/>
          <c:showVal val="0"/>
          <c:showCatName val="0"/>
          <c:showSerName val="0"/>
          <c:showPercent val="0"/>
          <c:showBubbleSize val="0"/>
        </c:dLbls>
        <c:gapWidth val="150"/>
        <c:overlap val="100"/>
        <c:axId val="699589640"/>
        <c:axId val="699591608"/>
      </c:barChart>
      <c:catAx>
        <c:axId val="6995896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Age Pension access in 2021-22</a:t>
                </a:r>
              </a:p>
            </c:rich>
          </c:tx>
          <c:layout>
            <c:manualLayout>
              <c:xMode val="edge"/>
              <c:yMode val="edge"/>
              <c:x val="9.4050679355217291E-3"/>
              <c:y val="3.0621323196669381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699591608"/>
        <c:crosses val="autoZero"/>
        <c:auto val="1"/>
        <c:lblAlgn val="ctr"/>
        <c:lblOffset val="100"/>
        <c:noMultiLvlLbl val="0"/>
      </c:catAx>
      <c:valAx>
        <c:axId val="699591608"/>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Years</a:t>
                </a:r>
              </a:p>
            </c:rich>
          </c:tx>
          <c:layout>
            <c:manualLayout>
              <c:xMode val="edge"/>
              <c:yMode val="edge"/>
              <c:x val="0.66611626876053986"/>
              <c:y val="0.6965009947005033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699589640"/>
        <c:crosses val="autoZero"/>
        <c:crossBetween val="between"/>
        <c:majorUnit val="1"/>
      </c:valAx>
      <c:spPr>
        <a:noFill/>
        <a:ln>
          <a:noFill/>
        </a:ln>
        <a:effectLst/>
      </c:spPr>
    </c:plotArea>
    <c:legend>
      <c:legendPos val="b"/>
      <c:legendEntry>
        <c:idx val="5"/>
        <c:delete val="1"/>
      </c:legendEntry>
      <c:layout>
        <c:manualLayout>
          <c:xMode val="edge"/>
          <c:yMode val="edge"/>
          <c:x val="9.4122325618388632E-3"/>
          <c:y val="0.81658792650918632"/>
          <c:w val="0.9905877674381609"/>
          <c:h val="0.178623011106662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chemeClr val="tx1"/>
          </a:solidFill>
          <a:latin typeface="Arial" panose="020B0604020202020204" pitchFamily="34" charset="0"/>
        </a:defRPr>
      </a:pPr>
      <a:endParaRPr lang="en-US"/>
    </a:p>
  </c:txPr>
  <c:externalData r:id="rId4">
    <c:autoUpdate val="0"/>
  </c:externalData>
  <c:userShapes r:id="rId5"/>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[2022 Retirement v5.xlsx]Historic IS!PivotTable3</c:name>
    <c:fmtId val="-1"/>
  </c:pivotSource>
  <c:chart>
    <c:autoTitleDeleted val="1"/>
    <c:pivotFmts>
      <c:pivotFmt>
        <c:idx val="0"/>
        <c:spPr>
          <a:solidFill>
            <a:srgbClr val="1F497D"/>
          </a:solidFill>
          <a:ln>
            <a:noFill/>
          </a:ln>
          <a:effectLst/>
        </c:spPr>
      </c:pivotFmt>
      <c:pivotFmt>
        <c:idx val="1"/>
        <c:spPr>
          <a:solidFill>
            <a:srgbClr val="009644"/>
          </a:solidFill>
          <a:ln>
            <a:noFill/>
          </a:ln>
          <a:effectLst/>
        </c:spPr>
      </c:pivotFmt>
      <c:pivotFmt>
        <c:idx val="2"/>
        <c:spPr>
          <a:solidFill>
            <a:srgbClr val="E26B0A"/>
          </a:solidFill>
          <a:ln>
            <a:noFill/>
          </a:ln>
          <a:effectLst/>
        </c:spPr>
      </c:pivotFmt>
      <c:pivotFmt>
        <c:idx val="3"/>
        <c:spPr>
          <a:solidFill>
            <a:srgbClr val="E18BD7"/>
          </a:solidFill>
          <a:ln>
            <a:noFill/>
          </a:ln>
          <a:effectLst/>
        </c:spPr>
      </c:pivotFmt>
      <c:pivotFmt>
        <c:idx val="4"/>
        <c:spPr>
          <a:solidFill>
            <a:srgbClr val="8064A2"/>
          </a:solidFill>
          <a:ln>
            <a:noFill/>
          </a:ln>
          <a:effectLst/>
        </c:spPr>
      </c:pivotFmt>
      <c:pivotFmt>
        <c:idx val="5"/>
        <c:spPr>
          <a:solidFill>
            <a:schemeClr val="accent1"/>
          </a:solidFill>
          <a:ln w="28575" cap="rnd">
            <a:noFill/>
            <a:round/>
          </a:ln>
          <a:effectLst/>
        </c:spP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6"/>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7"/>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8"/>
        <c:spPr>
          <a:solidFill>
            <a:schemeClr val="accent1"/>
          </a:solidFill>
          <a:ln w="28575" cap="rnd">
            <a:noFill/>
            <a:round/>
          </a:ln>
          <a:effectLst/>
        </c:spPr>
        <c:marker>
          <c:spPr>
            <a:solidFill>
              <a:schemeClr val="accent1"/>
            </a:solidFill>
            <a:ln w="9525">
              <a:solidFill>
                <a:schemeClr val="accent1"/>
              </a:solidFill>
            </a:ln>
            <a:effectLst/>
          </c:spPr>
        </c:marker>
      </c:pivotFmt>
      <c:pivotFmt>
        <c:idx val="9"/>
      </c:pivotFmt>
      <c:pivotFmt>
        <c:idx val="10"/>
      </c:pivotFmt>
      <c:pivotFmt>
        <c:idx val="11"/>
        <c:spPr>
          <a:solidFill>
            <a:srgbClr val="1F497D"/>
          </a:solidFill>
          <a:ln>
            <a:noFill/>
          </a:ln>
          <a:effectLst/>
        </c:spPr>
        <c:marker>
          <c:spPr>
            <a:solidFill>
              <a:schemeClr val="accent1"/>
            </a:solidFill>
            <a:ln w="9525">
              <a:solidFill>
                <a:schemeClr val="accent1"/>
              </a:solidFill>
            </a:ln>
            <a:effectLst/>
          </c:spPr>
        </c:marker>
      </c:pivotFmt>
      <c:pivotFmt>
        <c:idx val="12"/>
        <c:spPr>
          <a:solidFill>
            <a:srgbClr val="009644"/>
          </a:solidFill>
          <a:ln>
            <a:noFill/>
          </a:ln>
          <a:effectLst/>
        </c:spPr>
        <c:marker>
          <c:spPr>
            <a:solidFill>
              <a:schemeClr val="accent1"/>
            </a:solidFill>
            <a:ln w="9525">
              <a:solidFill>
                <a:schemeClr val="accent1"/>
              </a:solidFill>
            </a:ln>
            <a:effectLst/>
          </c:spPr>
        </c:marker>
      </c:pivotFmt>
      <c:pivotFmt>
        <c:idx val="13"/>
        <c:spPr>
          <a:solidFill>
            <a:srgbClr val="E26B0A"/>
          </a:solidFill>
          <a:ln>
            <a:noFill/>
          </a:ln>
          <a:effectLst/>
        </c:spPr>
        <c:marker>
          <c:spPr>
            <a:solidFill>
              <a:schemeClr val="accent1"/>
            </a:solidFill>
            <a:ln w="9525">
              <a:solidFill>
                <a:schemeClr val="accent1"/>
              </a:solidFill>
            </a:ln>
            <a:effectLst/>
          </c:spPr>
        </c:marker>
      </c:pivotFmt>
      <c:pivotFmt>
        <c:idx val="14"/>
        <c:spPr>
          <a:solidFill>
            <a:srgbClr val="E18BD7"/>
          </a:solidFill>
          <a:ln>
            <a:noFill/>
          </a:ln>
          <a:effectLst/>
        </c:spPr>
        <c:marker>
          <c:spPr>
            <a:solidFill>
              <a:schemeClr val="accent1"/>
            </a:solidFill>
            <a:ln w="9525">
              <a:solidFill>
                <a:schemeClr val="accent1"/>
              </a:solidFill>
            </a:ln>
            <a:effectLst/>
          </c:spPr>
        </c:marker>
      </c:pivotFmt>
      <c:pivotFmt>
        <c:idx val="15"/>
        <c:spPr>
          <a:solidFill>
            <a:srgbClr val="8064A2"/>
          </a:solidFill>
          <a:ln>
            <a:noFill/>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6"/>
        <c:spPr>
          <a:solidFill>
            <a:srgbClr val="8064A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7"/>
        <c:spPr>
          <a:solidFill>
            <a:srgbClr val="8064A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8"/>
        <c:spPr>
          <a:solidFill>
            <a:srgbClr val="1F497D"/>
          </a:solidFill>
          <a:ln>
            <a:noFill/>
          </a:ln>
          <a:effectLst/>
        </c:spPr>
        <c:marker>
          <c:symbol val="none"/>
        </c:marker>
      </c:pivotFmt>
      <c:pivotFmt>
        <c:idx val="19"/>
        <c:spPr>
          <a:solidFill>
            <a:srgbClr val="009644"/>
          </a:solidFill>
          <a:ln>
            <a:noFill/>
          </a:ln>
          <a:effectLst/>
        </c:spPr>
        <c:marker>
          <c:symbol val="none"/>
        </c:marker>
      </c:pivotFmt>
      <c:pivotFmt>
        <c:idx val="20"/>
        <c:spPr>
          <a:solidFill>
            <a:srgbClr val="E26B0A"/>
          </a:solidFill>
          <a:ln>
            <a:noFill/>
          </a:ln>
          <a:effectLst/>
        </c:spPr>
        <c:marker>
          <c:symbol val="none"/>
        </c:marker>
      </c:pivotFmt>
      <c:pivotFmt>
        <c:idx val="21"/>
        <c:spPr>
          <a:solidFill>
            <a:srgbClr val="FF8BD7"/>
          </a:solidFill>
          <a:ln>
            <a:noFill/>
          </a:ln>
          <a:effectLst/>
        </c:spPr>
        <c:marker>
          <c:symbol val="none"/>
        </c:marker>
      </c:pivotFmt>
      <c:pivotFmt>
        <c:idx val="22"/>
        <c:spPr>
          <a:solidFill>
            <a:srgbClr val="8064A2"/>
          </a:solidFill>
          <a:ln>
            <a:noFill/>
          </a:ln>
          <a:effectLst/>
        </c:spPr>
        <c:marker>
          <c:symbol val="none"/>
        </c:marker>
      </c:pivotFmt>
      <c:pivotFmt>
        <c:idx val="23"/>
        <c:spPr>
          <a:solidFill>
            <a:schemeClr val="accent1"/>
          </a:solidFill>
          <a:ln>
            <a:noFill/>
          </a:ln>
          <a:effectLst/>
        </c:spPr>
        <c:marker>
          <c:symbol val="none"/>
        </c:marker>
      </c:pivotFmt>
      <c:pivotFmt>
        <c:idx val="24"/>
        <c:spPr>
          <a:solidFill>
            <a:srgbClr val="1F497D"/>
          </a:solidFill>
          <a:ln>
            <a:noFill/>
          </a:ln>
          <a:effectLst/>
        </c:spPr>
        <c:marker>
          <c:symbol val="none"/>
        </c:marker>
      </c:pivotFmt>
      <c:pivotFmt>
        <c:idx val="25"/>
        <c:spPr>
          <a:solidFill>
            <a:srgbClr val="009644"/>
          </a:solidFill>
          <a:ln>
            <a:noFill/>
          </a:ln>
          <a:effectLst/>
        </c:spPr>
        <c:marker>
          <c:symbol val="none"/>
        </c:marker>
      </c:pivotFmt>
      <c:pivotFmt>
        <c:idx val="26"/>
        <c:spPr>
          <a:solidFill>
            <a:srgbClr val="E26B0A"/>
          </a:solidFill>
          <a:ln>
            <a:noFill/>
          </a:ln>
          <a:effectLst/>
        </c:spPr>
        <c:marker>
          <c:symbol val="none"/>
        </c:marker>
      </c:pivotFmt>
      <c:pivotFmt>
        <c:idx val="27"/>
        <c:spPr>
          <a:solidFill>
            <a:srgbClr val="FF8BD7"/>
          </a:solidFill>
          <a:ln>
            <a:noFill/>
          </a:ln>
          <a:effectLst/>
        </c:spPr>
        <c:marker>
          <c:symbol val="none"/>
        </c:marker>
      </c:pivotFmt>
      <c:pivotFmt>
        <c:idx val="28"/>
        <c:spPr>
          <a:solidFill>
            <a:srgbClr val="8064A2"/>
          </a:solidFill>
          <a:ln>
            <a:noFill/>
          </a:ln>
          <a:effectLst/>
        </c:spPr>
        <c:marker>
          <c:symbol val="none"/>
        </c:marker>
      </c:pivotFmt>
      <c:pivotFmt>
        <c:idx val="29"/>
        <c:spPr>
          <a:solidFill>
            <a:schemeClr val="accent1"/>
          </a:solidFill>
          <a:ln>
            <a:noFill/>
          </a:ln>
          <a:effectLst/>
        </c:spPr>
        <c:marker>
          <c:symbol val="none"/>
        </c:marker>
      </c:pivotFmt>
      <c:pivotFmt>
        <c:idx val="30"/>
        <c:spPr>
          <a:solidFill>
            <a:srgbClr val="8064A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rgbClr val="8064A2"/>
          </a:solidFill>
          <a:ln>
            <a:noFill/>
          </a:ln>
          <a:effectLst/>
        </c:spPr>
        <c:dLbl>
          <c:idx val="0"/>
          <c:layout>
            <c:manualLayout>
              <c:x val="0.1"/>
              <c:y val="-2.121889068003332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2"/>
        <c:spPr>
          <a:solidFill>
            <a:srgbClr val="8064A2"/>
          </a:solidFill>
          <a:ln>
            <a:noFill/>
          </a:ln>
          <a:effectLst/>
        </c:spPr>
        <c:dLbl>
          <c:idx val="0"/>
          <c:layout>
            <c:manualLayout>
              <c:x val="6.1111111111111109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3"/>
        <c:spPr>
          <a:solidFill>
            <a:srgbClr val="1F497D"/>
          </a:solidFill>
          <a:ln>
            <a:noFill/>
          </a:ln>
          <a:effectLst/>
        </c:spPr>
        <c:marker>
          <c:symbol val="none"/>
        </c:marker>
      </c:pivotFmt>
      <c:pivotFmt>
        <c:idx val="34"/>
        <c:spPr>
          <a:solidFill>
            <a:srgbClr val="009644"/>
          </a:solidFill>
          <a:ln>
            <a:noFill/>
          </a:ln>
          <a:effectLst/>
        </c:spPr>
        <c:marker>
          <c:symbol val="none"/>
        </c:marker>
      </c:pivotFmt>
      <c:pivotFmt>
        <c:idx val="35"/>
        <c:spPr>
          <a:solidFill>
            <a:srgbClr val="E26B0A"/>
          </a:solidFill>
          <a:ln>
            <a:noFill/>
          </a:ln>
          <a:effectLst/>
        </c:spPr>
        <c:marker>
          <c:symbol val="none"/>
        </c:marker>
      </c:pivotFmt>
      <c:pivotFmt>
        <c:idx val="36"/>
        <c:spPr>
          <a:solidFill>
            <a:srgbClr val="FF8BD7"/>
          </a:solidFill>
          <a:ln>
            <a:noFill/>
          </a:ln>
          <a:effectLst/>
        </c:spPr>
        <c:marker>
          <c:symbol val="none"/>
        </c:marker>
      </c:pivotFmt>
      <c:pivotFmt>
        <c:idx val="37"/>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8"/>
        <c:dLbl>
          <c:idx val="0"/>
          <c:layout>
            <c:manualLayout>
              <c:x val="6.1111111111111109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9"/>
        <c:dLbl>
          <c:idx val="0"/>
          <c:layout>
            <c:manualLayout>
              <c:x val="0.1"/>
              <c:y val="-2.121889068003332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pivotFmt>
      <c:pivotFmt>
        <c:idx val="41"/>
        <c:spPr>
          <a:solidFill>
            <a:srgbClr val="1F497D"/>
          </a:solidFill>
          <a:ln>
            <a:noFill/>
          </a:ln>
          <a:effectLst/>
        </c:spPr>
        <c:marker>
          <c:symbol val="none"/>
        </c:marker>
      </c:pivotFmt>
      <c:pivotFmt>
        <c:idx val="42"/>
        <c:spPr>
          <a:solidFill>
            <a:srgbClr val="009644"/>
          </a:solidFill>
          <a:ln>
            <a:noFill/>
          </a:ln>
          <a:effectLst/>
        </c:spPr>
        <c:marker>
          <c:symbol val="none"/>
        </c:marker>
      </c:pivotFmt>
      <c:pivotFmt>
        <c:idx val="43"/>
        <c:spPr>
          <a:solidFill>
            <a:srgbClr val="E26B0A"/>
          </a:solidFill>
          <a:ln>
            <a:noFill/>
          </a:ln>
          <a:effectLst/>
        </c:spPr>
        <c:marker>
          <c:symbol val="none"/>
        </c:marker>
      </c:pivotFmt>
      <c:pivotFmt>
        <c:idx val="44"/>
        <c:spPr>
          <a:solidFill>
            <a:srgbClr val="FF8BD7"/>
          </a:solidFill>
          <a:ln>
            <a:noFill/>
          </a:ln>
          <a:effectLst/>
        </c:spPr>
        <c:marker>
          <c:symbol val="none"/>
        </c:marker>
      </c:pivotFmt>
      <c:pivotFmt>
        <c:idx val="45"/>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6"/>
        <c:dLbl>
          <c:idx val="0"/>
          <c:layout>
            <c:manualLayout>
              <c:x val="6.1111111111111109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47"/>
        <c:dLbl>
          <c:idx val="0"/>
          <c:layout>
            <c:manualLayout>
              <c:x val="0.1"/>
              <c:y val="-2.121889068003332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pivotFmt>
      <c:pivotFmt>
        <c:idx val="49"/>
        <c:spPr>
          <a:solidFill>
            <a:srgbClr val="8064A2"/>
          </a:solidFill>
          <a:ln>
            <a:noFill/>
          </a:ln>
          <a:effectLst/>
        </c:spPr>
        <c:dLbl>
          <c:idx val="0"/>
          <c:layout>
            <c:manualLayout>
              <c:x val="0.11666666666666667"/>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50"/>
        <c:spPr>
          <a:solidFill>
            <a:srgbClr val="1F497D"/>
          </a:solidFill>
          <a:ln>
            <a:noFill/>
          </a:ln>
          <a:effectLst/>
        </c:spPr>
        <c:marker>
          <c:symbol val="none"/>
        </c:marker>
      </c:pivotFmt>
      <c:pivotFmt>
        <c:idx val="51"/>
        <c:spPr>
          <a:solidFill>
            <a:srgbClr val="009644"/>
          </a:solidFill>
          <a:ln>
            <a:noFill/>
          </a:ln>
          <a:effectLst/>
        </c:spPr>
        <c:marker>
          <c:symbol val="none"/>
        </c:marker>
      </c:pivotFmt>
      <c:pivotFmt>
        <c:idx val="52"/>
        <c:spPr>
          <a:solidFill>
            <a:srgbClr val="E26B0A"/>
          </a:solidFill>
          <a:ln>
            <a:noFill/>
          </a:ln>
          <a:effectLst/>
        </c:spPr>
        <c:marker>
          <c:symbol val="none"/>
        </c:marker>
      </c:pivotFmt>
      <c:pivotFmt>
        <c:idx val="53"/>
        <c:spPr>
          <a:solidFill>
            <a:srgbClr val="FF8BD7"/>
          </a:solidFill>
          <a:ln>
            <a:noFill/>
          </a:ln>
          <a:effectLst/>
        </c:spPr>
        <c:marker>
          <c:symbol val="none"/>
        </c:marker>
      </c:pivotFmt>
      <c:pivotFmt>
        <c:idx val="54"/>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5"/>
        <c:spPr>
          <a:solidFill>
            <a:srgbClr val="8064A2"/>
          </a:solidFill>
          <a:ln>
            <a:noFill/>
          </a:ln>
          <a:effectLst/>
        </c:spPr>
        <c:dLbl>
          <c:idx val="0"/>
          <c:layout>
            <c:manualLayout>
              <c:x val="6.1111111111111109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56"/>
        <c:spPr>
          <a:solidFill>
            <a:schemeClr val="accent1"/>
          </a:solidFill>
          <a:ln>
            <a:noFill/>
          </a:ln>
          <a:effectLst/>
        </c:spPr>
        <c:marker>
          <c:symbol val="none"/>
        </c:marker>
      </c:pivotFmt>
      <c:pivotFmt>
        <c:idx val="57"/>
        <c:spPr>
          <a:solidFill>
            <a:srgbClr val="1F497D"/>
          </a:solidFill>
          <a:ln>
            <a:noFill/>
          </a:ln>
          <a:effectLst/>
        </c:spPr>
        <c:marker>
          <c:symbol val="none"/>
        </c:marker>
      </c:pivotFmt>
      <c:pivotFmt>
        <c:idx val="58"/>
        <c:spPr>
          <a:solidFill>
            <a:srgbClr val="009644"/>
          </a:solidFill>
          <a:ln>
            <a:noFill/>
          </a:ln>
          <a:effectLst/>
        </c:spPr>
        <c:marker>
          <c:symbol val="none"/>
        </c:marker>
      </c:pivotFmt>
      <c:pivotFmt>
        <c:idx val="59"/>
        <c:spPr>
          <a:solidFill>
            <a:srgbClr val="E26B0A"/>
          </a:solidFill>
          <a:ln>
            <a:noFill/>
          </a:ln>
          <a:effectLst/>
        </c:spPr>
        <c:marker>
          <c:symbol val="none"/>
        </c:marker>
      </c:pivotFmt>
      <c:pivotFmt>
        <c:idx val="60"/>
        <c:spPr>
          <a:solidFill>
            <a:srgbClr val="FF8BD7"/>
          </a:solidFill>
          <a:ln>
            <a:noFill/>
          </a:ln>
          <a:effectLst/>
        </c:spPr>
        <c:marker>
          <c:symbol val="none"/>
        </c:marker>
      </c:pivotFmt>
      <c:pivotFmt>
        <c:idx val="61"/>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2"/>
        <c:spPr>
          <a:solidFill>
            <a:srgbClr val="8064A2"/>
          </a:solidFill>
          <a:ln>
            <a:noFill/>
          </a:ln>
          <a:effectLst/>
        </c:spPr>
        <c:dLbl>
          <c:idx val="0"/>
          <c:layout>
            <c:manualLayout>
              <c:x val="6.1111111111111109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63"/>
        <c:spPr>
          <a:solidFill>
            <a:srgbClr val="8064A2"/>
          </a:solidFill>
          <a:ln>
            <a:noFill/>
          </a:ln>
          <a:effectLst/>
        </c:spPr>
        <c:dLbl>
          <c:idx val="0"/>
          <c:layout>
            <c:manualLayout>
              <c:x val="0.11666666666666667"/>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64"/>
        <c:spPr>
          <a:solidFill>
            <a:schemeClr val="accent1"/>
          </a:solidFill>
          <a:ln>
            <a:noFill/>
          </a:ln>
          <a:effectLst/>
        </c:spPr>
        <c:marker>
          <c:symbol val="none"/>
        </c:marker>
      </c:pivotFmt>
      <c:pivotFmt>
        <c:idx val="65"/>
        <c:spPr>
          <a:solidFill>
            <a:srgbClr val="1F497D"/>
          </a:solidFill>
          <a:ln>
            <a:noFill/>
          </a:ln>
          <a:effectLst/>
        </c:spPr>
        <c:marker>
          <c:symbol val="none"/>
        </c:marker>
      </c:pivotFmt>
      <c:pivotFmt>
        <c:idx val="66"/>
        <c:spPr>
          <a:solidFill>
            <a:srgbClr val="009644"/>
          </a:solidFill>
          <a:ln>
            <a:noFill/>
          </a:ln>
          <a:effectLst/>
        </c:spPr>
        <c:marker>
          <c:symbol val="none"/>
        </c:marker>
      </c:pivotFmt>
      <c:pivotFmt>
        <c:idx val="67"/>
        <c:spPr>
          <a:solidFill>
            <a:srgbClr val="E26B0A"/>
          </a:solidFill>
          <a:ln>
            <a:noFill/>
          </a:ln>
          <a:effectLst/>
        </c:spPr>
        <c:marker>
          <c:symbol val="none"/>
        </c:marker>
      </c:pivotFmt>
      <c:pivotFmt>
        <c:idx val="68"/>
        <c:spPr>
          <a:solidFill>
            <a:srgbClr val="FF8BD7"/>
          </a:solidFill>
          <a:ln>
            <a:noFill/>
          </a:ln>
          <a:effectLst/>
        </c:spPr>
        <c:marker>
          <c:symbol val="none"/>
        </c:marker>
      </c:pivotFmt>
      <c:pivotFmt>
        <c:idx val="69"/>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0"/>
        <c:spPr>
          <a:solidFill>
            <a:srgbClr val="8064A2"/>
          </a:solidFill>
          <a:ln>
            <a:noFill/>
          </a:ln>
          <a:effectLst/>
        </c:spPr>
        <c:dLbl>
          <c:idx val="0"/>
          <c:layout>
            <c:manualLayout>
              <c:x val="6.1111111111111109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71"/>
        <c:spPr>
          <a:solidFill>
            <a:srgbClr val="8064A2"/>
          </a:solidFill>
          <a:ln>
            <a:noFill/>
          </a:ln>
          <a:effectLst/>
        </c:spPr>
        <c:dLbl>
          <c:idx val="0"/>
          <c:layout>
            <c:manualLayout>
              <c:x val="0.11666666666666667"/>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72"/>
        <c:spPr>
          <a:solidFill>
            <a:schemeClr val="accent1"/>
          </a:solidFill>
          <a:ln>
            <a:noFill/>
          </a:ln>
          <a:effectLst/>
        </c:spPr>
        <c:marker>
          <c:symbol val="none"/>
        </c:marker>
      </c:pivotFmt>
      <c:pivotFmt>
        <c:idx val="73"/>
        <c:spPr>
          <a:solidFill>
            <a:srgbClr val="1F497D"/>
          </a:solidFill>
          <a:ln>
            <a:noFill/>
          </a:ln>
          <a:effectLst/>
        </c:spPr>
        <c:marker>
          <c:symbol val="none"/>
        </c:marker>
      </c:pivotFmt>
      <c:pivotFmt>
        <c:idx val="74"/>
        <c:spPr>
          <a:solidFill>
            <a:srgbClr val="009644"/>
          </a:solidFill>
          <a:ln>
            <a:noFill/>
          </a:ln>
          <a:effectLst/>
        </c:spPr>
        <c:marker>
          <c:symbol val="none"/>
        </c:marker>
      </c:pivotFmt>
      <c:pivotFmt>
        <c:idx val="75"/>
        <c:spPr>
          <a:solidFill>
            <a:srgbClr val="E26B0A"/>
          </a:solidFill>
          <a:ln>
            <a:noFill/>
          </a:ln>
          <a:effectLst/>
        </c:spPr>
        <c:marker>
          <c:symbol val="none"/>
        </c:marker>
      </c:pivotFmt>
      <c:pivotFmt>
        <c:idx val="76"/>
        <c:spPr>
          <a:solidFill>
            <a:srgbClr val="FF8BD7"/>
          </a:solidFill>
          <a:ln>
            <a:noFill/>
          </a:ln>
          <a:effectLst/>
        </c:spPr>
        <c:marker>
          <c:symbol val="none"/>
        </c:marker>
      </c:pivotFmt>
      <c:pivotFmt>
        <c:idx val="77"/>
        <c:spPr>
          <a:solidFill>
            <a:srgbClr val="8064A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8"/>
        <c:spPr>
          <a:solidFill>
            <a:srgbClr val="8064A2"/>
          </a:solidFill>
          <a:ln>
            <a:noFill/>
          </a:ln>
          <a:effectLst/>
        </c:spPr>
        <c:dLbl>
          <c:idx val="0"/>
          <c:layout>
            <c:manualLayout>
              <c:x val="4.6898022062985184E-2"/>
              <c:y val="0"/>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0.7</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79"/>
        <c:spPr>
          <a:solidFill>
            <a:srgbClr val="8064A2"/>
          </a:solidFill>
          <a:ln>
            <a:noFill/>
          </a:ln>
          <a:effectLst/>
        </c:spPr>
        <c:dLbl>
          <c:idx val="0"/>
          <c:layout>
            <c:manualLayout>
              <c:x val="0.10419190350309596"/>
              <c:y val="-2.4956604339162525E-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1.9</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0"/>
        <c:spPr>
          <a:solidFill>
            <a:schemeClr val="accent1"/>
          </a:solidFill>
          <a:ln>
            <a:noFill/>
          </a:ln>
          <a:effectLst/>
        </c:spPr>
        <c:marker>
          <c:symbol val="none"/>
        </c:marker>
      </c:pivotFmt>
      <c:pivotFmt>
        <c:idx val="81"/>
        <c:spPr>
          <a:solidFill>
            <a:srgbClr val="1F497D"/>
          </a:solidFill>
          <a:ln>
            <a:noFill/>
          </a:ln>
          <a:effectLst/>
        </c:spPr>
        <c:marker>
          <c:symbol val="none"/>
        </c:marker>
      </c:pivotFmt>
      <c:pivotFmt>
        <c:idx val="82"/>
        <c:spPr>
          <a:solidFill>
            <a:srgbClr val="009644"/>
          </a:solidFill>
          <a:ln>
            <a:noFill/>
          </a:ln>
          <a:effectLst/>
        </c:spPr>
        <c:marker>
          <c:symbol val="none"/>
        </c:marker>
      </c:pivotFmt>
      <c:pivotFmt>
        <c:idx val="83"/>
        <c:spPr>
          <a:solidFill>
            <a:srgbClr val="E26B0A"/>
          </a:solidFill>
          <a:ln>
            <a:noFill/>
          </a:ln>
          <a:effectLst/>
        </c:spPr>
        <c:marker>
          <c:symbol val="none"/>
        </c:marker>
      </c:pivotFmt>
      <c:pivotFmt>
        <c:idx val="84"/>
        <c:spPr>
          <a:solidFill>
            <a:srgbClr val="FF8BD7"/>
          </a:solidFill>
          <a:ln>
            <a:noFill/>
          </a:ln>
          <a:effectLst/>
        </c:spPr>
        <c:marker>
          <c:symbol val="none"/>
        </c:marker>
      </c:pivotFmt>
      <c:pivotFmt>
        <c:idx val="85"/>
        <c:spPr>
          <a:solidFill>
            <a:srgbClr val="8064A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6"/>
        <c:spPr>
          <a:solidFill>
            <a:srgbClr val="8064A2"/>
          </a:solidFill>
          <a:ln>
            <a:noFill/>
          </a:ln>
          <a:effectLst/>
        </c:spPr>
        <c:dLbl>
          <c:idx val="0"/>
          <c:layout>
            <c:manualLayout>
              <c:x val="4.6898022062985184E-2"/>
              <c:y val="0"/>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0.7</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7"/>
        <c:spPr>
          <a:solidFill>
            <a:srgbClr val="8064A2"/>
          </a:solidFill>
          <a:ln>
            <a:noFill/>
          </a:ln>
          <a:effectLst/>
        </c:spPr>
        <c:dLbl>
          <c:idx val="0"/>
          <c:layout>
            <c:manualLayout>
              <c:x val="0.10419190350309596"/>
              <c:y val="-2.4956604339162525E-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1.9</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8"/>
        <c:spPr>
          <a:solidFill>
            <a:schemeClr val="accent1"/>
          </a:solidFill>
          <a:ln>
            <a:noFill/>
          </a:ln>
          <a:effectLst/>
        </c:spPr>
        <c:marker>
          <c:symbol val="none"/>
        </c:marker>
      </c:pivotFmt>
      <c:pivotFmt>
        <c:idx val="89"/>
        <c:spPr>
          <a:solidFill>
            <a:srgbClr val="1F497D"/>
          </a:solidFill>
          <a:ln>
            <a:noFill/>
          </a:ln>
          <a:effectLst/>
        </c:spPr>
        <c:marker>
          <c:symbol val="none"/>
        </c:marker>
      </c:pivotFmt>
      <c:pivotFmt>
        <c:idx val="90"/>
        <c:spPr>
          <a:solidFill>
            <a:srgbClr val="009644"/>
          </a:solidFill>
          <a:ln>
            <a:noFill/>
          </a:ln>
          <a:effectLst/>
        </c:spPr>
        <c:marker>
          <c:symbol val="none"/>
        </c:marker>
      </c:pivotFmt>
      <c:pivotFmt>
        <c:idx val="91"/>
        <c:spPr>
          <a:solidFill>
            <a:srgbClr val="E26B0A"/>
          </a:solidFill>
          <a:ln>
            <a:noFill/>
          </a:ln>
          <a:effectLst/>
        </c:spPr>
        <c:marker>
          <c:symbol val="none"/>
        </c:marker>
      </c:pivotFmt>
      <c:pivotFmt>
        <c:idx val="92"/>
        <c:spPr>
          <a:solidFill>
            <a:srgbClr val="FF8BD7"/>
          </a:solidFill>
          <a:ln>
            <a:noFill/>
          </a:ln>
          <a:effectLst/>
        </c:spPr>
        <c:marker>
          <c:symbol val="none"/>
        </c:marker>
      </c:pivotFmt>
      <c:pivotFmt>
        <c:idx val="93"/>
        <c:spPr>
          <a:solidFill>
            <a:srgbClr val="8064A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4"/>
        <c:spPr>
          <a:solidFill>
            <a:srgbClr val="8064A2"/>
          </a:solidFill>
          <a:ln>
            <a:noFill/>
          </a:ln>
          <a:effectLst/>
        </c:spPr>
        <c:dLbl>
          <c:idx val="0"/>
          <c:layout>
            <c:manualLayout>
              <c:x val="4.6898022062985184E-2"/>
              <c:y val="0"/>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0.7</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95"/>
        <c:spPr>
          <a:solidFill>
            <a:srgbClr val="8064A2"/>
          </a:solidFill>
          <a:ln>
            <a:noFill/>
          </a:ln>
          <a:effectLst/>
        </c:spPr>
        <c:dLbl>
          <c:idx val="0"/>
          <c:layout>
            <c:manualLayout>
              <c:x val="0.10419190350309596"/>
              <c:y val="-2.4956604339162525E-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1.9</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96"/>
        <c:spPr>
          <a:solidFill>
            <a:schemeClr val="accent1"/>
          </a:solidFill>
          <a:ln>
            <a:noFill/>
          </a:ln>
          <a:effectLst/>
        </c:spPr>
        <c:marker>
          <c:symbol val="none"/>
        </c:marker>
      </c:pivotFmt>
    </c:pivotFmts>
    <c:plotArea>
      <c:layout>
        <c:manualLayout>
          <c:layoutTarget val="inner"/>
          <c:xMode val="edge"/>
          <c:yMode val="edge"/>
          <c:x val="0.23051108762808442"/>
          <c:y val="7.364659325016989E-3"/>
          <c:w val="0.74435942457067916"/>
          <c:h val="0.53275697680647072"/>
        </c:manualLayout>
      </c:layout>
      <c:barChart>
        <c:barDir val="bar"/>
        <c:grouping val="stacked"/>
        <c:varyColors val="0"/>
        <c:ser>
          <c:idx val="0"/>
          <c:order val="0"/>
          <c:tx>
            <c:strRef>
              <c:f>'Historic IS'!$C$25</c:f>
              <c:strCache>
                <c:ptCount val="1"/>
                <c:pt idx="0">
                  <c:v>A. Studying payments</c:v>
                </c:pt>
              </c:strCache>
            </c:strRef>
          </c:tx>
          <c:spPr>
            <a:solidFill>
              <a:srgbClr val="1F497D"/>
            </a:solidFill>
            <a:ln>
              <a:noFill/>
            </a:ln>
            <a:effectLst/>
          </c:spPr>
          <c:invertIfNegative val="0"/>
          <c:cat>
            <c:strRef>
              <c:f>'Historic IS'!$B$26:$B$28</c:f>
              <c:strCache>
                <c:ptCount val="2"/>
                <c:pt idx="0">
                  <c:v>Partnered</c:v>
                </c:pt>
                <c:pt idx="1">
                  <c:v>Single</c:v>
                </c:pt>
              </c:strCache>
            </c:strRef>
          </c:cat>
          <c:val>
            <c:numRef>
              <c:f>'Historic IS'!$C$26:$C$28</c:f>
              <c:numCache>
                <c:formatCode>0.0</c:formatCode>
                <c:ptCount val="2"/>
                <c:pt idx="0">
                  <c:v>1.1313714326907289E-3</c:v>
                </c:pt>
                <c:pt idx="1">
                  <c:v>2.9247552758564326E-3</c:v>
                </c:pt>
              </c:numCache>
            </c:numRef>
          </c:val>
          <c:extLst>
            <c:ext xmlns:c16="http://schemas.microsoft.com/office/drawing/2014/chart" uri="{C3380CC4-5D6E-409C-BE32-E72D297353CC}">
              <c16:uniqueId val="{00000000-6759-4B56-9514-93EB0AAE1C49}"/>
            </c:ext>
          </c:extLst>
        </c:ser>
        <c:ser>
          <c:idx val="1"/>
          <c:order val="1"/>
          <c:tx>
            <c:strRef>
              <c:f>'Historic IS'!$D$25</c:f>
              <c:strCache>
                <c:ptCount val="1"/>
                <c:pt idx="0">
                  <c:v>B. Working age payments</c:v>
                </c:pt>
              </c:strCache>
            </c:strRef>
          </c:tx>
          <c:spPr>
            <a:solidFill>
              <a:srgbClr val="009644"/>
            </a:solidFill>
            <a:ln>
              <a:noFill/>
            </a:ln>
            <a:effectLst/>
          </c:spPr>
          <c:invertIfNegative val="0"/>
          <c:cat>
            <c:strRef>
              <c:f>'Historic IS'!$B$26:$B$28</c:f>
              <c:strCache>
                <c:ptCount val="2"/>
                <c:pt idx="0">
                  <c:v>Partnered</c:v>
                </c:pt>
                <c:pt idx="1">
                  <c:v>Single</c:v>
                </c:pt>
              </c:strCache>
            </c:strRef>
          </c:cat>
          <c:val>
            <c:numRef>
              <c:f>'Historic IS'!$D$26:$D$28</c:f>
              <c:numCache>
                <c:formatCode>0.0</c:formatCode>
                <c:ptCount val="2"/>
                <c:pt idx="0">
                  <c:v>0.25518671406097926</c:v>
                </c:pt>
                <c:pt idx="1">
                  <c:v>0.70752694994511522</c:v>
                </c:pt>
              </c:numCache>
            </c:numRef>
          </c:val>
          <c:extLst>
            <c:ext xmlns:c16="http://schemas.microsoft.com/office/drawing/2014/chart" uri="{C3380CC4-5D6E-409C-BE32-E72D297353CC}">
              <c16:uniqueId val="{00000001-6759-4B56-9514-93EB0AAE1C49}"/>
            </c:ext>
          </c:extLst>
        </c:ser>
        <c:ser>
          <c:idx val="2"/>
          <c:order val="2"/>
          <c:tx>
            <c:strRef>
              <c:f>'Historic IS'!$E$25</c:f>
              <c:strCache>
                <c:ptCount val="1"/>
                <c:pt idx="0">
                  <c:v>C. Parenting Payment</c:v>
                </c:pt>
              </c:strCache>
            </c:strRef>
          </c:tx>
          <c:spPr>
            <a:solidFill>
              <a:srgbClr val="E26B0A"/>
            </a:solidFill>
            <a:ln>
              <a:noFill/>
            </a:ln>
            <a:effectLst/>
          </c:spPr>
          <c:invertIfNegative val="0"/>
          <c:cat>
            <c:strRef>
              <c:f>'Historic IS'!$B$26:$B$28</c:f>
              <c:strCache>
                <c:ptCount val="2"/>
                <c:pt idx="0">
                  <c:v>Partnered</c:v>
                </c:pt>
                <c:pt idx="1">
                  <c:v>Single</c:v>
                </c:pt>
              </c:strCache>
            </c:strRef>
          </c:cat>
          <c:val>
            <c:numRef>
              <c:f>'Historic IS'!$E$26:$E$28</c:f>
              <c:numCache>
                <c:formatCode>0.0</c:formatCode>
                <c:ptCount val="2"/>
                <c:pt idx="0">
                  <c:v>1.171614159239295E-3</c:v>
                </c:pt>
                <c:pt idx="1">
                  <c:v>7.3027334113453368E-3</c:v>
                </c:pt>
              </c:numCache>
            </c:numRef>
          </c:val>
          <c:extLst>
            <c:ext xmlns:c16="http://schemas.microsoft.com/office/drawing/2014/chart" uri="{C3380CC4-5D6E-409C-BE32-E72D297353CC}">
              <c16:uniqueId val="{00000002-6759-4B56-9514-93EB0AAE1C49}"/>
            </c:ext>
          </c:extLst>
        </c:ser>
        <c:ser>
          <c:idx val="3"/>
          <c:order val="3"/>
          <c:tx>
            <c:strRef>
              <c:f>'Historic IS'!$F$25</c:f>
              <c:strCache>
                <c:ptCount val="1"/>
                <c:pt idx="0">
                  <c:v>D. Carer Payment</c:v>
                </c:pt>
              </c:strCache>
            </c:strRef>
          </c:tx>
          <c:spPr>
            <a:solidFill>
              <a:srgbClr val="FF8BD7"/>
            </a:solidFill>
            <a:ln>
              <a:noFill/>
            </a:ln>
            <a:effectLst/>
          </c:spPr>
          <c:invertIfNegative val="0"/>
          <c:dLbls>
            <c:dLbl>
              <c:idx val="0"/>
              <c:layout>
                <c:manualLayout>
                  <c:x val="-2.9397637216559431E-3"/>
                  <c:y val="-8.6784699249871908E-2"/>
                </c:manualLayout>
              </c:layout>
              <c:tx>
                <c:rich>
                  <a:bodyPr/>
                  <a:lstStyle/>
                  <a:p>
                    <a:r>
                      <a:rPr lang="en-US"/>
                      <a:t>ABCD E</a:t>
                    </a:r>
                  </a:p>
                </c:rich>
              </c:tx>
              <c:showLegendKey val="0"/>
              <c:showVal val="1"/>
              <c:showCatName val="0"/>
              <c:showSerName val="0"/>
              <c:showPercent val="0"/>
              <c:showBubbleSize val="0"/>
              <c:extLst>
                <c:ext xmlns:c15="http://schemas.microsoft.com/office/drawing/2012/chart" uri="{CE6537A1-D6FC-4f65-9D91-7224C49458BB}">
                  <c15:layout>
                    <c:manualLayout>
                      <c:w val="0.10976028408032118"/>
                      <c:h val="9.6213328363540337E-2"/>
                    </c:manualLayout>
                  </c15:layout>
                  <c15:showDataLabelsRange val="0"/>
                </c:ext>
                <c:ext xmlns:c16="http://schemas.microsoft.com/office/drawing/2014/chart" uri="{C3380CC4-5D6E-409C-BE32-E72D297353CC}">
                  <c16:uniqueId val="{00000005-B6DB-4B9F-AA5B-49982D90588E}"/>
                </c:ext>
              </c:extLst>
            </c:dLbl>
            <c:dLbl>
              <c:idx val="1"/>
              <c:layout>
                <c:manualLayout>
                  <c:x val="-1.3229457592238718E-2"/>
                  <c:y val="-8.678532047399401E-2"/>
                </c:manualLayout>
              </c:layout>
              <c:tx>
                <c:rich>
                  <a:bodyPr/>
                  <a:lstStyle/>
                  <a:p>
                    <a:r>
                      <a:rPr lang="en-US"/>
                      <a:t>A     B     CD          E</a:t>
                    </a:r>
                  </a:p>
                </c:rich>
              </c:tx>
              <c:showLegendKey val="0"/>
              <c:showVal val="1"/>
              <c:showCatName val="0"/>
              <c:showSerName val="0"/>
              <c:showPercent val="0"/>
              <c:showBubbleSize val="0"/>
              <c:extLst>
                <c:ext xmlns:c15="http://schemas.microsoft.com/office/drawing/2012/chart" uri="{CE6537A1-D6FC-4f65-9D91-7224C49458BB}">
                  <c15:layout>
                    <c:manualLayout>
                      <c:w val="0.287241038865438"/>
                      <c:h val="9.6213328363540337E-2"/>
                    </c:manualLayout>
                  </c15:layout>
                  <c15:showDataLabelsRange val="0"/>
                </c:ext>
                <c:ext xmlns:c16="http://schemas.microsoft.com/office/drawing/2014/chart" uri="{C3380CC4-5D6E-409C-BE32-E72D297353CC}">
                  <c16:uniqueId val="{00000004-B6DB-4B9F-AA5B-49982D90588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'Historic IS'!$B$26:$B$28</c:f>
              <c:strCache>
                <c:ptCount val="2"/>
                <c:pt idx="0">
                  <c:v>Partnered</c:v>
                </c:pt>
                <c:pt idx="1">
                  <c:v>Single</c:v>
                </c:pt>
              </c:strCache>
            </c:strRef>
          </c:cat>
          <c:val>
            <c:numRef>
              <c:f>'Historic IS'!$F$26:$F$28</c:f>
              <c:numCache>
                <c:formatCode>0.0</c:formatCode>
                <c:ptCount val="2"/>
                <c:pt idx="0">
                  <c:v>0.14413505904498861</c:v>
                </c:pt>
                <c:pt idx="1">
                  <c:v>0.17664262555415824</c:v>
                </c:pt>
              </c:numCache>
            </c:numRef>
          </c:val>
          <c:extLst>
            <c:ext xmlns:c16="http://schemas.microsoft.com/office/drawing/2014/chart" uri="{C3380CC4-5D6E-409C-BE32-E72D297353CC}">
              <c16:uniqueId val="{00000003-6759-4B56-9514-93EB0AAE1C49}"/>
            </c:ext>
          </c:extLst>
        </c:ser>
        <c:ser>
          <c:idx val="4"/>
          <c:order val="4"/>
          <c:tx>
            <c:strRef>
              <c:f>'Historic IS'!$G$25</c:f>
              <c:strCache>
                <c:ptCount val="1"/>
                <c:pt idx="0">
                  <c:v>E. DSP</c:v>
                </c:pt>
              </c:strCache>
            </c:strRef>
          </c:tx>
          <c:spPr>
            <a:solidFill>
              <a:srgbClr val="8064A2"/>
            </a:solidFill>
            <a:ln>
              <a:noFill/>
            </a:ln>
            <a:effectLst/>
          </c:spPr>
          <c:invertIfNegative val="0"/>
          <c:dPt>
            <c:idx val="0"/>
            <c:invertIfNegative val="0"/>
            <c:bubble3D val="0"/>
            <c:spPr>
              <a:solidFill>
                <a:srgbClr val="8064A2"/>
              </a:solidFill>
              <a:ln>
                <a:noFill/>
              </a:ln>
              <a:effectLst/>
            </c:spPr>
            <c:extLst>
              <c:ext xmlns:c16="http://schemas.microsoft.com/office/drawing/2014/chart" uri="{C3380CC4-5D6E-409C-BE32-E72D297353CC}">
                <c16:uniqueId val="{00000005-6759-4B56-9514-93EB0AAE1C49}"/>
              </c:ext>
            </c:extLst>
          </c:dPt>
          <c:dPt>
            <c:idx val="1"/>
            <c:invertIfNegative val="0"/>
            <c:bubble3D val="0"/>
            <c:spPr>
              <a:solidFill>
                <a:srgbClr val="8064A2"/>
              </a:solidFill>
              <a:ln>
                <a:noFill/>
              </a:ln>
              <a:effectLst/>
            </c:spPr>
            <c:extLst>
              <c:ext xmlns:c16="http://schemas.microsoft.com/office/drawing/2014/chart" uri="{C3380CC4-5D6E-409C-BE32-E72D297353CC}">
                <c16:uniqueId val="{00000007-6759-4B56-9514-93EB0AAE1C49}"/>
              </c:ext>
            </c:extLst>
          </c:dPt>
          <c:dLbls>
            <c:dLbl>
              <c:idx val="0"/>
              <c:layout>
                <c:manualLayout>
                  <c:x val="4.6898022062985184E-2"/>
                  <c:y val="0"/>
                </c:manualLayout>
              </c:layout>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759-4B56-9514-93EB0AAE1C49}"/>
                </c:ext>
              </c:extLst>
            </c:dLbl>
            <c:dLbl>
              <c:idx val="1"/>
              <c:layout>
                <c:manualLayout>
                  <c:x val="0.10419190350309596"/>
                  <c:y val="-2.4956604339162525E-17"/>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759-4B56-9514-93EB0AAE1C49}"/>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'Historic IS'!$B$26:$B$28</c:f>
              <c:strCache>
                <c:ptCount val="2"/>
                <c:pt idx="0">
                  <c:v>Partnered</c:v>
                </c:pt>
                <c:pt idx="1">
                  <c:v>Single</c:v>
                </c:pt>
              </c:strCache>
            </c:strRef>
          </c:cat>
          <c:val>
            <c:numRef>
              <c:f>'Historic IS'!$G$26:$G$28</c:f>
              <c:numCache>
                <c:formatCode>0.0</c:formatCode>
                <c:ptCount val="2"/>
                <c:pt idx="0">
                  <c:v>0.25685496620679388</c:v>
                </c:pt>
                <c:pt idx="1">
                  <c:v>1.0165486969245627</c:v>
                </c:pt>
              </c:numCache>
            </c:numRef>
          </c:val>
          <c:extLst>
            <c:ext xmlns:c16="http://schemas.microsoft.com/office/drawing/2014/chart" uri="{C3380CC4-5D6E-409C-BE32-E72D297353CC}">
              <c16:uniqueId val="{00000008-6759-4B56-9514-93EB0AAE1C49}"/>
            </c:ext>
          </c:extLst>
        </c:ser>
        <c:ser>
          <c:idx val="5"/>
          <c:order val="5"/>
          <c:tx>
            <c:strRef>
              <c:f>'Historic IS'!$H$25</c:f>
              <c:strCache>
                <c:ptCount val="1"/>
                <c:pt idx="0">
                  <c:v>F. Age Pension</c:v>
                </c:pt>
              </c:strCache>
            </c:strRef>
          </c:tx>
          <c:spPr>
            <a:solidFill>
              <a:schemeClr val="accent6"/>
            </a:solidFill>
            <a:ln>
              <a:noFill/>
            </a:ln>
            <a:effectLst/>
          </c:spPr>
          <c:invertIfNegative val="0"/>
          <c:cat>
            <c:strRef>
              <c:f>'Historic IS'!$B$26:$B$28</c:f>
              <c:strCache>
                <c:ptCount val="2"/>
                <c:pt idx="0">
                  <c:v>Partnered</c:v>
                </c:pt>
                <c:pt idx="1">
                  <c:v>Single</c:v>
                </c:pt>
              </c:strCache>
            </c:strRef>
          </c:cat>
          <c:val>
            <c:numRef>
              <c:f>'Historic IS'!$H$26:$H$28</c:f>
              <c:numCache>
                <c:formatCode>0.0</c:formatCode>
                <c:ptCount val="2"/>
                <c:pt idx="0">
                  <c:v>0</c:v>
                </c:pt>
                <c:pt idx="1">
                  <c:v>0</c:v>
                </c:pt>
              </c:numCache>
            </c:numRef>
          </c:val>
          <c:extLst>
            <c:ext xmlns:c16="http://schemas.microsoft.com/office/drawing/2014/chart" uri="{C3380CC4-5D6E-409C-BE32-E72D297353CC}">
              <c16:uniqueId val="{00000009-6759-4B56-9514-93EB0AAE1C49}"/>
            </c:ext>
          </c:extLst>
        </c:ser>
        <c:dLbls>
          <c:showLegendKey val="0"/>
          <c:showVal val="0"/>
          <c:showCatName val="0"/>
          <c:showSerName val="0"/>
          <c:showPercent val="0"/>
          <c:showBubbleSize val="0"/>
        </c:dLbls>
        <c:gapWidth val="150"/>
        <c:overlap val="100"/>
        <c:axId val="699589640"/>
        <c:axId val="699591608"/>
      </c:barChart>
      <c:catAx>
        <c:axId val="6995896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Marital</a:t>
                </a:r>
                <a:r>
                  <a:rPr lang="en-AU" b="1" baseline="0"/>
                  <a:t> s</a:t>
                </a:r>
                <a:r>
                  <a:rPr lang="en-AU" b="1"/>
                  <a:t>tatus at </a:t>
                </a:r>
                <a:br>
                  <a:rPr lang="en-AU" b="1"/>
                </a:br>
                <a:r>
                  <a:rPr lang="en-AU" b="1"/>
                  <a:t>30 June 2022</a:t>
                </a:r>
              </a:p>
            </c:rich>
          </c:tx>
          <c:layout>
            <c:manualLayout>
              <c:xMode val="edge"/>
              <c:yMode val="edge"/>
              <c:x val="9.3652522451303892E-3"/>
              <c:y val="2.3700079962098393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699591608"/>
        <c:crosses val="autoZero"/>
        <c:auto val="1"/>
        <c:lblAlgn val="ctr"/>
        <c:lblOffset val="100"/>
        <c:noMultiLvlLbl val="0"/>
      </c:catAx>
      <c:valAx>
        <c:axId val="699591608"/>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US" b="1"/>
                  <a:t>Years</a:t>
                </a:r>
              </a:p>
            </c:rich>
          </c:tx>
          <c:layout>
            <c:manualLayout>
              <c:xMode val="edge"/>
              <c:yMode val="edge"/>
              <c:x val="0.55334966856910051"/>
              <c:y val="0.6606309925545020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699589640"/>
        <c:crosses val="autoZero"/>
        <c:crossBetween val="between"/>
        <c:majorUnit val="1"/>
      </c:valAx>
      <c:spPr>
        <a:noFill/>
        <a:ln>
          <a:noFill/>
        </a:ln>
        <a:effectLst/>
      </c:spPr>
    </c:plotArea>
    <c:legend>
      <c:legendPos val="b"/>
      <c:legendEntry>
        <c:idx val="5"/>
        <c:delete val="1"/>
      </c:legendEntry>
      <c:layout>
        <c:manualLayout>
          <c:xMode val="edge"/>
          <c:yMode val="edge"/>
          <c:x val="3.5570226660077038E-3"/>
          <c:y val="0.78664881175567336"/>
          <c:w val="0.99353411706970407"/>
          <c:h val="0.212798400199975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chemeClr val="tx1"/>
          </a:solidFill>
          <a:latin typeface="Arial" panose="020B0604020202020204" pitchFamily="34"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[2022 Retirement v5.xlsx]Historic IS!PivotTable1</c:name>
    <c:fmtId val="-1"/>
  </c:pivotSource>
  <c:chart>
    <c:autoTitleDeleted val="1"/>
    <c:pivotFmts>
      <c:pivotFmt>
        <c:idx val="0"/>
        <c:spPr>
          <a:solidFill>
            <a:srgbClr val="1F497D"/>
          </a:solidFill>
          <a:ln>
            <a:noFill/>
          </a:ln>
          <a:effectLst/>
        </c:spPr>
      </c:pivotFmt>
      <c:pivotFmt>
        <c:idx val="1"/>
        <c:spPr>
          <a:solidFill>
            <a:srgbClr val="009644"/>
          </a:solidFill>
          <a:ln>
            <a:noFill/>
          </a:ln>
          <a:effectLst/>
        </c:spPr>
      </c:pivotFmt>
      <c:pivotFmt>
        <c:idx val="2"/>
        <c:spPr>
          <a:solidFill>
            <a:srgbClr val="E26B0A"/>
          </a:solidFill>
          <a:ln>
            <a:noFill/>
          </a:ln>
          <a:effectLst/>
        </c:spPr>
      </c:pivotFmt>
      <c:pivotFmt>
        <c:idx val="3"/>
        <c:spPr>
          <a:solidFill>
            <a:srgbClr val="E18BD7"/>
          </a:solidFill>
          <a:ln>
            <a:noFill/>
          </a:ln>
          <a:effectLst/>
        </c:spPr>
      </c:pivotFmt>
      <c:pivotFmt>
        <c:idx val="4"/>
        <c:spPr>
          <a:solidFill>
            <a:srgbClr val="8064A2"/>
          </a:solidFill>
          <a:ln>
            <a:noFill/>
          </a:ln>
          <a:effectLst/>
        </c:spPr>
      </c:pivotFmt>
      <c:pivotFmt>
        <c:idx val="5"/>
        <c:spPr>
          <a:solidFill>
            <a:schemeClr val="accent1"/>
          </a:solidFill>
          <a:ln w="28575" cap="rnd">
            <a:noFill/>
            <a:round/>
          </a:ln>
          <a:effectLst/>
        </c:spP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6"/>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7"/>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8"/>
        <c:spPr>
          <a:solidFill>
            <a:schemeClr val="accent1"/>
          </a:solidFill>
          <a:ln w="28575" cap="rnd">
            <a:noFill/>
            <a:round/>
          </a:ln>
          <a:effectLst/>
        </c:spPr>
        <c:marker>
          <c:spPr>
            <a:solidFill>
              <a:schemeClr val="accent1"/>
            </a:solidFill>
            <a:ln w="9525">
              <a:solidFill>
                <a:schemeClr val="accent1"/>
              </a:solidFill>
            </a:ln>
            <a:effectLst/>
          </c:spPr>
        </c:marker>
      </c:pivotFmt>
      <c:pivotFmt>
        <c:idx val="9"/>
      </c:pivotFmt>
      <c:pivotFmt>
        <c:idx val="10"/>
      </c:pivotFmt>
      <c:pivotFmt>
        <c:idx val="11"/>
        <c:spPr>
          <a:solidFill>
            <a:srgbClr val="1F497D"/>
          </a:solidFill>
          <a:ln>
            <a:noFill/>
          </a:ln>
          <a:effectLst/>
        </c:spPr>
        <c:marker>
          <c:spPr>
            <a:solidFill>
              <a:schemeClr val="accent1"/>
            </a:solidFill>
            <a:ln w="9525">
              <a:solidFill>
                <a:schemeClr val="accent1"/>
              </a:solidFill>
            </a:ln>
            <a:effectLst/>
          </c:spPr>
        </c:marker>
      </c:pivotFmt>
      <c:pivotFmt>
        <c:idx val="12"/>
        <c:spPr>
          <a:solidFill>
            <a:srgbClr val="009644"/>
          </a:solidFill>
          <a:ln>
            <a:noFill/>
          </a:ln>
          <a:effectLst/>
        </c:spPr>
        <c:marker>
          <c:spPr>
            <a:solidFill>
              <a:schemeClr val="accent1"/>
            </a:solidFill>
            <a:ln w="9525">
              <a:solidFill>
                <a:schemeClr val="accent1"/>
              </a:solidFill>
            </a:ln>
            <a:effectLst/>
          </c:spPr>
        </c:marker>
      </c:pivotFmt>
      <c:pivotFmt>
        <c:idx val="13"/>
        <c:spPr>
          <a:solidFill>
            <a:srgbClr val="E26B0A"/>
          </a:solidFill>
          <a:ln>
            <a:noFill/>
          </a:ln>
          <a:effectLst/>
        </c:spPr>
        <c:marker>
          <c:spPr>
            <a:solidFill>
              <a:schemeClr val="accent1"/>
            </a:solidFill>
            <a:ln w="9525">
              <a:solidFill>
                <a:schemeClr val="accent1"/>
              </a:solidFill>
            </a:ln>
            <a:effectLst/>
          </c:spPr>
        </c:marker>
      </c:pivotFmt>
      <c:pivotFmt>
        <c:idx val="14"/>
        <c:spPr>
          <a:solidFill>
            <a:srgbClr val="E18BD7"/>
          </a:solidFill>
          <a:ln>
            <a:noFill/>
          </a:ln>
          <a:effectLst/>
        </c:spPr>
        <c:marker>
          <c:spPr>
            <a:solidFill>
              <a:schemeClr val="accent1"/>
            </a:solidFill>
            <a:ln w="9525">
              <a:solidFill>
                <a:schemeClr val="accent1"/>
              </a:solidFill>
            </a:ln>
            <a:effectLst/>
          </c:spPr>
        </c:marker>
      </c:pivotFmt>
      <c:pivotFmt>
        <c:idx val="15"/>
        <c:spPr>
          <a:solidFill>
            <a:srgbClr val="8064A2"/>
          </a:solidFill>
          <a:ln>
            <a:noFill/>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6"/>
        <c:spPr>
          <a:solidFill>
            <a:srgbClr val="8064A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7"/>
        <c:spPr>
          <a:solidFill>
            <a:srgbClr val="8064A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8"/>
        <c:spPr>
          <a:solidFill>
            <a:srgbClr val="1F497D"/>
          </a:solidFill>
          <a:ln>
            <a:noFill/>
          </a:ln>
          <a:effectLst/>
        </c:spPr>
        <c:marker>
          <c:symbol val="none"/>
        </c:marker>
      </c:pivotFmt>
      <c:pivotFmt>
        <c:idx val="19"/>
        <c:spPr>
          <a:solidFill>
            <a:srgbClr val="009644"/>
          </a:solidFill>
          <a:ln>
            <a:noFill/>
          </a:ln>
          <a:effectLst/>
        </c:spPr>
        <c:marker>
          <c:symbol val="none"/>
        </c:marker>
      </c:pivotFmt>
      <c:pivotFmt>
        <c:idx val="20"/>
        <c:spPr>
          <a:solidFill>
            <a:srgbClr val="E26B0A"/>
          </a:solidFill>
          <a:ln>
            <a:noFill/>
          </a:ln>
          <a:effectLst/>
        </c:spPr>
        <c:marker>
          <c:symbol val="none"/>
        </c:marker>
      </c:pivotFmt>
      <c:pivotFmt>
        <c:idx val="21"/>
        <c:spPr>
          <a:solidFill>
            <a:srgbClr val="FF8BD7"/>
          </a:solidFill>
          <a:ln>
            <a:noFill/>
          </a:ln>
          <a:effectLst/>
        </c:spPr>
        <c:marker>
          <c:symbol val="none"/>
        </c:marker>
      </c:pivotFmt>
      <c:pivotFmt>
        <c:idx val="22"/>
        <c:spPr>
          <a:solidFill>
            <a:srgbClr val="8064A2"/>
          </a:solidFill>
          <a:ln>
            <a:noFill/>
          </a:ln>
          <a:effectLst/>
        </c:spPr>
        <c:marker>
          <c:symbol val="none"/>
        </c:marker>
      </c:pivotFmt>
      <c:pivotFmt>
        <c:idx val="23"/>
        <c:spPr>
          <a:solidFill>
            <a:schemeClr val="accent1"/>
          </a:solidFill>
          <a:ln>
            <a:noFill/>
          </a:ln>
          <a:effectLst/>
        </c:spPr>
        <c:marker>
          <c:symbol val="none"/>
        </c:marker>
      </c:pivotFmt>
      <c:pivotFmt>
        <c:idx val="24"/>
        <c:spPr>
          <a:solidFill>
            <a:srgbClr val="1F497D"/>
          </a:solidFill>
          <a:ln>
            <a:noFill/>
          </a:ln>
          <a:effectLst/>
        </c:spPr>
        <c:marker>
          <c:symbol val="none"/>
        </c:marker>
      </c:pivotFmt>
      <c:pivotFmt>
        <c:idx val="25"/>
        <c:spPr>
          <a:solidFill>
            <a:srgbClr val="009644"/>
          </a:solidFill>
          <a:ln>
            <a:noFill/>
          </a:ln>
          <a:effectLst/>
        </c:spPr>
        <c:marker>
          <c:symbol val="none"/>
        </c:marker>
      </c:pivotFmt>
      <c:pivotFmt>
        <c:idx val="26"/>
        <c:spPr>
          <a:solidFill>
            <a:srgbClr val="E26B0A"/>
          </a:solidFill>
          <a:ln>
            <a:noFill/>
          </a:ln>
          <a:effectLst/>
        </c:spPr>
        <c:marker>
          <c:symbol val="none"/>
        </c:marker>
      </c:pivotFmt>
      <c:pivotFmt>
        <c:idx val="27"/>
        <c:spPr>
          <a:solidFill>
            <a:srgbClr val="FF8BD7"/>
          </a:solidFill>
          <a:ln>
            <a:noFill/>
          </a:ln>
          <a:effectLst/>
        </c:spPr>
        <c:marker>
          <c:symbol val="none"/>
        </c:marker>
      </c:pivotFmt>
      <c:pivotFmt>
        <c:idx val="28"/>
        <c:spPr>
          <a:solidFill>
            <a:srgbClr val="8064A2"/>
          </a:solidFill>
          <a:ln>
            <a:noFill/>
          </a:ln>
          <a:effectLst/>
        </c:spPr>
        <c:marker>
          <c:symbol val="none"/>
        </c:marker>
      </c:pivotFmt>
      <c:pivotFmt>
        <c:idx val="29"/>
        <c:spPr>
          <a:solidFill>
            <a:schemeClr val="accent1"/>
          </a:solidFill>
          <a:ln>
            <a:noFill/>
          </a:ln>
          <a:effectLst/>
        </c:spPr>
        <c:marker>
          <c:symbol val="none"/>
        </c:marker>
      </c:pivotFmt>
      <c:pivotFmt>
        <c:idx val="30"/>
        <c:spPr>
          <a:solidFill>
            <a:srgbClr val="8064A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rgbClr val="8064A2"/>
          </a:solidFill>
          <a:ln>
            <a:noFill/>
          </a:ln>
          <a:effectLst/>
        </c:spPr>
        <c:dLbl>
          <c:idx val="0"/>
          <c:layout>
            <c:manualLayout>
              <c:x val="0.1"/>
              <c:y val="-2.121889068003332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2"/>
        <c:spPr>
          <a:solidFill>
            <a:srgbClr val="8064A2"/>
          </a:solidFill>
          <a:ln>
            <a:noFill/>
          </a:ln>
          <a:effectLst/>
        </c:spPr>
        <c:dLbl>
          <c:idx val="0"/>
          <c:layout>
            <c:manualLayout>
              <c:x val="6.1111111111111109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3"/>
        <c:spPr>
          <a:solidFill>
            <a:srgbClr val="1F497D"/>
          </a:solidFill>
          <a:ln>
            <a:noFill/>
          </a:ln>
          <a:effectLst/>
        </c:spPr>
        <c:marker>
          <c:symbol val="none"/>
        </c:marker>
      </c:pivotFmt>
      <c:pivotFmt>
        <c:idx val="34"/>
        <c:spPr>
          <a:solidFill>
            <a:srgbClr val="009644"/>
          </a:solidFill>
          <a:ln>
            <a:noFill/>
          </a:ln>
          <a:effectLst/>
        </c:spPr>
        <c:marker>
          <c:symbol val="none"/>
        </c:marker>
      </c:pivotFmt>
      <c:pivotFmt>
        <c:idx val="35"/>
        <c:spPr>
          <a:solidFill>
            <a:srgbClr val="E26B0A"/>
          </a:solidFill>
          <a:ln>
            <a:noFill/>
          </a:ln>
          <a:effectLst/>
        </c:spPr>
        <c:marker>
          <c:symbol val="none"/>
        </c:marker>
      </c:pivotFmt>
      <c:pivotFmt>
        <c:idx val="36"/>
        <c:spPr>
          <a:solidFill>
            <a:srgbClr val="FF8BD7"/>
          </a:solidFill>
          <a:ln>
            <a:noFill/>
          </a:ln>
          <a:effectLst/>
        </c:spPr>
        <c:marker>
          <c:symbol val="none"/>
        </c:marker>
      </c:pivotFmt>
      <c:pivotFmt>
        <c:idx val="37"/>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8"/>
        <c:dLbl>
          <c:idx val="0"/>
          <c:layout>
            <c:manualLayout>
              <c:x val="6.1111111111111109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39"/>
        <c:dLbl>
          <c:idx val="0"/>
          <c:layout>
            <c:manualLayout>
              <c:x val="0.1"/>
              <c:y val="-2.121889068003332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pivotFmt>
      <c:pivotFmt>
        <c:idx val="41"/>
        <c:spPr>
          <a:solidFill>
            <a:srgbClr val="8064A2"/>
          </a:solidFill>
          <a:ln>
            <a:noFill/>
          </a:ln>
          <a:effectLst/>
        </c:spPr>
        <c:dLbl>
          <c:idx val="0"/>
          <c:layout>
            <c:manualLayout>
              <c:x val="8.0555555555555561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42"/>
        <c:spPr>
          <a:solidFill>
            <a:srgbClr val="1F497D"/>
          </a:solidFill>
          <a:ln>
            <a:noFill/>
          </a:ln>
          <a:effectLst/>
        </c:spPr>
        <c:marker>
          <c:symbol val="none"/>
        </c:marker>
      </c:pivotFmt>
      <c:pivotFmt>
        <c:idx val="43"/>
        <c:spPr>
          <a:solidFill>
            <a:srgbClr val="009644"/>
          </a:solidFill>
          <a:ln>
            <a:noFill/>
          </a:ln>
          <a:effectLst/>
        </c:spPr>
        <c:marker>
          <c:symbol val="none"/>
        </c:marker>
      </c:pivotFmt>
      <c:pivotFmt>
        <c:idx val="44"/>
        <c:spPr>
          <a:solidFill>
            <a:srgbClr val="E26B0A"/>
          </a:solidFill>
          <a:ln>
            <a:noFill/>
          </a:ln>
          <a:effectLst/>
        </c:spPr>
        <c:marker>
          <c:symbol val="none"/>
        </c:marker>
      </c:pivotFmt>
      <c:pivotFmt>
        <c:idx val="45"/>
        <c:spPr>
          <a:solidFill>
            <a:srgbClr val="FF8BD7"/>
          </a:solidFill>
          <a:ln>
            <a:noFill/>
          </a:ln>
          <a:effectLst/>
        </c:spPr>
        <c:marker>
          <c:symbol val="none"/>
        </c:marker>
      </c:pivotFmt>
      <c:pivotFmt>
        <c:idx val="46"/>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7"/>
        <c:spPr>
          <a:solidFill>
            <a:srgbClr val="8064A2"/>
          </a:solidFill>
          <a:ln>
            <a:noFill/>
          </a:ln>
          <a:effectLst/>
        </c:spPr>
        <c:dLbl>
          <c:idx val="0"/>
          <c:layout>
            <c:manualLayout>
              <c:x val="6.1111111111111109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48"/>
        <c:spPr>
          <a:solidFill>
            <a:schemeClr val="accent1"/>
          </a:solidFill>
          <a:ln>
            <a:noFill/>
          </a:ln>
          <a:effectLst/>
        </c:spPr>
        <c:marker>
          <c:symbol val="none"/>
        </c:marker>
      </c:pivotFmt>
      <c:pivotFmt>
        <c:idx val="49"/>
        <c:spPr>
          <a:solidFill>
            <a:srgbClr val="1F497D"/>
          </a:solidFill>
          <a:ln>
            <a:noFill/>
          </a:ln>
          <a:effectLst/>
        </c:spPr>
        <c:marker>
          <c:symbol val="none"/>
        </c:marker>
      </c:pivotFmt>
      <c:pivotFmt>
        <c:idx val="50"/>
        <c:spPr>
          <a:solidFill>
            <a:srgbClr val="009644"/>
          </a:solidFill>
          <a:ln>
            <a:noFill/>
          </a:ln>
          <a:effectLst/>
        </c:spPr>
        <c:marker>
          <c:symbol val="none"/>
        </c:marker>
      </c:pivotFmt>
      <c:pivotFmt>
        <c:idx val="51"/>
        <c:spPr>
          <a:solidFill>
            <a:srgbClr val="E26B0A"/>
          </a:solidFill>
          <a:ln>
            <a:noFill/>
          </a:ln>
          <a:effectLst/>
        </c:spPr>
        <c:marker>
          <c:symbol val="none"/>
        </c:marker>
      </c:pivotFmt>
      <c:pivotFmt>
        <c:idx val="52"/>
        <c:spPr>
          <a:solidFill>
            <a:srgbClr val="FF8BD7"/>
          </a:solidFill>
          <a:ln>
            <a:noFill/>
          </a:ln>
          <a:effectLst/>
        </c:spPr>
        <c:marker>
          <c:symbol val="none"/>
        </c:marker>
      </c:pivotFmt>
      <c:pivotFmt>
        <c:idx val="53"/>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4"/>
        <c:spPr>
          <a:solidFill>
            <a:srgbClr val="8064A2"/>
          </a:solidFill>
          <a:ln>
            <a:noFill/>
          </a:ln>
          <a:effectLst/>
        </c:spPr>
        <c:dLbl>
          <c:idx val="0"/>
          <c:layout>
            <c:manualLayout>
              <c:x val="6.1111111111111109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55"/>
        <c:spPr>
          <a:solidFill>
            <a:srgbClr val="8064A2"/>
          </a:solidFill>
          <a:ln>
            <a:noFill/>
          </a:ln>
          <a:effectLst/>
        </c:spPr>
        <c:dLbl>
          <c:idx val="0"/>
          <c:layout>
            <c:manualLayout>
              <c:x val="8.0555555555555561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56"/>
        <c:spPr>
          <a:solidFill>
            <a:schemeClr val="accent1"/>
          </a:solidFill>
          <a:ln>
            <a:noFill/>
          </a:ln>
          <a:effectLst/>
        </c:spPr>
        <c:marker>
          <c:symbol val="none"/>
        </c:marker>
      </c:pivotFmt>
      <c:pivotFmt>
        <c:idx val="57"/>
        <c:spPr>
          <a:solidFill>
            <a:srgbClr val="1F497D"/>
          </a:solidFill>
          <a:ln>
            <a:noFill/>
          </a:ln>
          <a:effectLst/>
        </c:spPr>
        <c:marker>
          <c:symbol val="none"/>
        </c:marker>
      </c:pivotFmt>
      <c:pivotFmt>
        <c:idx val="58"/>
        <c:spPr>
          <a:solidFill>
            <a:srgbClr val="009644"/>
          </a:solidFill>
          <a:ln>
            <a:noFill/>
          </a:ln>
          <a:effectLst/>
        </c:spPr>
        <c:marker>
          <c:symbol val="none"/>
        </c:marker>
      </c:pivotFmt>
      <c:pivotFmt>
        <c:idx val="59"/>
        <c:spPr>
          <a:solidFill>
            <a:srgbClr val="E26B0A"/>
          </a:solidFill>
          <a:ln>
            <a:noFill/>
          </a:ln>
          <a:effectLst/>
        </c:spPr>
        <c:marker>
          <c:symbol val="none"/>
        </c:marker>
      </c:pivotFmt>
      <c:pivotFmt>
        <c:idx val="60"/>
        <c:spPr>
          <a:solidFill>
            <a:srgbClr val="FF8BD7"/>
          </a:solidFill>
          <a:ln>
            <a:noFill/>
          </a:ln>
          <a:effectLst/>
        </c:spPr>
        <c:marker>
          <c:symbol val="none"/>
        </c:marker>
      </c:pivotFmt>
      <c:pivotFmt>
        <c:idx val="61"/>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2"/>
        <c:spPr>
          <a:solidFill>
            <a:srgbClr val="8064A2"/>
          </a:solidFill>
          <a:ln>
            <a:noFill/>
          </a:ln>
          <a:effectLst/>
        </c:spPr>
        <c:dLbl>
          <c:idx val="0"/>
          <c:layout>
            <c:manualLayout>
              <c:x val="6.1111111111111109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63"/>
        <c:spPr>
          <a:solidFill>
            <a:srgbClr val="8064A2"/>
          </a:solidFill>
          <a:ln>
            <a:noFill/>
          </a:ln>
          <a:effectLst/>
        </c:spPr>
        <c:dLbl>
          <c:idx val="0"/>
          <c:layout>
            <c:manualLayout>
              <c:x val="8.0555555555555561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64"/>
        <c:spPr>
          <a:solidFill>
            <a:schemeClr val="accent1"/>
          </a:solidFill>
          <a:ln>
            <a:noFill/>
          </a:ln>
          <a:effectLst/>
        </c:spPr>
        <c:marker>
          <c:symbol val="none"/>
        </c:marker>
      </c:pivotFmt>
      <c:pivotFmt>
        <c:idx val="65"/>
        <c:spPr>
          <a:solidFill>
            <a:srgbClr val="1F497D"/>
          </a:solidFill>
          <a:ln>
            <a:noFill/>
          </a:ln>
          <a:effectLst/>
        </c:spPr>
        <c:marker>
          <c:symbol val="none"/>
        </c:marker>
      </c:pivotFmt>
      <c:pivotFmt>
        <c:idx val="66"/>
        <c:spPr>
          <a:solidFill>
            <a:srgbClr val="009644"/>
          </a:solidFill>
          <a:ln>
            <a:noFill/>
          </a:ln>
          <a:effectLst/>
        </c:spPr>
        <c:marker>
          <c:symbol val="none"/>
        </c:marker>
      </c:pivotFmt>
      <c:pivotFmt>
        <c:idx val="67"/>
        <c:spPr>
          <a:solidFill>
            <a:srgbClr val="E26B0A"/>
          </a:solidFill>
          <a:ln>
            <a:noFill/>
          </a:ln>
          <a:effectLst/>
        </c:spPr>
        <c:marker>
          <c:symbol val="none"/>
        </c:marker>
      </c:pivotFmt>
      <c:pivotFmt>
        <c:idx val="68"/>
        <c:spPr>
          <a:solidFill>
            <a:srgbClr val="FF8BD7"/>
          </a:solidFill>
          <a:ln>
            <a:noFill/>
          </a:ln>
          <a:effectLst/>
        </c:spPr>
        <c:marker>
          <c:symbol val="none"/>
        </c:marker>
      </c:pivotFmt>
      <c:pivotFmt>
        <c:idx val="69"/>
        <c:spPr>
          <a:solidFill>
            <a:srgbClr val="8064A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0"/>
        <c:spPr>
          <a:solidFill>
            <a:srgbClr val="8064A2"/>
          </a:solidFill>
          <a:ln>
            <a:noFill/>
          </a:ln>
          <a:effectLst/>
        </c:spPr>
        <c:dLbl>
          <c:idx val="0"/>
          <c:layout>
            <c:manualLayout>
              <c:x val="7.5810463424542895E-2"/>
              <c:y val="-6.6065302874049691E-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0.9</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71"/>
        <c:spPr>
          <a:solidFill>
            <a:srgbClr val="8064A2"/>
          </a:solidFill>
          <a:ln>
            <a:noFill/>
          </a:ln>
          <a:effectLst/>
        </c:spPr>
        <c:dLbl>
          <c:idx val="0"/>
          <c:layout>
            <c:manualLayout>
              <c:x val="6.985321149237611E-2"/>
              <c:y val="-1.5318450490933148E-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1.2</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72"/>
        <c:spPr>
          <a:solidFill>
            <a:schemeClr val="accent1"/>
          </a:solidFill>
          <a:ln>
            <a:noFill/>
          </a:ln>
          <a:effectLst/>
        </c:spPr>
        <c:marker>
          <c:symbol val="none"/>
        </c:marker>
      </c:pivotFmt>
      <c:pivotFmt>
        <c:idx val="73"/>
        <c:spPr>
          <a:solidFill>
            <a:srgbClr val="1F497D"/>
          </a:solidFill>
          <a:ln>
            <a:noFill/>
          </a:ln>
          <a:effectLst/>
        </c:spPr>
        <c:marker>
          <c:symbol val="none"/>
        </c:marker>
      </c:pivotFmt>
      <c:pivotFmt>
        <c:idx val="74"/>
        <c:spPr>
          <a:solidFill>
            <a:srgbClr val="009644"/>
          </a:solidFill>
          <a:ln>
            <a:noFill/>
          </a:ln>
          <a:effectLst/>
        </c:spPr>
        <c:marker>
          <c:symbol val="none"/>
        </c:marker>
      </c:pivotFmt>
      <c:pivotFmt>
        <c:idx val="75"/>
        <c:spPr>
          <a:solidFill>
            <a:srgbClr val="E26B0A"/>
          </a:solidFill>
          <a:ln>
            <a:noFill/>
          </a:ln>
          <a:effectLst/>
        </c:spPr>
        <c:marker>
          <c:symbol val="none"/>
        </c:marker>
      </c:pivotFmt>
      <c:pivotFmt>
        <c:idx val="76"/>
        <c:spPr>
          <a:solidFill>
            <a:srgbClr val="FF8BD7"/>
          </a:solidFill>
          <a:ln>
            <a:noFill/>
          </a:ln>
          <a:effectLst/>
        </c:spPr>
        <c:marker>
          <c:symbol val="none"/>
        </c:marker>
      </c:pivotFmt>
      <c:pivotFmt>
        <c:idx val="77"/>
        <c:spPr>
          <a:solidFill>
            <a:srgbClr val="8064A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8"/>
        <c:spPr>
          <a:solidFill>
            <a:srgbClr val="8064A2"/>
          </a:solidFill>
          <a:ln>
            <a:noFill/>
          </a:ln>
          <a:effectLst/>
        </c:spPr>
        <c:dLbl>
          <c:idx val="0"/>
          <c:layout>
            <c:manualLayout>
              <c:x val="7.5810463424542895E-2"/>
              <c:y val="-6.6065302874049691E-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0.9</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79"/>
        <c:spPr>
          <a:solidFill>
            <a:srgbClr val="8064A2"/>
          </a:solidFill>
          <a:ln>
            <a:noFill/>
          </a:ln>
          <a:effectLst/>
        </c:spPr>
        <c:dLbl>
          <c:idx val="0"/>
          <c:layout>
            <c:manualLayout>
              <c:x val="6.985321149237611E-2"/>
              <c:y val="-1.5318450490933148E-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1.2</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0"/>
        <c:spPr>
          <a:solidFill>
            <a:schemeClr val="accent1"/>
          </a:solidFill>
          <a:ln>
            <a:noFill/>
          </a:ln>
          <a:effectLst/>
        </c:spPr>
        <c:marker>
          <c:symbol val="none"/>
        </c:marker>
      </c:pivotFmt>
      <c:pivotFmt>
        <c:idx val="81"/>
        <c:spPr>
          <a:solidFill>
            <a:srgbClr val="1F497D"/>
          </a:solidFill>
          <a:ln>
            <a:noFill/>
          </a:ln>
          <a:effectLst/>
        </c:spPr>
        <c:marker>
          <c:symbol val="none"/>
        </c:marker>
      </c:pivotFmt>
      <c:pivotFmt>
        <c:idx val="82"/>
        <c:spPr>
          <a:solidFill>
            <a:srgbClr val="009644"/>
          </a:solidFill>
          <a:ln>
            <a:noFill/>
          </a:ln>
          <a:effectLst/>
        </c:spPr>
        <c:marker>
          <c:symbol val="none"/>
        </c:marker>
      </c:pivotFmt>
      <c:pivotFmt>
        <c:idx val="83"/>
        <c:spPr>
          <a:solidFill>
            <a:srgbClr val="E26B0A"/>
          </a:solidFill>
          <a:ln>
            <a:noFill/>
          </a:ln>
          <a:effectLst/>
        </c:spPr>
        <c:marker>
          <c:symbol val="none"/>
        </c:marker>
      </c:pivotFmt>
      <c:pivotFmt>
        <c:idx val="84"/>
        <c:spPr>
          <a:solidFill>
            <a:srgbClr val="FF8BD7"/>
          </a:solidFill>
          <a:ln>
            <a:noFill/>
          </a:ln>
          <a:effectLst/>
        </c:spPr>
        <c:marker>
          <c:symbol val="none"/>
        </c:marker>
      </c:pivotFmt>
      <c:pivotFmt>
        <c:idx val="85"/>
        <c:spPr>
          <a:solidFill>
            <a:srgbClr val="8064A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6"/>
        <c:spPr>
          <a:solidFill>
            <a:srgbClr val="8064A2"/>
          </a:solidFill>
          <a:ln>
            <a:noFill/>
          </a:ln>
          <a:effectLst/>
        </c:spPr>
        <c:dLbl>
          <c:idx val="0"/>
          <c:layout>
            <c:manualLayout>
              <c:x val="7.5810463424542895E-2"/>
              <c:y val="-6.6065302874049691E-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0.9</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7"/>
        <c:spPr>
          <a:solidFill>
            <a:srgbClr val="8064A2"/>
          </a:solidFill>
          <a:ln>
            <a:noFill/>
          </a:ln>
          <a:effectLst/>
        </c:spPr>
        <c:dLbl>
          <c:idx val="0"/>
          <c:layout>
            <c:manualLayout>
              <c:x val="6.985321149237611E-2"/>
              <c:y val="-1.5318450490933148E-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r>
                  <a:rPr lang="en-US"/>
                  <a:t>1.2</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8"/>
        <c:spPr>
          <a:solidFill>
            <a:schemeClr val="accent1"/>
          </a:solidFill>
          <a:ln>
            <a:noFill/>
          </a:ln>
          <a:effectLst/>
        </c:spPr>
        <c:marker>
          <c:symbol val="none"/>
        </c:marker>
      </c:pivotFmt>
    </c:pivotFmts>
    <c:plotArea>
      <c:layout>
        <c:manualLayout>
          <c:layoutTarget val="inner"/>
          <c:xMode val="edge"/>
          <c:yMode val="edge"/>
          <c:x val="0.17622424567206918"/>
          <c:y val="4.1343846056676094E-3"/>
          <c:w val="0.79877937130561893"/>
          <c:h val="0.60410810810810811"/>
        </c:manualLayout>
      </c:layout>
      <c:barChart>
        <c:barDir val="bar"/>
        <c:grouping val="stacked"/>
        <c:varyColors val="0"/>
        <c:ser>
          <c:idx val="0"/>
          <c:order val="0"/>
          <c:tx>
            <c:strRef>
              <c:f>'Historic IS'!$C$6</c:f>
              <c:strCache>
                <c:ptCount val="1"/>
                <c:pt idx="0">
                  <c:v>A. Studying payments</c:v>
                </c:pt>
              </c:strCache>
            </c:strRef>
          </c:tx>
          <c:spPr>
            <a:solidFill>
              <a:srgbClr val="1F497D"/>
            </a:solidFill>
            <a:ln>
              <a:noFill/>
            </a:ln>
            <a:effectLst/>
          </c:spPr>
          <c:invertIfNegative val="0"/>
          <c:cat>
            <c:strRef>
              <c:f>'Historic IS'!$B$7:$B$9</c:f>
              <c:strCache>
                <c:ptCount val="2"/>
                <c:pt idx="0">
                  <c:v>Male</c:v>
                </c:pt>
                <c:pt idx="1">
                  <c:v>Female</c:v>
                </c:pt>
              </c:strCache>
            </c:strRef>
          </c:cat>
          <c:val>
            <c:numRef>
              <c:f>'Historic IS'!$C$7:$C$9</c:f>
              <c:numCache>
                <c:formatCode>0.0</c:formatCode>
                <c:ptCount val="2"/>
                <c:pt idx="0">
                  <c:v>1.2806424700881091E-3</c:v>
                </c:pt>
                <c:pt idx="1">
                  <c:v>2.155419423112725E-3</c:v>
                </c:pt>
              </c:numCache>
            </c:numRef>
          </c:val>
          <c:extLst>
            <c:ext xmlns:c16="http://schemas.microsoft.com/office/drawing/2014/chart" uri="{C3380CC4-5D6E-409C-BE32-E72D297353CC}">
              <c16:uniqueId val="{00000000-71A7-494B-B4EB-656813696355}"/>
            </c:ext>
          </c:extLst>
        </c:ser>
        <c:ser>
          <c:idx val="1"/>
          <c:order val="1"/>
          <c:tx>
            <c:strRef>
              <c:f>'Historic IS'!$D$6</c:f>
              <c:strCache>
                <c:ptCount val="1"/>
                <c:pt idx="0">
                  <c:v>B. Working age payments</c:v>
                </c:pt>
              </c:strCache>
            </c:strRef>
          </c:tx>
          <c:spPr>
            <a:solidFill>
              <a:srgbClr val="009644"/>
            </a:solidFill>
            <a:ln>
              <a:noFill/>
            </a:ln>
            <a:effectLst/>
          </c:spPr>
          <c:invertIfNegative val="0"/>
          <c:dLbls>
            <c:dLbl>
              <c:idx val="0"/>
              <c:layout>
                <c:manualLayout>
                  <c:x val="3.233867411436131E-2"/>
                  <c:y val="-9.3645221604824483E-2"/>
                </c:manualLayout>
              </c:layout>
              <c:tx>
                <c:rich>
                  <a:bodyPr/>
                  <a:lstStyle/>
                  <a:p>
                    <a:r>
                      <a:rPr lang="en-US"/>
                      <a:t>A</a:t>
                    </a:r>
                    <a:r>
                      <a:rPr lang="en-US" baseline="0"/>
                      <a:t> B C</a:t>
                    </a:r>
                    <a:r>
                      <a:rPr lang="en-US"/>
                      <a:t>D   E</a:t>
                    </a:r>
                  </a:p>
                </c:rich>
              </c:tx>
              <c:showLegendKey val="0"/>
              <c:showVal val="1"/>
              <c:showCatName val="0"/>
              <c:showSerName val="0"/>
              <c:showPercent val="0"/>
              <c:showBubbleSize val="0"/>
              <c:extLst>
                <c:ext xmlns:c15="http://schemas.microsoft.com/office/drawing/2012/chart" uri="{CE6537A1-D6FC-4f65-9D91-7224C49458BB}">
                  <c15:layout>
                    <c:manualLayout>
                      <c:w val="0.17088060964303614"/>
                      <c:h val="8.1572169699523328E-2"/>
                    </c:manualLayout>
                  </c15:layout>
                  <c15:showDataLabelsRange val="0"/>
                </c:ext>
                <c:ext xmlns:c16="http://schemas.microsoft.com/office/drawing/2014/chart" uri="{C3380CC4-5D6E-409C-BE32-E72D297353CC}">
                  <c16:uniqueId val="{00000005-6059-47F4-A962-EB125476326E}"/>
                </c:ext>
              </c:extLst>
            </c:dLbl>
            <c:dLbl>
              <c:idx val="1"/>
              <c:layout>
                <c:manualLayout>
                  <c:x val="4.4098191974129036E-2"/>
                  <c:y val="-8.6956258394122146E-2"/>
                </c:manualLayout>
              </c:layout>
              <c:tx>
                <c:rich>
                  <a:bodyPr/>
                  <a:lstStyle/>
                  <a:p>
                    <a:r>
                      <a:rPr lang="en-US"/>
                      <a:t>A  B  </a:t>
                    </a:r>
                    <a:r>
                      <a:rPr lang="en-US" baseline="0"/>
                      <a:t> </a:t>
                    </a:r>
                    <a:r>
                      <a:rPr lang="en-US"/>
                      <a:t>CD      E</a:t>
                    </a:r>
                  </a:p>
                </c:rich>
              </c:tx>
              <c:showLegendKey val="0"/>
              <c:showVal val="1"/>
              <c:showCatName val="0"/>
              <c:showSerName val="0"/>
              <c:showPercent val="0"/>
              <c:showBubbleSize val="0"/>
              <c:extLst>
                <c:ext xmlns:c15="http://schemas.microsoft.com/office/drawing/2012/chart" uri="{CE6537A1-D6FC-4f65-9D91-7224C49458BB}">
                  <c15:layout>
                    <c:manualLayout>
                      <c:w val="0.26498591982925557"/>
                      <c:h val="8.1572169699523328E-2"/>
                    </c:manualLayout>
                  </c15:layout>
                  <c15:showDataLabelsRange val="0"/>
                </c:ext>
                <c:ext xmlns:c16="http://schemas.microsoft.com/office/drawing/2014/chart" uri="{C3380CC4-5D6E-409C-BE32-E72D297353CC}">
                  <c16:uniqueId val="{00000004-6059-47F4-A962-EB125476326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'Historic IS'!$B$7:$B$9</c:f>
              <c:strCache>
                <c:ptCount val="2"/>
                <c:pt idx="0">
                  <c:v>Male</c:v>
                </c:pt>
                <c:pt idx="1">
                  <c:v>Female</c:v>
                </c:pt>
              </c:strCache>
            </c:strRef>
          </c:cat>
          <c:val>
            <c:numRef>
              <c:f>'Historic IS'!$D$7:$D$9</c:f>
              <c:numCache>
                <c:formatCode>0.0</c:formatCode>
                <c:ptCount val="2"/>
                <c:pt idx="0">
                  <c:v>0.35645141773970546</c:v>
                </c:pt>
                <c:pt idx="1">
                  <c:v>0.45260383276980509</c:v>
                </c:pt>
              </c:numCache>
            </c:numRef>
          </c:val>
          <c:extLst>
            <c:ext xmlns:c16="http://schemas.microsoft.com/office/drawing/2014/chart" uri="{C3380CC4-5D6E-409C-BE32-E72D297353CC}">
              <c16:uniqueId val="{00000001-71A7-494B-B4EB-656813696355}"/>
            </c:ext>
          </c:extLst>
        </c:ser>
        <c:ser>
          <c:idx val="2"/>
          <c:order val="2"/>
          <c:tx>
            <c:strRef>
              <c:f>'Historic IS'!$E$6</c:f>
              <c:strCache>
                <c:ptCount val="1"/>
                <c:pt idx="0">
                  <c:v>C. Parenting Payment</c:v>
                </c:pt>
              </c:strCache>
            </c:strRef>
          </c:tx>
          <c:spPr>
            <a:solidFill>
              <a:srgbClr val="E26B0A"/>
            </a:solidFill>
            <a:ln>
              <a:noFill/>
            </a:ln>
            <a:effectLst/>
          </c:spPr>
          <c:invertIfNegative val="0"/>
          <c:cat>
            <c:strRef>
              <c:f>'Historic IS'!$B$7:$B$9</c:f>
              <c:strCache>
                <c:ptCount val="2"/>
                <c:pt idx="0">
                  <c:v>Male</c:v>
                </c:pt>
                <c:pt idx="1">
                  <c:v>Female</c:v>
                </c:pt>
              </c:strCache>
            </c:strRef>
          </c:cat>
          <c:val>
            <c:numRef>
              <c:f>'Historic IS'!$E$7:$E$9</c:f>
              <c:numCache>
                <c:formatCode>0.0</c:formatCode>
                <c:ptCount val="2"/>
                <c:pt idx="0">
                  <c:v>1.5608972837963123E-3</c:v>
                </c:pt>
                <c:pt idx="1">
                  <c:v>4.7883967505145258E-3</c:v>
                </c:pt>
              </c:numCache>
            </c:numRef>
          </c:val>
          <c:extLst>
            <c:ext xmlns:c16="http://schemas.microsoft.com/office/drawing/2014/chart" uri="{C3380CC4-5D6E-409C-BE32-E72D297353CC}">
              <c16:uniqueId val="{00000002-71A7-494B-B4EB-656813696355}"/>
            </c:ext>
          </c:extLst>
        </c:ser>
        <c:ser>
          <c:idx val="3"/>
          <c:order val="3"/>
          <c:tx>
            <c:strRef>
              <c:f>'Historic IS'!$F$6</c:f>
              <c:strCache>
                <c:ptCount val="1"/>
                <c:pt idx="0">
                  <c:v>D. Carer Payment</c:v>
                </c:pt>
              </c:strCache>
            </c:strRef>
          </c:tx>
          <c:spPr>
            <a:solidFill>
              <a:srgbClr val="FF8BD7"/>
            </a:solidFill>
            <a:ln>
              <a:noFill/>
            </a:ln>
            <a:effectLst/>
          </c:spPr>
          <c:invertIfNegative val="0"/>
          <c:cat>
            <c:strRef>
              <c:f>'Historic IS'!$B$7:$B$9</c:f>
              <c:strCache>
                <c:ptCount val="2"/>
                <c:pt idx="0">
                  <c:v>Male</c:v>
                </c:pt>
                <c:pt idx="1">
                  <c:v>Female</c:v>
                </c:pt>
              </c:strCache>
            </c:strRef>
          </c:cat>
          <c:val>
            <c:numRef>
              <c:f>'Historic IS'!$F$7:$F$9</c:f>
              <c:numCache>
                <c:formatCode>0.0</c:formatCode>
                <c:ptCount val="2"/>
                <c:pt idx="0">
                  <c:v>8.9832453145861024E-2</c:v>
                </c:pt>
                <c:pt idx="1">
                  <c:v>0.21725129764545317</c:v>
                </c:pt>
              </c:numCache>
            </c:numRef>
          </c:val>
          <c:extLst>
            <c:ext xmlns:c16="http://schemas.microsoft.com/office/drawing/2014/chart" uri="{C3380CC4-5D6E-409C-BE32-E72D297353CC}">
              <c16:uniqueId val="{00000003-71A7-494B-B4EB-656813696355}"/>
            </c:ext>
          </c:extLst>
        </c:ser>
        <c:ser>
          <c:idx val="4"/>
          <c:order val="4"/>
          <c:tx>
            <c:strRef>
              <c:f>'Historic IS'!$G$6</c:f>
              <c:strCache>
                <c:ptCount val="1"/>
                <c:pt idx="0">
                  <c:v>E. DSP</c:v>
                </c:pt>
              </c:strCache>
            </c:strRef>
          </c:tx>
          <c:spPr>
            <a:solidFill>
              <a:srgbClr val="8064A2"/>
            </a:solidFill>
            <a:ln>
              <a:noFill/>
            </a:ln>
            <a:effectLst/>
          </c:spPr>
          <c:invertIfNegative val="0"/>
          <c:dPt>
            <c:idx val="0"/>
            <c:invertIfNegative val="0"/>
            <c:bubble3D val="0"/>
            <c:spPr>
              <a:solidFill>
                <a:srgbClr val="8064A2"/>
              </a:solidFill>
              <a:ln>
                <a:noFill/>
              </a:ln>
              <a:effectLst/>
            </c:spPr>
            <c:extLst>
              <c:ext xmlns:c16="http://schemas.microsoft.com/office/drawing/2014/chart" uri="{C3380CC4-5D6E-409C-BE32-E72D297353CC}">
                <c16:uniqueId val="{00000005-71A7-494B-B4EB-656813696355}"/>
              </c:ext>
            </c:extLst>
          </c:dPt>
          <c:dPt>
            <c:idx val="1"/>
            <c:invertIfNegative val="0"/>
            <c:bubble3D val="0"/>
            <c:spPr>
              <a:solidFill>
                <a:srgbClr val="8064A2"/>
              </a:solidFill>
              <a:ln>
                <a:noFill/>
              </a:ln>
              <a:effectLst/>
            </c:spPr>
            <c:extLst>
              <c:ext xmlns:c16="http://schemas.microsoft.com/office/drawing/2014/chart" uri="{C3380CC4-5D6E-409C-BE32-E72D297353CC}">
                <c16:uniqueId val="{00000007-71A7-494B-B4EB-656813696355}"/>
              </c:ext>
            </c:extLst>
          </c:dPt>
          <c:dLbls>
            <c:dLbl>
              <c:idx val="0"/>
              <c:layout>
                <c:manualLayout>
                  <c:x val="7.5810463424542895E-2"/>
                  <c:y val="-6.6065302874049691E-17"/>
                </c:manualLayout>
              </c:layout>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1A7-494B-B4EB-656813696355}"/>
                </c:ext>
              </c:extLst>
            </c:dLbl>
            <c:dLbl>
              <c:idx val="1"/>
              <c:layout>
                <c:manualLayout>
                  <c:x val="6.985321149237611E-2"/>
                  <c:y val="-1.5318450490933148E-17"/>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1A7-494B-B4EB-65681369635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'Historic IS'!$B$7:$B$9</c:f>
              <c:strCache>
                <c:ptCount val="2"/>
                <c:pt idx="0">
                  <c:v>Male</c:v>
                </c:pt>
                <c:pt idx="1">
                  <c:v>Female</c:v>
                </c:pt>
              </c:strCache>
            </c:strRef>
          </c:cat>
          <c:val>
            <c:numRef>
              <c:f>'Historic IS'!$G$7:$G$9</c:f>
              <c:numCache>
                <c:formatCode>0.0</c:formatCode>
                <c:ptCount val="2"/>
                <c:pt idx="0">
                  <c:v>0.48399090086042207</c:v>
                </c:pt>
                <c:pt idx="1">
                  <c:v>0.53380424647507851</c:v>
                </c:pt>
              </c:numCache>
            </c:numRef>
          </c:val>
          <c:extLst>
            <c:ext xmlns:c16="http://schemas.microsoft.com/office/drawing/2014/chart" uri="{C3380CC4-5D6E-409C-BE32-E72D297353CC}">
              <c16:uniqueId val="{00000008-71A7-494B-B4EB-656813696355}"/>
            </c:ext>
          </c:extLst>
        </c:ser>
        <c:ser>
          <c:idx val="5"/>
          <c:order val="5"/>
          <c:tx>
            <c:strRef>
              <c:f>'Historic IS'!$H$6</c:f>
              <c:strCache>
                <c:ptCount val="1"/>
                <c:pt idx="0">
                  <c:v>F. Age Pension</c:v>
                </c:pt>
              </c:strCache>
            </c:strRef>
          </c:tx>
          <c:spPr>
            <a:solidFill>
              <a:schemeClr val="accent6"/>
            </a:solidFill>
            <a:ln>
              <a:noFill/>
            </a:ln>
            <a:effectLst/>
          </c:spPr>
          <c:invertIfNegative val="0"/>
          <c:cat>
            <c:strRef>
              <c:f>'Historic IS'!$B$7:$B$9</c:f>
              <c:strCache>
                <c:ptCount val="2"/>
                <c:pt idx="0">
                  <c:v>Male</c:v>
                </c:pt>
                <c:pt idx="1">
                  <c:v>Female</c:v>
                </c:pt>
              </c:strCache>
            </c:strRef>
          </c:cat>
          <c:val>
            <c:numRef>
              <c:f>'Historic IS'!$H$7:$H$9</c:f>
              <c:numCache>
                <c:formatCode>0.0</c:formatCode>
                <c:ptCount val="2"/>
                <c:pt idx="0">
                  <c:v>0</c:v>
                </c:pt>
                <c:pt idx="1">
                  <c:v>0</c:v>
                </c:pt>
              </c:numCache>
            </c:numRef>
          </c:val>
          <c:extLst>
            <c:ext xmlns:c16="http://schemas.microsoft.com/office/drawing/2014/chart" uri="{C3380CC4-5D6E-409C-BE32-E72D297353CC}">
              <c16:uniqueId val="{00000009-71A7-494B-B4EB-656813696355}"/>
            </c:ext>
          </c:extLst>
        </c:ser>
        <c:dLbls>
          <c:showLegendKey val="0"/>
          <c:showVal val="0"/>
          <c:showCatName val="0"/>
          <c:showSerName val="0"/>
          <c:showPercent val="0"/>
          <c:showBubbleSize val="0"/>
        </c:dLbls>
        <c:gapWidth val="150"/>
        <c:overlap val="100"/>
        <c:axId val="699589640"/>
        <c:axId val="699591608"/>
      </c:barChart>
      <c:catAx>
        <c:axId val="6995896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Gender</a:t>
                </a:r>
              </a:p>
            </c:rich>
          </c:tx>
          <c:layout>
            <c:manualLayout>
              <c:xMode val="edge"/>
              <c:yMode val="edge"/>
              <c:x val="3.9614297073662479E-3"/>
              <c:y val="0.1843046022990441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699591608"/>
        <c:crosses val="autoZero"/>
        <c:auto val="1"/>
        <c:lblAlgn val="ctr"/>
        <c:lblOffset val="100"/>
        <c:noMultiLvlLbl val="0"/>
      </c:catAx>
      <c:valAx>
        <c:axId val="699591608"/>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Years</a:t>
                </a:r>
              </a:p>
            </c:rich>
          </c:tx>
          <c:layout>
            <c:manualLayout>
              <c:xMode val="edge"/>
              <c:yMode val="edge"/>
              <c:x val="0.52735210612270411"/>
              <c:y val="0.7140934950698730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699589640"/>
        <c:crosses val="autoZero"/>
        <c:crossBetween val="between"/>
        <c:majorUnit val="1"/>
      </c:valAx>
      <c:spPr>
        <a:noFill/>
        <a:ln>
          <a:noFill/>
        </a:ln>
        <a:effectLst/>
      </c:spPr>
    </c:plotArea>
    <c:legend>
      <c:legendPos val="b"/>
      <c:legendEntry>
        <c:idx val="5"/>
        <c:delete val="1"/>
      </c:legendEntry>
      <c:layout>
        <c:manualLayout>
          <c:xMode val="edge"/>
          <c:yMode val="edge"/>
          <c:x val="0"/>
          <c:y val="0.81361764914520818"/>
          <c:w val="0.99778513647869571"/>
          <c:h val="0.18534269702773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chemeClr val="tx1"/>
          </a:solidFill>
          <a:latin typeface="Arial" panose="020B0604020202020204" pitchFamily="34"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92702848789498"/>
          <c:y val="3.4631560097027843E-2"/>
          <c:w val="0.78507675516012509"/>
          <c:h val="0.72897974245293773"/>
        </c:manualLayout>
      </c:layout>
      <c:lineChart>
        <c:grouping val="standard"/>
        <c:varyColors val="0"/>
        <c:ser>
          <c:idx val="0"/>
          <c:order val="0"/>
          <c:tx>
            <c:strRef>
              <c:f>'6 RA'!$N$14</c:f>
              <c:strCache>
                <c:ptCount val="1"/>
                <c:pt idx="0">
                  <c:v>Projected Number of Age Pensioners (million)</c:v>
                </c:pt>
              </c:strCache>
            </c:strRef>
          </c:tx>
          <c:spPr>
            <a:ln w="28575" cap="rnd">
              <a:solidFill>
                <a:srgbClr val="C0504D"/>
              </a:solidFill>
              <a:round/>
            </a:ln>
            <a:effectLst/>
          </c:spPr>
          <c:marker>
            <c:symbol val="circle"/>
            <c:size val="5"/>
            <c:spPr>
              <a:solidFill>
                <a:srgbClr val="C0504D"/>
              </a:solidFill>
              <a:ln w="9525">
                <a:solidFill>
                  <a:srgbClr val="C0504D"/>
                </a:solidFill>
              </a:ln>
              <a:effectLst/>
            </c:spPr>
          </c:marker>
          <c:dLbls>
            <c:dLbl>
              <c:idx val="0"/>
              <c:layout>
                <c:manualLayout>
                  <c:x val="-2.8814757370694416E-2"/>
                  <c:y val="-9.6579605702285146E-2"/>
                </c:manualLayout>
              </c:layout>
              <c:tx>
                <c:rich>
                  <a:bodyPr/>
                  <a:lstStyle/>
                  <a:p>
                    <a:fld id="{A93679AD-8F83-4F4D-905E-DD5942D4148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31F-45FD-8CE7-63E48FFB1F97}"/>
                </c:ext>
              </c:extLst>
            </c:dLbl>
            <c:dLbl>
              <c:idx val="1"/>
              <c:tx>
                <c:rich>
                  <a:bodyPr/>
                  <a:lstStyle/>
                  <a:p>
                    <a:fld id="{16A050F7-5FD7-45A9-A0BB-E3C8D40B26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31F-45FD-8CE7-63E48FFB1F97}"/>
                </c:ext>
              </c:extLst>
            </c:dLbl>
            <c:dLbl>
              <c:idx val="2"/>
              <c:tx>
                <c:rich>
                  <a:bodyPr/>
                  <a:lstStyle/>
                  <a:p>
                    <a:fld id="{701A6EA8-B04F-4313-B958-C94E15523F2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31F-45FD-8CE7-63E48FFB1F97}"/>
                </c:ext>
              </c:extLst>
            </c:dLbl>
            <c:dLbl>
              <c:idx val="3"/>
              <c:tx>
                <c:rich>
                  <a:bodyPr/>
                  <a:lstStyle/>
                  <a:p>
                    <a:fld id="{2BBE475C-12AF-4A17-AF00-AC4E57CE0D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31F-45FD-8CE7-63E48FFB1F97}"/>
                </c:ext>
              </c:extLst>
            </c:dLbl>
            <c:dLbl>
              <c:idx val="4"/>
              <c:tx>
                <c:rich>
                  <a:bodyPr/>
                  <a:lstStyle/>
                  <a:p>
                    <a:fld id="{BEECB42A-8A7A-4E9F-BA2B-5073162AE5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31F-45FD-8CE7-63E48FFB1F97}"/>
                </c:ext>
              </c:extLst>
            </c:dLbl>
            <c:dLbl>
              <c:idx val="5"/>
              <c:tx>
                <c:rich>
                  <a:bodyPr/>
                  <a:lstStyle/>
                  <a:p>
                    <a:fld id="{EA7FF031-0F58-47B9-812A-24F9B613ED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31F-45FD-8CE7-63E48FFB1F97}"/>
                </c:ext>
              </c:extLst>
            </c:dLbl>
            <c:dLbl>
              <c:idx val="6"/>
              <c:tx>
                <c:rich>
                  <a:bodyPr/>
                  <a:lstStyle/>
                  <a:p>
                    <a:fld id="{C2CF3B6E-6091-4E89-B013-147F6087C1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31F-45FD-8CE7-63E48FFB1F97}"/>
                </c:ext>
              </c:extLst>
            </c:dLbl>
            <c:dLbl>
              <c:idx val="7"/>
              <c:tx>
                <c:rich>
                  <a:bodyPr/>
                  <a:lstStyle/>
                  <a:p>
                    <a:fld id="{E1F04C47-E26D-47D2-8476-C5A46BD6909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31F-45FD-8CE7-63E48FFB1F97}"/>
                </c:ext>
              </c:extLst>
            </c:dLbl>
            <c:dLbl>
              <c:idx val="8"/>
              <c:tx>
                <c:rich>
                  <a:bodyPr/>
                  <a:lstStyle/>
                  <a:p>
                    <a:fld id="{6BDE0B0B-C909-4670-BA75-9FDA70A299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31F-45FD-8CE7-63E48FFB1F97}"/>
                </c:ext>
              </c:extLst>
            </c:dLbl>
            <c:dLbl>
              <c:idx val="9"/>
              <c:tx>
                <c:rich>
                  <a:bodyPr/>
                  <a:lstStyle/>
                  <a:p>
                    <a:fld id="{B20E08B9-09FA-473C-9157-35CB4023AD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31F-45FD-8CE7-63E48FFB1F97}"/>
                </c:ext>
              </c:extLst>
            </c:dLbl>
            <c:dLbl>
              <c:idx val="10"/>
              <c:tx>
                <c:rich>
                  <a:bodyPr/>
                  <a:lstStyle/>
                  <a:p>
                    <a:fld id="{ADA94FCA-38A7-4082-8FFF-712F2FA550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31F-45FD-8CE7-63E48FFB1F97}"/>
                </c:ext>
              </c:extLst>
            </c:dLbl>
            <c:dLbl>
              <c:idx val="11"/>
              <c:tx>
                <c:rich>
                  <a:bodyPr/>
                  <a:lstStyle/>
                  <a:p>
                    <a:fld id="{7C496670-61FC-4163-8543-54D6C3A9BC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31F-45FD-8CE7-63E48FFB1F97}"/>
                </c:ext>
              </c:extLst>
            </c:dLbl>
            <c:dLbl>
              <c:idx val="12"/>
              <c:tx>
                <c:rich>
                  <a:bodyPr/>
                  <a:lstStyle/>
                  <a:p>
                    <a:fld id="{A7A6950A-FAC6-49E9-81A5-321042D3E9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31F-45FD-8CE7-63E48FFB1F97}"/>
                </c:ext>
              </c:extLst>
            </c:dLbl>
            <c:dLbl>
              <c:idx val="13"/>
              <c:tx>
                <c:rich>
                  <a:bodyPr/>
                  <a:lstStyle/>
                  <a:p>
                    <a:fld id="{99BE6AC0-6FA6-4982-8C72-EE88FAD659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31F-45FD-8CE7-63E48FFB1F97}"/>
                </c:ext>
              </c:extLst>
            </c:dLbl>
            <c:dLbl>
              <c:idx val="14"/>
              <c:tx>
                <c:rich>
                  <a:bodyPr/>
                  <a:lstStyle/>
                  <a:p>
                    <a:fld id="{C82C8D98-152B-49F9-AD06-72F076C99C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31F-45FD-8CE7-63E48FFB1F97}"/>
                </c:ext>
              </c:extLst>
            </c:dLbl>
            <c:dLbl>
              <c:idx val="15"/>
              <c:tx>
                <c:rich>
                  <a:bodyPr/>
                  <a:lstStyle/>
                  <a:p>
                    <a:fld id="{5E366521-9FB1-4CCC-83AF-F64268198E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B31F-45FD-8CE7-63E48FFB1F97}"/>
                </c:ext>
              </c:extLst>
            </c:dLbl>
            <c:dLbl>
              <c:idx val="16"/>
              <c:tx>
                <c:rich>
                  <a:bodyPr/>
                  <a:lstStyle/>
                  <a:p>
                    <a:fld id="{A8070D94-ED3E-4B72-A721-AC810CC2DF3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B31F-45FD-8CE7-63E48FFB1F97}"/>
                </c:ext>
              </c:extLst>
            </c:dLbl>
            <c:dLbl>
              <c:idx val="17"/>
              <c:layout>
                <c:manualLayout>
                  <c:x val="0"/>
                  <c:y val="-7.2796934865900401E-2"/>
                </c:manualLayout>
              </c:layout>
              <c:tx>
                <c:rich>
                  <a:bodyPr/>
                  <a:lstStyle/>
                  <a:p>
                    <a:fld id="{85A5C367-B616-4416-921E-AF20C619E1E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B31F-45FD-8CE7-63E48FFB1F97}"/>
                </c:ext>
              </c:extLst>
            </c:dLbl>
            <c:dLbl>
              <c:idx val="18"/>
              <c:tx>
                <c:rich>
                  <a:bodyPr/>
                  <a:lstStyle/>
                  <a:p>
                    <a:fld id="{3A377B16-7FF5-4129-B506-4831F3AC939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31F-45FD-8CE7-63E48FFB1F97}"/>
                </c:ext>
              </c:extLst>
            </c:dLbl>
            <c:dLbl>
              <c:idx val="19"/>
              <c:tx>
                <c:rich>
                  <a:bodyPr/>
                  <a:lstStyle/>
                  <a:p>
                    <a:fld id="{A2F2B4DC-00E7-4731-B61D-DFDCA97999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31F-45FD-8CE7-63E48FFB1F97}"/>
                </c:ext>
              </c:extLst>
            </c:dLbl>
            <c:dLbl>
              <c:idx val="20"/>
              <c:tx>
                <c:rich>
                  <a:bodyPr/>
                  <a:lstStyle/>
                  <a:p>
                    <a:fld id="{936803FD-5F69-476A-A45D-647843CEFED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31F-45FD-8CE7-63E48FFB1F97}"/>
                </c:ext>
              </c:extLst>
            </c:dLbl>
            <c:dLbl>
              <c:idx val="21"/>
              <c:tx>
                <c:rich>
                  <a:bodyPr/>
                  <a:lstStyle/>
                  <a:p>
                    <a:fld id="{0347F655-8586-4E92-9681-C7B68DF1A3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31F-45FD-8CE7-63E48FFB1F97}"/>
                </c:ext>
              </c:extLst>
            </c:dLbl>
            <c:dLbl>
              <c:idx val="22"/>
              <c:tx>
                <c:rich>
                  <a:bodyPr/>
                  <a:lstStyle/>
                  <a:p>
                    <a:fld id="{1FBD705E-8C92-49DC-88E7-363A4B11C12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B31F-45FD-8CE7-63E48FFB1F97}"/>
                </c:ext>
              </c:extLst>
            </c:dLbl>
            <c:dLbl>
              <c:idx val="23"/>
              <c:tx>
                <c:rich>
                  <a:bodyPr/>
                  <a:lstStyle/>
                  <a:p>
                    <a:fld id="{D9FAB383-2B2E-4B2B-B3FF-162B86D0A7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B31F-45FD-8CE7-63E48FFB1F97}"/>
                </c:ext>
              </c:extLst>
            </c:dLbl>
            <c:dLbl>
              <c:idx val="24"/>
              <c:tx>
                <c:rich>
                  <a:bodyPr/>
                  <a:lstStyle/>
                  <a:p>
                    <a:fld id="{BF9CF3F0-9D30-45B9-8372-8D25D838A0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B31F-45FD-8CE7-63E48FFB1F97}"/>
                </c:ext>
              </c:extLst>
            </c:dLbl>
            <c:dLbl>
              <c:idx val="25"/>
              <c:tx>
                <c:rich>
                  <a:bodyPr/>
                  <a:lstStyle/>
                  <a:p>
                    <a:fld id="{CFFDA6A6-95BB-4E65-9D6B-CA7B19C52A0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B31F-45FD-8CE7-63E48FFB1F97}"/>
                </c:ext>
              </c:extLst>
            </c:dLbl>
            <c:dLbl>
              <c:idx val="26"/>
              <c:tx>
                <c:rich>
                  <a:bodyPr/>
                  <a:lstStyle/>
                  <a:p>
                    <a:fld id="{9ED11F4D-C290-4E22-93CC-3914B89DFE6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B31F-45FD-8CE7-63E48FFB1F97}"/>
                </c:ext>
              </c:extLst>
            </c:dLbl>
            <c:dLbl>
              <c:idx val="27"/>
              <c:tx>
                <c:rich>
                  <a:bodyPr/>
                  <a:lstStyle/>
                  <a:p>
                    <a:fld id="{5C375D86-9500-4914-BD9D-9BA83BBFCDF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B31F-45FD-8CE7-63E48FFB1F97}"/>
                </c:ext>
              </c:extLst>
            </c:dLbl>
            <c:dLbl>
              <c:idx val="28"/>
              <c:tx>
                <c:rich>
                  <a:bodyPr/>
                  <a:lstStyle/>
                  <a:p>
                    <a:fld id="{B2B510D4-A317-48E0-8A73-B81667FEB50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B31F-45FD-8CE7-63E48FFB1F97}"/>
                </c:ext>
              </c:extLst>
            </c:dLbl>
            <c:dLbl>
              <c:idx val="29"/>
              <c:tx>
                <c:rich>
                  <a:bodyPr/>
                  <a:lstStyle/>
                  <a:p>
                    <a:fld id="{E13E5B0A-F253-4119-8D9B-C48D6FEF24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B31F-45FD-8CE7-63E48FFB1F97}"/>
                </c:ext>
              </c:extLst>
            </c:dLbl>
            <c:dLbl>
              <c:idx val="30"/>
              <c:tx>
                <c:rich>
                  <a:bodyPr/>
                  <a:lstStyle/>
                  <a:p>
                    <a:fld id="{C30E0F4B-6880-43E6-B344-E9C9E05D14A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B31F-45FD-8CE7-63E48FFB1F97}"/>
                </c:ext>
              </c:extLst>
            </c:dLbl>
            <c:dLbl>
              <c:idx val="31"/>
              <c:tx>
                <c:rich>
                  <a:bodyPr/>
                  <a:lstStyle/>
                  <a:p>
                    <a:fld id="{3BB2FEC0-00CD-4130-ACB4-CCD8759ED52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B31F-45FD-8CE7-63E48FFB1F97}"/>
                </c:ext>
              </c:extLst>
            </c:dLbl>
            <c:dLbl>
              <c:idx val="32"/>
              <c:tx>
                <c:rich>
                  <a:bodyPr/>
                  <a:lstStyle/>
                  <a:p>
                    <a:fld id="{725C48F9-F620-4DC2-AE2A-8EDFAAFD2DD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B31F-45FD-8CE7-63E48FFB1F97}"/>
                </c:ext>
              </c:extLst>
            </c:dLbl>
            <c:dLbl>
              <c:idx val="33"/>
              <c:tx>
                <c:rich>
                  <a:bodyPr/>
                  <a:lstStyle/>
                  <a:p>
                    <a:fld id="{37E6EA6F-8A6D-4B9A-BE41-8CA23065388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B31F-45FD-8CE7-63E48FFB1F97}"/>
                </c:ext>
              </c:extLst>
            </c:dLbl>
            <c:dLbl>
              <c:idx val="34"/>
              <c:tx>
                <c:rich>
                  <a:bodyPr/>
                  <a:lstStyle/>
                  <a:p>
                    <a:fld id="{B553FE8C-934B-4F35-9499-26EA7C3A7DD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B31F-45FD-8CE7-63E48FFB1F97}"/>
                </c:ext>
              </c:extLst>
            </c:dLbl>
            <c:dLbl>
              <c:idx val="35"/>
              <c:tx>
                <c:rich>
                  <a:bodyPr/>
                  <a:lstStyle/>
                  <a:p>
                    <a:fld id="{1FFE1D98-FFAF-46D7-8D13-A60A950EA2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B31F-45FD-8CE7-63E48FFB1F97}"/>
                </c:ext>
              </c:extLst>
            </c:dLbl>
            <c:dLbl>
              <c:idx val="36"/>
              <c:tx>
                <c:rich>
                  <a:bodyPr/>
                  <a:lstStyle/>
                  <a:p>
                    <a:fld id="{969A9D04-B0E3-4561-82B4-1AD06F0468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B31F-45FD-8CE7-63E48FFB1F97}"/>
                </c:ext>
              </c:extLst>
            </c:dLbl>
            <c:dLbl>
              <c:idx val="37"/>
              <c:tx>
                <c:rich>
                  <a:bodyPr/>
                  <a:lstStyle/>
                  <a:p>
                    <a:fld id="{85C5524E-5491-4848-930B-79FF461AC2D3}" type="CELLRANGE">
                      <a:rPr lang="en-US"/>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B31F-45FD-8CE7-63E48FFB1F9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'6 RA'!$M$15:$M$52</c:f>
              <c:numCache>
                <c:formatCode>General</c:formatCode>
                <c:ptCount val="38"/>
                <c:pt idx="0">
                  <c:v>2023</c:v>
                </c:pt>
                <c:pt idx="7">
                  <c:v>2030</c:v>
                </c:pt>
                <c:pt idx="17">
                  <c:v>2040</c:v>
                </c:pt>
                <c:pt idx="27">
                  <c:v>2050</c:v>
                </c:pt>
                <c:pt idx="37">
                  <c:v>2060</c:v>
                </c:pt>
              </c:numCache>
            </c:numRef>
          </c:cat>
          <c:val>
            <c:numRef>
              <c:f>'6 RA'!$N$15:$N$52</c:f>
              <c:numCache>
                <c:formatCode>_-* #,##0.000_-;\-* #,##0.000_-;_-* "-"??_-;_-@_-</c:formatCode>
                <c:ptCount val="38"/>
                <c:pt idx="0">
                  <c:v>2.734829</c:v>
                </c:pt>
                <c:pt idx="1">
                  <c:v>2.7154780000000001</c:v>
                </c:pt>
                <c:pt idx="2">
                  <c:v>2.7540979999999999</c:v>
                </c:pt>
                <c:pt idx="3">
                  <c:v>2.7967219999999999</c:v>
                </c:pt>
                <c:pt idx="4">
                  <c:v>2.838965</c:v>
                </c:pt>
                <c:pt idx="5">
                  <c:v>2.8841580000000002</c:v>
                </c:pt>
                <c:pt idx="6">
                  <c:v>2.928455</c:v>
                </c:pt>
                <c:pt idx="7">
                  <c:v>2.9740639999999998</c:v>
                </c:pt>
                <c:pt idx="8">
                  <c:v>3.0154670000000001</c:v>
                </c:pt>
                <c:pt idx="9">
                  <c:v>3.052238</c:v>
                </c:pt>
                <c:pt idx="10">
                  <c:v>3.0869939999999998</c:v>
                </c:pt>
                <c:pt idx="11">
                  <c:v>3.1199219999999999</c:v>
                </c:pt>
                <c:pt idx="12">
                  <c:v>3.153394</c:v>
                </c:pt>
                <c:pt idx="13">
                  <c:v>3.1893419999999999</c:v>
                </c:pt>
                <c:pt idx="14">
                  <c:v>3.225282</c:v>
                </c:pt>
                <c:pt idx="15">
                  <c:v>3.268135</c:v>
                </c:pt>
                <c:pt idx="16">
                  <c:v>3.3089400000000002</c:v>
                </c:pt>
                <c:pt idx="17">
                  <c:v>3.343156</c:v>
                </c:pt>
                <c:pt idx="18">
                  <c:v>3.3737940000000002</c:v>
                </c:pt>
                <c:pt idx="19">
                  <c:v>3.3982070000000002</c:v>
                </c:pt>
                <c:pt idx="20">
                  <c:v>3.419581</c:v>
                </c:pt>
                <c:pt idx="21">
                  <c:v>3.439012</c:v>
                </c:pt>
                <c:pt idx="22">
                  <c:v>3.4595570000000002</c:v>
                </c:pt>
                <c:pt idx="23">
                  <c:v>3.4799169999999999</c:v>
                </c:pt>
                <c:pt idx="24">
                  <c:v>3.501519</c:v>
                </c:pt>
                <c:pt idx="25">
                  <c:v>3.526885</c:v>
                </c:pt>
                <c:pt idx="26">
                  <c:v>3.552543</c:v>
                </c:pt>
                <c:pt idx="27">
                  <c:v>3.5838779999999999</c:v>
                </c:pt>
                <c:pt idx="28">
                  <c:v>3.6151520000000001</c:v>
                </c:pt>
                <c:pt idx="29">
                  <c:v>3.6468919999999998</c:v>
                </c:pt>
                <c:pt idx="30">
                  <c:v>3.6754760000000002</c:v>
                </c:pt>
                <c:pt idx="31">
                  <c:v>3.7014239999999998</c:v>
                </c:pt>
                <c:pt idx="32">
                  <c:v>3.7301129999999998</c:v>
                </c:pt>
                <c:pt idx="33">
                  <c:v>3.7577509999999998</c:v>
                </c:pt>
                <c:pt idx="34">
                  <c:v>3.7859889999999998</c:v>
                </c:pt>
                <c:pt idx="35">
                  <c:v>3.8111969999999999</c:v>
                </c:pt>
                <c:pt idx="36">
                  <c:v>3.8335129999999999</c:v>
                </c:pt>
                <c:pt idx="37">
                  <c:v>3.8558690000000002</c:v>
                </c:pt>
              </c:numCache>
            </c:numRef>
          </c:val>
          <c:smooth val="0"/>
          <c:extLst>
            <c:ext xmlns:c15="http://schemas.microsoft.com/office/drawing/2012/chart" uri="{02D57815-91ED-43cb-92C2-25804820EDAC}">
              <c15:datalabelsRange>
                <c15:f>[4]Projections!$W$4:$W$41</c15:f>
                <c15:dlblRangeCache>
                  <c:ptCount val="38"/>
                  <c:pt idx="0">
                    <c:v>2.7 million</c:v>
                  </c:pt>
                  <c:pt idx="37">
                    <c:v>3.9 million</c:v>
                  </c:pt>
                </c15:dlblRangeCache>
              </c15:datalabelsRange>
            </c:ext>
            <c:ext xmlns:c16="http://schemas.microsoft.com/office/drawing/2014/chart" uri="{C3380CC4-5D6E-409C-BE32-E72D297353CC}">
              <c16:uniqueId val="{00000026-B31F-45FD-8CE7-63E48FFB1F97}"/>
            </c:ext>
          </c:extLst>
        </c:ser>
        <c:dLbls>
          <c:showLegendKey val="0"/>
          <c:showVal val="0"/>
          <c:showCatName val="0"/>
          <c:showSerName val="0"/>
          <c:showPercent val="0"/>
          <c:showBubbleSize val="0"/>
        </c:dLbls>
        <c:marker val="1"/>
        <c:smooth val="0"/>
        <c:axId val="458652848"/>
        <c:axId val="458659080"/>
      </c:lineChart>
      <c:catAx>
        <c:axId val="45865284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a:t>
                </a:r>
              </a:p>
            </c:rich>
          </c:tx>
          <c:layout>
            <c:manualLayout>
              <c:xMode val="edge"/>
              <c:yMode val="edge"/>
              <c:x val="0.52170221335885858"/>
              <c:y val="0.8944176430048242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458659080"/>
        <c:crosses val="autoZero"/>
        <c:auto val="1"/>
        <c:lblAlgn val="ctr"/>
        <c:lblOffset val="100"/>
        <c:tickLblSkip val="1"/>
        <c:noMultiLvlLbl val="0"/>
      </c:catAx>
      <c:valAx>
        <c:axId val="458659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Number of Age Pension recipients (in</a:t>
                </a:r>
                <a:r>
                  <a:rPr lang="en-AU" sz="900" b="1" i="0" u="none" strike="noStrike" kern="1200" baseline="0">
                    <a:solidFill>
                      <a:sysClr val="windowText" lastClr="000000"/>
                    </a:solidFill>
                    <a:latin typeface="Arial" panose="020B0604020202020204" pitchFamily="34" charset="0"/>
                    <a:ea typeface="+mn-ea"/>
                    <a:cs typeface="+mn-cs"/>
                  </a:rPr>
                  <a:t> million</a:t>
                </a:r>
                <a:r>
                  <a:rPr lang="en-AU" b="1"/>
                  <a:t>s)</a:t>
                </a:r>
              </a:p>
            </c:rich>
          </c:tx>
          <c:layout>
            <c:manualLayout>
              <c:xMode val="edge"/>
              <c:yMode val="edge"/>
              <c:x val="5.8797589298838744E-3"/>
              <c:y val="7.5809786354238462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458652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82445447295714"/>
          <c:y val="4.8526141072756782E-2"/>
          <c:w val="0.53982228775864294"/>
          <c:h val="0.75695599125027935"/>
        </c:manualLayout>
      </c:layout>
      <c:barChart>
        <c:barDir val="bar"/>
        <c:grouping val="stacked"/>
        <c:varyColors val="0"/>
        <c:ser>
          <c:idx val="5"/>
          <c:order val="0"/>
          <c:tx>
            <c:strRef>
              <c:f>'4. Duration Indig'!$Q$2</c:f>
              <c:strCache>
                <c:ptCount val="1"/>
                <c:pt idx="0">
                  <c:v>Total preret var</c:v>
                </c:pt>
              </c:strCache>
            </c:strRef>
          </c:tx>
          <c:spPr>
            <a:solidFill>
              <a:srgbClr val="74000E"/>
            </a:solidFill>
            <a:ln>
              <a:noFill/>
            </a:ln>
            <a:effectLst/>
          </c:spPr>
          <c:invertIfNegative val="0"/>
          <c:dPt>
            <c:idx val="0"/>
            <c:invertIfNegative val="0"/>
            <c:bubble3D val="0"/>
            <c:spPr>
              <a:solidFill>
                <a:srgbClr val="D99694"/>
              </a:solidFill>
              <a:ln>
                <a:noFill/>
              </a:ln>
              <a:effectLst/>
            </c:spPr>
            <c:extLst>
              <c:ext xmlns:c16="http://schemas.microsoft.com/office/drawing/2014/chart" uri="{C3380CC4-5D6E-409C-BE32-E72D297353CC}">
                <c16:uniqueId val="{00000001-90ED-4B8F-A45D-C7305DC5A541}"/>
              </c:ext>
            </c:extLst>
          </c:dPt>
          <c:dPt>
            <c:idx val="1"/>
            <c:invertIfNegative val="0"/>
            <c:bubble3D val="0"/>
            <c:spPr>
              <a:solidFill>
                <a:srgbClr val="953735"/>
              </a:solidFill>
              <a:ln>
                <a:noFill/>
              </a:ln>
              <a:effectLst/>
            </c:spPr>
            <c:extLst>
              <c:ext xmlns:c16="http://schemas.microsoft.com/office/drawing/2014/chart" uri="{C3380CC4-5D6E-409C-BE32-E72D297353CC}">
                <c16:uniqueId val="{00000003-90ED-4B8F-A45D-C7305DC5A541}"/>
              </c:ext>
            </c:extLst>
          </c:dPt>
          <c:dPt>
            <c:idx val="2"/>
            <c:invertIfNegative val="0"/>
            <c:bubble3D val="0"/>
            <c:spPr>
              <a:solidFill>
                <a:srgbClr val="632523"/>
              </a:solidFill>
              <a:ln>
                <a:noFill/>
              </a:ln>
              <a:effectLst/>
            </c:spPr>
            <c:extLst>
              <c:ext xmlns:c16="http://schemas.microsoft.com/office/drawing/2014/chart" uri="{C3380CC4-5D6E-409C-BE32-E72D297353CC}">
                <c16:uniqueId val="{00000005-90ED-4B8F-A45D-C7305DC5A541}"/>
              </c:ext>
            </c:extLst>
          </c:dPt>
          <c:dPt>
            <c:idx val="3"/>
            <c:invertIfNegative val="0"/>
            <c:bubble3D val="0"/>
            <c:spPr>
              <a:solidFill>
                <a:srgbClr val="D99694"/>
              </a:solidFill>
              <a:ln>
                <a:noFill/>
              </a:ln>
              <a:effectLst/>
            </c:spPr>
            <c:extLst>
              <c:ext xmlns:c16="http://schemas.microsoft.com/office/drawing/2014/chart" uri="{C3380CC4-5D6E-409C-BE32-E72D297353CC}">
                <c16:uniqueId val="{00000007-90ED-4B8F-A45D-C7305DC5A541}"/>
              </c:ext>
            </c:extLst>
          </c:dPt>
          <c:dPt>
            <c:idx val="4"/>
            <c:invertIfNegative val="0"/>
            <c:bubble3D val="0"/>
            <c:spPr>
              <a:solidFill>
                <a:srgbClr val="D99694"/>
              </a:solidFill>
              <a:ln>
                <a:noFill/>
              </a:ln>
              <a:effectLst/>
            </c:spPr>
            <c:extLst>
              <c:ext xmlns:c16="http://schemas.microsoft.com/office/drawing/2014/chart" uri="{C3380CC4-5D6E-409C-BE32-E72D297353CC}">
                <c16:uniqueId val="{00000009-90ED-4B8F-A45D-C7305DC5A541}"/>
              </c:ext>
            </c:extLst>
          </c:dPt>
          <c:dPt>
            <c:idx val="5"/>
            <c:invertIfNegative val="0"/>
            <c:bubble3D val="0"/>
            <c:spPr>
              <a:solidFill>
                <a:srgbClr val="953735"/>
              </a:solidFill>
              <a:ln>
                <a:noFill/>
              </a:ln>
              <a:effectLst/>
            </c:spPr>
            <c:extLst>
              <c:ext xmlns:c16="http://schemas.microsoft.com/office/drawing/2014/chart" uri="{C3380CC4-5D6E-409C-BE32-E72D297353CC}">
                <c16:uniqueId val="{0000000B-90ED-4B8F-A45D-C7305DC5A541}"/>
              </c:ext>
            </c:extLst>
          </c:dPt>
          <c:dPt>
            <c:idx val="6"/>
            <c:invertIfNegative val="0"/>
            <c:bubble3D val="0"/>
            <c:spPr>
              <a:solidFill>
                <a:srgbClr val="632523"/>
              </a:solidFill>
              <a:ln>
                <a:noFill/>
              </a:ln>
              <a:effectLst/>
            </c:spPr>
            <c:extLst>
              <c:ext xmlns:c16="http://schemas.microsoft.com/office/drawing/2014/chart" uri="{C3380CC4-5D6E-409C-BE32-E72D297353CC}">
                <c16:uniqueId val="{0000000D-90ED-4B8F-A45D-C7305DC5A541}"/>
              </c:ext>
            </c:extLst>
          </c:dPt>
          <c:dPt>
            <c:idx val="7"/>
            <c:invertIfNegative val="0"/>
            <c:bubble3D val="0"/>
            <c:spPr>
              <a:solidFill>
                <a:srgbClr val="D99694"/>
              </a:solidFill>
              <a:ln>
                <a:noFill/>
              </a:ln>
              <a:effectLst/>
            </c:spPr>
            <c:extLst>
              <c:ext xmlns:c16="http://schemas.microsoft.com/office/drawing/2014/chart" uri="{C3380CC4-5D6E-409C-BE32-E72D297353CC}">
                <c16:uniqueId val="{0000000F-90ED-4B8F-A45D-C7305DC5A541}"/>
              </c:ext>
            </c:extLst>
          </c:dPt>
          <c:dPt>
            <c:idx val="8"/>
            <c:invertIfNegative val="0"/>
            <c:bubble3D val="0"/>
            <c:spPr>
              <a:solidFill>
                <a:srgbClr val="D99694"/>
              </a:solidFill>
              <a:ln>
                <a:noFill/>
              </a:ln>
              <a:effectLst/>
            </c:spPr>
            <c:extLst>
              <c:ext xmlns:c16="http://schemas.microsoft.com/office/drawing/2014/chart" uri="{C3380CC4-5D6E-409C-BE32-E72D297353CC}">
                <c16:uniqueId val="{00000011-90ED-4B8F-A45D-C7305DC5A541}"/>
              </c:ext>
            </c:extLst>
          </c:dPt>
          <c:dPt>
            <c:idx val="9"/>
            <c:invertIfNegative val="0"/>
            <c:bubble3D val="0"/>
            <c:spPr>
              <a:solidFill>
                <a:srgbClr val="953735"/>
              </a:solidFill>
              <a:ln>
                <a:noFill/>
              </a:ln>
              <a:effectLst/>
            </c:spPr>
            <c:extLst>
              <c:ext xmlns:c16="http://schemas.microsoft.com/office/drawing/2014/chart" uri="{C3380CC4-5D6E-409C-BE32-E72D297353CC}">
                <c16:uniqueId val="{00000013-90ED-4B8F-A45D-C7305DC5A541}"/>
              </c:ext>
            </c:extLst>
          </c:dPt>
          <c:dPt>
            <c:idx val="10"/>
            <c:invertIfNegative val="0"/>
            <c:bubble3D val="0"/>
            <c:spPr>
              <a:solidFill>
                <a:srgbClr val="632523"/>
              </a:solidFill>
              <a:ln>
                <a:noFill/>
              </a:ln>
              <a:effectLst/>
            </c:spPr>
            <c:extLst>
              <c:ext xmlns:c16="http://schemas.microsoft.com/office/drawing/2014/chart" uri="{C3380CC4-5D6E-409C-BE32-E72D297353CC}">
                <c16:uniqueId val="{00000015-90ED-4B8F-A45D-C7305DC5A541}"/>
              </c:ext>
            </c:extLst>
          </c:dPt>
          <c:dLbls>
            <c:dLbl>
              <c:idx val="0"/>
              <c:layout>
                <c:manualLayout>
                  <c:x val="7.7777777777777724E-2"/>
                  <c:y val="0"/>
                </c:manualLayout>
              </c:layout>
              <c:showLegendKey val="0"/>
              <c:showVal val="1"/>
              <c:showCatName val="0"/>
              <c:showSerName val="0"/>
              <c:showPercent val="0"/>
              <c:showBubbleSize val="0"/>
              <c:separator>, </c:separator>
              <c:extLst>
                <c:ext xmlns:c15="http://schemas.microsoft.com/office/drawing/2012/chart" uri="{CE6537A1-D6FC-4f65-9D91-7224C49458BB}">
                  <c15:layout>
                    <c:manualLayout>
                      <c:w val="5.4948662065485238E-2"/>
                      <c:h val="5.4644583660619063E-2"/>
                    </c:manualLayout>
                  </c15:layout>
                </c:ext>
                <c:ext xmlns:c16="http://schemas.microsoft.com/office/drawing/2014/chart" uri="{C3380CC4-5D6E-409C-BE32-E72D297353CC}">
                  <c16:uniqueId val="{00000001-90ED-4B8F-A45D-C7305DC5A541}"/>
                </c:ext>
              </c:extLst>
            </c:dLbl>
            <c:dLbl>
              <c:idx val="1"/>
              <c:layout>
                <c:manualLayout>
                  <c:x val="0.11944444444444434"/>
                  <c:y val="0"/>
                </c:manualLayout>
              </c:layout>
              <c:showLegendKey val="0"/>
              <c:showVal val="1"/>
              <c:showCatName val="0"/>
              <c:showSerName val="0"/>
              <c:showPercent val="0"/>
              <c:showBubbleSize val="0"/>
              <c:separator>, </c:separator>
              <c:extLst>
                <c:ext xmlns:c15="http://schemas.microsoft.com/office/drawing/2012/chart" uri="{CE6537A1-D6FC-4f65-9D91-7224C49458BB}">
                  <c15:layout>
                    <c:manualLayout>
                      <c:w val="5.4948662065485238E-2"/>
                      <c:h val="5.4644583660619063E-2"/>
                    </c:manualLayout>
                  </c15:layout>
                </c:ext>
                <c:ext xmlns:c16="http://schemas.microsoft.com/office/drawing/2014/chart" uri="{C3380CC4-5D6E-409C-BE32-E72D297353CC}">
                  <c16:uniqueId val="{00000003-90ED-4B8F-A45D-C7305DC5A541}"/>
                </c:ext>
              </c:extLst>
            </c:dLbl>
            <c:dLbl>
              <c:idx val="2"/>
              <c:layout>
                <c:manualLayout>
                  <c:x val="0.15115717592592592"/>
                  <c:y val="0"/>
                </c:manualLayout>
              </c:layout>
              <c:showLegendKey val="0"/>
              <c:showVal val="1"/>
              <c:showCatName val="0"/>
              <c:showSerName val="0"/>
              <c:showPercent val="0"/>
              <c:showBubbleSize val="0"/>
              <c:separator>, </c:separator>
              <c:extLst>
                <c:ext xmlns:c15="http://schemas.microsoft.com/office/drawing/2012/chart" uri="{CE6537A1-D6FC-4f65-9D91-7224C49458BB}">
                  <c15:layout>
                    <c:manualLayout>
                      <c:w val="5.4948662065485238E-2"/>
                      <c:h val="5.4644583660619063E-2"/>
                    </c:manualLayout>
                  </c15:layout>
                </c:ext>
                <c:ext xmlns:c16="http://schemas.microsoft.com/office/drawing/2014/chart" uri="{C3380CC4-5D6E-409C-BE32-E72D297353CC}">
                  <c16:uniqueId val="{00000005-90ED-4B8F-A45D-C7305DC5A541}"/>
                </c:ext>
              </c:extLst>
            </c:dLbl>
            <c:dLbl>
              <c:idx val="3"/>
              <c:layout>
                <c:manualLayout>
                  <c:x val="0.19395820046968615"/>
                  <c:y val="0"/>
                </c:manualLayout>
              </c:layout>
              <c:showLegendKey val="0"/>
              <c:showVal val="1"/>
              <c:showCatName val="0"/>
              <c:showSerName val="0"/>
              <c:showPercent val="0"/>
              <c:showBubbleSize val="0"/>
              <c:separator>, </c:separator>
              <c:extLst>
                <c:ext xmlns:c15="http://schemas.microsoft.com/office/drawing/2012/chart" uri="{CE6537A1-D6FC-4f65-9D91-7224C49458BB}">
                  <c15:layout>
                    <c:manualLayout>
                      <c:w val="0"/>
                      <c:h val="0"/>
                    </c:manualLayout>
                  </c15:layout>
                </c:ext>
                <c:ext xmlns:c16="http://schemas.microsoft.com/office/drawing/2014/chart" uri="{C3380CC4-5D6E-409C-BE32-E72D297353CC}">
                  <c16:uniqueId val="{00000007-90ED-4B8F-A45D-C7305DC5A541}"/>
                </c:ext>
              </c:extLst>
            </c:dLbl>
            <c:dLbl>
              <c:idx val="4"/>
              <c:layout>
                <c:manualLayout>
                  <c:x val="0.20492927506507655"/>
                  <c:y val="0"/>
                </c:manualLayout>
              </c:layout>
              <c:showLegendKey val="0"/>
              <c:showVal val="1"/>
              <c:showCatName val="0"/>
              <c:showSerName val="0"/>
              <c:showPercent val="0"/>
              <c:showBubbleSize val="0"/>
              <c:separator>, </c:separator>
              <c:extLst>
                <c:ext xmlns:c15="http://schemas.microsoft.com/office/drawing/2012/chart" uri="{CE6537A1-D6FC-4f65-9D91-7224C49458BB}">
                  <c15:layout>
                    <c:manualLayout>
                      <c:w val="5.4948662065485238E-2"/>
                      <c:h val="5.4644583660619063E-2"/>
                    </c:manualLayout>
                  </c15:layout>
                </c:ext>
                <c:ext xmlns:c16="http://schemas.microsoft.com/office/drawing/2014/chart" uri="{C3380CC4-5D6E-409C-BE32-E72D297353CC}">
                  <c16:uniqueId val="{00000009-90ED-4B8F-A45D-C7305DC5A541}"/>
                </c:ext>
              </c:extLst>
            </c:dLbl>
            <c:dLbl>
              <c:idx val="5"/>
              <c:layout>
                <c:manualLayout>
                  <c:x val="0.2111794125102287"/>
                  <c:y val="0"/>
                </c:manualLayout>
              </c:layout>
              <c:showLegendKey val="0"/>
              <c:showVal val="1"/>
              <c:showCatName val="0"/>
              <c:showSerName val="0"/>
              <c:showPercent val="0"/>
              <c:showBubbleSize val="0"/>
              <c:separator>, </c:separator>
              <c:extLst>
                <c:ext xmlns:c15="http://schemas.microsoft.com/office/drawing/2012/chart" uri="{CE6537A1-D6FC-4f65-9D91-7224C49458BB}">
                  <c15:layout>
                    <c:manualLayout>
                      <c:w val="6.9806164718900068E-2"/>
                      <c:h val="5.4644583660619063E-2"/>
                    </c:manualLayout>
                  </c15:layout>
                </c:ext>
                <c:ext xmlns:c16="http://schemas.microsoft.com/office/drawing/2014/chart" uri="{C3380CC4-5D6E-409C-BE32-E72D297353CC}">
                  <c16:uniqueId val="{0000000B-90ED-4B8F-A45D-C7305DC5A541}"/>
                </c:ext>
              </c:extLst>
            </c:dLbl>
            <c:dLbl>
              <c:idx val="6"/>
              <c:layout>
                <c:manualLayout>
                  <c:x val="0.28749984085298175"/>
                  <c:y val="-4.0548307373986636E-3"/>
                </c:manualLayout>
              </c:layout>
              <c:showLegendKey val="0"/>
              <c:showVal val="1"/>
              <c:showCatName val="0"/>
              <c:showSerName val="0"/>
              <c:showPercent val="0"/>
              <c:showBubbleSize val="0"/>
              <c:separator>, </c:separator>
              <c:extLst>
                <c:ext xmlns:c15="http://schemas.microsoft.com/office/drawing/2012/chart" uri="{CE6537A1-D6FC-4f65-9D91-7224C49458BB}">
                  <c15:layout>
                    <c:manualLayout>
                      <c:w val="6.9806164718900068E-2"/>
                      <c:h val="5.4644583660619063E-2"/>
                    </c:manualLayout>
                  </c15:layout>
                </c:ext>
                <c:ext xmlns:c16="http://schemas.microsoft.com/office/drawing/2014/chart" uri="{C3380CC4-5D6E-409C-BE32-E72D297353CC}">
                  <c16:uniqueId val="{0000000D-90ED-4B8F-A45D-C7305DC5A541}"/>
                </c:ext>
              </c:extLst>
            </c:dLbl>
            <c:dLbl>
              <c:idx val="7"/>
              <c:layout>
                <c:manualLayout>
                  <c:x val="8.0555555555555561E-2"/>
                  <c:y val="0"/>
                </c:manualLayout>
              </c:layout>
              <c:showLegendKey val="0"/>
              <c:showVal val="1"/>
              <c:showCatName val="0"/>
              <c:showSerName val="0"/>
              <c:showPercent val="0"/>
              <c:showBubbleSize val="0"/>
              <c:separator>, </c:separator>
              <c:extLst>
                <c:ext xmlns:c15="http://schemas.microsoft.com/office/drawing/2012/chart" uri="{CE6537A1-D6FC-4f65-9D91-7224C49458BB}">
                  <c15:layout>
                    <c:manualLayout>
                      <c:w val="0"/>
                      <c:h val="0"/>
                    </c:manualLayout>
                  </c15:layout>
                </c:ext>
                <c:ext xmlns:c16="http://schemas.microsoft.com/office/drawing/2014/chart" uri="{C3380CC4-5D6E-409C-BE32-E72D297353CC}">
                  <c16:uniqueId val="{0000000F-90ED-4B8F-A45D-C7305DC5A541}"/>
                </c:ext>
              </c:extLst>
            </c:dLbl>
            <c:dLbl>
              <c:idx val="8"/>
              <c:layout>
                <c:manualLayout>
                  <c:x val="0.12222222222222222"/>
                  <c:y val="-7.3626994166862611E-17"/>
                </c:manualLayout>
              </c:layout>
              <c:tx>
                <c:rich>
                  <a:bodyPr/>
                  <a:lstStyle/>
                  <a:p>
                    <a:fld id="{BFA01616-403F-4382-975C-18AE922A9890}" type="VALUE">
                      <a:rPr lang="en-US">
                        <a:latin typeface="Arial" panose="020B0604020202020204" pitchFamily="34" charset="0"/>
                        <a:cs typeface="Arial" panose="020B0604020202020204" pitchFamily="34" charset="0"/>
                      </a:rPr>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layout>
                    <c:manualLayout>
                      <c:w val="5.4948662065485238E-2"/>
                      <c:h val="5.4644583660619063E-2"/>
                    </c:manualLayout>
                  </c15:layout>
                  <c15:dlblFieldTable/>
                  <c15:showDataLabelsRange val="0"/>
                </c:ext>
                <c:ext xmlns:c16="http://schemas.microsoft.com/office/drawing/2014/chart" uri="{C3380CC4-5D6E-409C-BE32-E72D297353CC}">
                  <c16:uniqueId val="{00000011-90ED-4B8F-A45D-C7305DC5A541}"/>
                </c:ext>
              </c:extLst>
            </c:dLbl>
            <c:dLbl>
              <c:idx val="9"/>
              <c:layout>
                <c:manualLayout>
                  <c:x val="0.15215277777777778"/>
                  <c:y val="4.0549169859514502E-3"/>
                </c:manualLayout>
              </c:layout>
              <c:showLegendKey val="0"/>
              <c:showVal val="1"/>
              <c:showCatName val="0"/>
              <c:showSerName val="0"/>
              <c:showPercent val="0"/>
              <c:showBubbleSize val="0"/>
              <c:separator>, </c:separator>
              <c:extLst>
                <c:ext xmlns:c15="http://schemas.microsoft.com/office/drawing/2012/chart" uri="{CE6537A1-D6FC-4f65-9D91-7224C49458BB}">
                  <c15:layout>
                    <c:manualLayout>
                      <c:w val="5.4948662065485238E-2"/>
                      <c:h val="5.4644583660619063E-2"/>
                    </c:manualLayout>
                  </c15:layout>
                </c:ext>
                <c:ext xmlns:c16="http://schemas.microsoft.com/office/drawing/2014/chart" uri="{C3380CC4-5D6E-409C-BE32-E72D297353CC}">
                  <c16:uniqueId val="{00000013-90ED-4B8F-A45D-C7305DC5A541}"/>
                </c:ext>
              </c:extLst>
            </c:dLbl>
            <c:dLbl>
              <c:idx val="10"/>
              <c:layout>
                <c:manualLayout>
                  <c:x val="0.18814814814814815"/>
                  <c:y val="0"/>
                </c:manualLayout>
              </c:layout>
              <c:showLegendKey val="0"/>
              <c:showVal val="1"/>
              <c:showCatName val="0"/>
              <c:showSerName val="0"/>
              <c:showPercent val="0"/>
              <c:showBubbleSize val="0"/>
              <c:separator>, </c:separator>
              <c:extLst>
                <c:ext xmlns:c15="http://schemas.microsoft.com/office/drawing/2012/chart" uri="{CE6537A1-D6FC-4f65-9D91-7224C49458BB}">
                  <c15:layout>
                    <c:manualLayout>
                      <c:w val="5.4948662065485238E-2"/>
                      <c:h val="5.4644583660619063E-2"/>
                    </c:manualLayout>
                  </c15:layout>
                </c:ext>
                <c:ext xmlns:c16="http://schemas.microsoft.com/office/drawing/2014/chart" uri="{C3380CC4-5D6E-409C-BE32-E72D297353CC}">
                  <c16:uniqueId val="{00000015-90ED-4B8F-A45D-C7305DC5A541}"/>
                </c:ext>
              </c:extLst>
            </c:dLbl>
            <c:spPr>
              <a:noFill/>
              <a:ln>
                <a:noFill/>
              </a:ln>
              <a:effectLst/>
            </c:spPr>
            <c:txPr>
              <a:bodyPr rot="0" spcFirstLastPara="1" vertOverflow="ellipsis" vert="horz" wrap="none"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multiLvlStrRef>
              <c:f>'4. Duration Indig'!$I$3:$J$13</c:f>
              <c:multiLvlStrCache>
                <c:ptCount val="11"/>
                <c:lvl>
                  <c:pt idx="0">
                    <c:v>Not at all</c:v>
                  </c:pt>
                  <c:pt idx="1">
                    <c:v>Under 50%</c:v>
                  </c:pt>
                  <c:pt idx="2">
                    <c:v>50% to 100%</c:v>
                  </c:pt>
                  <c:pt idx="4">
                    <c:v>Not at all</c:v>
                  </c:pt>
                  <c:pt idx="5">
                    <c:v>Under 50%</c:v>
                  </c:pt>
                  <c:pt idx="6">
                    <c:v>50% to 100%</c:v>
                  </c:pt>
                  <c:pt idx="8">
                    <c:v>Not at all</c:v>
                  </c:pt>
                  <c:pt idx="9">
                    <c:v>Under 50%</c:v>
                  </c:pt>
                  <c:pt idx="10">
                    <c:v>50% to 100%</c:v>
                  </c:pt>
                </c:lvl>
                <c:lvl>
                  <c:pt idx="0">
                    <c:v>Non-First Nations</c:v>
                  </c:pt>
                  <c:pt idx="3">
                    <c:v> </c:v>
                  </c:pt>
                  <c:pt idx="4">
                    <c:v>First Nations</c:v>
                  </c:pt>
                  <c:pt idx="7">
                    <c:v> </c:v>
                  </c:pt>
                  <c:pt idx="8">
                    <c:v>All Australians</c:v>
                  </c:pt>
                </c:lvl>
              </c:multiLvlStrCache>
            </c:multiLvlStrRef>
          </c:cat>
          <c:val>
            <c:numRef>
              <c:f>'4. Duration Indig'!$Q$3:$Q$13</c:f>
              <c:numCache>
                <c:formatCode>0.0</c:formatCode>
                <c:ptCount val="11"/>
                <c:pt idx="0">
                  <c:v>2.5592406773655987</c:v>
                </c:pt>
                <c:pt idx="1">
                  <c:v>4.326463388725192</c:v>
                </c:pt>
                <c:pt idx="2">
                  <c:v>7.5133667292056403</c:v>
                </c:pt>
                <c:pt idx="4">
                  <c:v>8.8933792885153142</c:v>
                </c:pt>
                <c:pt idx="5">
                  <c:v>12.339766325716765</c:v>
                </c:pt>
                <c:pt idx="6">
                  <c:v>16.98133179173287</c:v>
                </c:pt>
                <c:pt idx="8">
                  <c:v>2.6193212099255736</c:v>
                </c:pt>
                <c:pt idx="9">
                  <c:v>4.6974250762442127</c:v>
                </c:pt>
                <c:pt idx="10">
                  <c:v>9.2778557011624372</c:v>
                </c:pt>
              </c:numCache>
            </c:numRef>
          </c:val>
          <c:extLst>
            <c:ext xmlns:c16="http://schemas.microsoft.com/office/drawing/2014/chart" uri="{C3380CC4-5D6E-409C-BE32-E72D297353CC}">
              <c16:uniqueId val="{00000016-90ED-4B8F-A45D-C7305DC5A541}"/>
            </c:ext>
          </c:extLst>
        </c:ser>
        <c:dLbls>
          <c:showLegendKey val="0"/>
          <c:showVal val="0"/>
          <c:showCatName val="0"/>
          <c:showSerName val="0"/>
          <c:showPercent val="0"/>
          <c:showBubbleSize val="0"/>
        </c:dLbls>
        <c:gapWidth val="75"/>
        <c:overlap val="100"/>
        <c:axId val="560349184"/>
        <c:axId val="560347216"/>
      </c:barChart>
      <c:catAx>
        <c:axId val="560349184"/>
        <c:scaling>
          <c:orientation val="minMax"/>
        </c:scaling>
        <c:delete val="0"/>
        <c:axPos val="l"/>
        <c:title>
          <c:tx>
            <c:rich>
              <a:bodyPr/>
              <a:lstStyle/>
              <a:p>
                <a:pPr>
                  <a:defRPr/>
                </a:pPr>
                <a:r>
                  <a:rPr lang="en-AU"/>
                  <a:t>Percentage of childhood at least one parent</a:t>
                </a:r>
                <a:br>
                  <a:rPr lang="en-AU"/>
                </a:br>
                <a:r>
                  <a:rPr lang="en-AU"/>
                  <a:t> or guardian received income support</a:t>
                </a:r>
              </a:p>
            </c:rich>
          </c:tx>
          <c:layout>
            <c:manualLayout>
              <c:xMode val="edge"/>
              <c:yMode val="edge"/>
              <c:x val="5.5649140432486359E-2"/>
              <c:y val="4.8526096646678292E-2"/>
            </c:manualLayout>
          </c:layout>
          <c:overlay val="0"/>
        </c:title>
        <c:numFmt formatCode="General" sourceLinked="1"/>
        <c:majorTickMark val="out"/>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7216"/>
        <c:crosses val="autoZero"/>
        <c:auto val="1"/>
        <c:lblAlgn val="ctr"/>
        <c:lblOffset val="100"/>
        <c:noMultiLvlLbl val="0"/>
      </c:catAx>
      <c:valAx>
        <c:axId val="560347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Projected average years receiving income support</a:t>
                </a:r>
              </a:p>
            </c:rich>
          </c:tx>
          <c:layout>
            <c:manualLayout>
              <c:xMode val="edge"/>
              <c:yMode val="edge"/>
              <c:x val="0.20171323211968778"/>
              <c:y val="0.93122126020892337"/>
            </c:manualLayout>
          </c:layout>
          <c:overlay val="0"/>
          <c:spPr>
            <a:noFill/>
            <a:ln>
              <a:noFill/>
            </a:ln>
            <a:effectLst>
              <a:glow rad="127000">
                <a:schemeClr val="accent1">
                  <a:alpha val="94000"/>
                </a:schemeClr>
              </a:glow>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9184"/>
        <c:crosses val="autoZero"/>
        <c:crossBetween val="between"/>
        <c:majorUnit val="5"/>
      </c:valAx>
    </c:plotArea>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50953435318601"/>
          <c:y val="3.4631560097027843E-2"/>
          <c:w val="0.75013964427458479"/>
          <c:h val="0.72897974245293773"/>
        </c:manualLayout>
      </c:layout>
      <c:lineChart>
        <c:grouping val="standard"/>
        <c:varyColors val="0"/>
        <c:ser>
          <c:idx val="0"/>
          <c:order val="0"/>
          <c:tx>
            <c:strRef>
              <c:f>'6 RA'!$O$14</c:f>
              <c:strCache>
                <c:ptCount val="1"/>
                <c:pt idx="0">
                  <c:v>Projected Proportion of Age Pensioners</c:v>
                </c:pt>
              </c:strCache>
            </c:strRef>
          </c:tx>
          <c:spPr>
            <a:ln w="28575" cap="rnd">
              <a:solidFill>
                <a:srgbClr val="C0504D"/>
              </a:solidFill>
              <a:round/>
            </a:ln>
            <a:effectLst/>
          </c:spPr>
          <c:marker>
            <c:symbol val="circle"/>
            <c:size val="5"/>
            <c:spPr>
              <a:solidFill>
                <a:srgbClr val="C0504D"/>
              </a:solidFill>
              <a:ln w="9525">
                <a:solidFill>
                  <a:srgbClr val="C0504D"/>
                </a:solidFill>
              </a:ln>
              <a:effectLst/>
            </c:spPr>
          </c:marker>
          <c:dLbls>
            <c:dLbl>
              <c:idx val="0"/>
              <c:layout>
                <c:manualLayout>
                  <c:x val="-3.4607145935695222E-2"/>
                  <c:y val="6.6450170785613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49-4216-8872-1AB836C2D1DC}"/>
                </c:ext>
              </c:extLst>
            </c:dLbl>
            <c:dLbl>
              <c:idx val="37"/>
              <c:layout>
                <c:manualLayout>
                  <c:x val="-2.0040298250151051E-2"/>
                  <c:y val="-4.7976190476190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49-4216-8872-1AB836C2D1D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'6 RA'!$M$15:$M$52</c:f>
              <c:numCache>
                <c:formatCode>General</c:formatCode>
                <c:ptCount val="38"/>
                <c:pt idx="0">
                  <c:v>2023</c:v>
                </c:pt>
                <c:pt idx="7">
                  <c:v>2030</c:v>
                </c:pt>
                <c:pt idx="17">
                  <c:v>2040</c:v>
                </c:pt>
                <c:pt idx="27">
                  <c:v>2050</c:v>
                </c:pt>
                <c:pt idx="37">
                  <c:v>2060</c:v>
                </c:pt>
              </c:numCache>
            </c:numRef>
          </c:cat>
          <c:val>
            <c:numRef>
              <c:f>'6 RA'!$O$15:$O$52</c:f>
              <c:numCache>
                <c:formatCode>0%</c:formatCode>
                <c:ptCount val="38"/>
                <c:pt idx="0">
                  <c:v>0.62334018176687767</c:v>
                </c:pt>
                <c:pt idx="1">
                  <c:v>0.62345609850846884</c:v>
                </c:pt>
                <c:pt idx="2">
                  <c:v>0.61430837004405281</c:v>
                </c:pt>
                <c:pt idx="3">
                  <c:v>0.60669447716480429</c:v>
                </c:pt>
                <c:pt idx="4">
                  <c:v>0.59926685477277919</c:v>
                </c:pt>
                <c:pt idx="5">
                  <c:v>0.59209522274720006</c:v>
                </c:pt>
                <c:pt idx="6">
                  <c:v>0.58552763778905681</c:v>
                </c:pt>
                <c:pt idx="7">
                  <c:v>0.57961754640348617</c:v>
                </c:pt>
                <c:pt idx="8">
                  <c:v>0.57423313187187763</c:v>
                </c:pt>
                <c:pt idx="9">
                  <c:v>0.57019225488221736</c:v>
                </c:pt>
                <c:pt idx="10">
                  <c:v>0.56622590715087662</c:v>
                </c:pt>
                <c:pt idx="11">
                  <c:v>0.56254898761189276</c:v>
                </c:pt>
                <c:pt idx="12">
                  <c:v>0.55886122106464564</c:v>
                </c:pt>
                <c:pt idx="13">
                  <c:v>0.55532741999458834</c:v>
                </c:pt>
                <c:pt idx="14">
                  <c:v>0.55199245864526025</c:v>
                </c:pt>
                <c:pt idx="15">
                  <c:v>0.54849103225675433</c:v>
                </c:pt>
                <c:pt idx="16">
                  <c:v>0.54555958545293148</c:v>
                </c:pt>
                <c:pt idx="17">
                  <c:v>0.54294444701585309</c:v>
                </c:pt>
                <c:pt idx="18">
                  <c:v>0.54060038187240544</c:v>
                </c:pt>
                <c:pt idx="19">
                  <c:v>0.53875502218146665</c:v>
                </c:pt>
                <c:pt idx="20">
                  <c:v>0.53682826235342951</c:v>
                </c:pt>
                <c:pt idx="21">
                  <c:v>0.53515874894357485</c:v>
                </c:pt>
                <c:pt idx="22">
                  <c:v>0.53341831086419278</c:v>
                </c:pt>
                <c:pt idx="23">
                  <c:v>0.5316909090909091</c:v>
                </c:pt>
                <c:pt idx="24">
                  <c:v>0.52970908289951335</c:v>
                </c:pt>
                <c:pt idx="25">
                  <c:v>0.52759192283832468</c:v>
                </c:pt>
                <c:pt idx="26">
                  <c:v>0.52534234086756082</c:v>
                </c:pt>
                <c:pt idx="27">
                  <c:v>0.52276550616261452</c:v>
                </c:pt>
                <c:pt idx="28">
                  <c:v>0.52045428926281001</c:v>
                </c:pt>
                <c:pt idx="29">
                  <c:v>0.51848827260523689</c:v>
                </c:pt>
                <c:pt idx="30">
                  <c:v>0.51633188577773459</c:v>
                </c:pt>
                <c:pt idx="31">
                  <c:v>0.51459819156347497</c:v>
                </c:pt>
                <c:pt idx="32">
                  <c:v>0.51255177921532213</c:v>
                </c:pt>
                <c:pt idx="33">
                  <c:v>0.51080537786742164</c:v>
                </c:pt>
                <c:pt idx="34">
                  <c:v>0.50891484012621013</c:v>
                </c:pt>
                <c:pt idx="35">
                  <c:v>0.50733244518137632</c:v>
                </c:pt>
                <c:pt idx="36">
                  <c:v>0.5058067633398412</c:v>
                </c:pt>
                <c:pt idx="37">
                  <c:v>0.50454736141290624</c:v>
                </c:pt>
              </c:numCache>
            </c:numRef>
          </c:val>
          <c:smooth val="0"/>
          <c:extLst>
            <c:ext xmlns:c16="http://schemas.microsoft.com/office/drawing/2014/chart" uri="{C3380CC4-5D6E-409C-BE32-E72D297353CC}">
              <c16:uniqueId val="{00000002-DC49-4216-8872-1AB836C2D1DC}"/>
            </c:ext>
          </c:extLst>
        </c:ser>
        <c:dLbls>
          <c:showLegendKey val="0"/>
          <c:showVal val="0"/>
          <c:showCatName val="0"/>
          <c:showSerName val="0"/>
          <c:showPercent val="0"/>
          <c:showBubbleSize val="0"/>
        </c:dLbls>
        <c:marker val="1"/>
        <c:smooth val="0"/>
        <c:axId val="459772936"/>
        <c:axId val="459771296"/>
      </c:lineChart>
      <c:catAx>
        <c:axId val="45977293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a:t>
                </a:r>
              </a:p>
            </c:rich>
          </c:tx>
          <c:layout>
            <c:manualLayout>
              <c:xMode val="edge"/>
              <c:yMode val="edge"/>
              <c:x val="0.55963568643291928"/>
              <c:y val="0.901309441764300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459771296"/>
        <c:crossesAt val="0"/>
        <c:auto val="1"/>
        <c:lblAlgn val="ctr"/>
        <c:lblOffset val="100"/>
        <c:noMultiLvlLbl val="0"/>
      </c:catAx>
      <c:valAx>
        <c:axId val="45977129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Percentage of people on or past retirement age receiving  Age Pension</a:t>
                </a:r>
              </a:p>
            </c:rich>
          </c:tx>
          <c:layout>
            <c:manualLayout>
              <c:xMode val="edge"/>
              <c:yMode val="edge"/>
              <c:x val="5.8797589298838744E-3"/>
              <c:y val="7.5809786354238462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459772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7.9012407125425968E-2"/>
          <c:w val="0.9889196675900277"/>
          <c:h val="0.84197518574914809"/>
        </c:manualLayout>
      </c:layout>
      <c:barChart>
        <c:barDir val="bar"/>
        <c:grouping val="stacked"/>
        <c:varyColors val="0"/>
        <c:ser>
          <c:idx val="0"/>
          <c:order val="0"/>
          <c:spPr>
            <a:solidFill>
              <a:srgbClr val="74000E"/>
            </a:solidFill>
            <a:ln>
              <a:solidFill>
                <a:sysClr val="windowText" lastClr="000000"/>
              </a:solidFill>
            </a:ln>
            <a:effectLst/>
          </c:spPr>
          <c:invertIfNegative val="0"/>
          <c:dLbls>
            <c:dLbl>
              <c:idx val="0"/>
              <c:tx>
                <c:rich>
                  <a:bodyPr/>
                  <a:lstStyle/>
                  <a:p>
                    <a:r>
                      <a:rPr lang="en-US">
                        <a:solidFill>
                          <a:schemeClr val="bg1"/>
                        </a:solidFill>
                      </a:rPr>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469-459B-9030-BF741FDA2B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Sheet1!$P$9</c:f>
              <c:numCache>
                <c:formatCode>0%</c:formatCode>
                <c:ptCount val="1"/>
                <c:pt idx="0">
                  <c:v>0.23</c:v>
                </c:pt>
              </c:numCache>
            </c:numRef>
          </c:val>
          <c:extLst>
            <c:ext xmlns:c16="http://schemas.microsoft.com/office/drawing/2014/chart" uri="{C3380CC4-5D6E-409C-BE32-E72D297353CC}">
              <c16:uniqueId val="{00000001-2469-459B-9030-BF741FDA2B31}"/>
            </c:ext>
          </c:extLst>
        </c:ser>
        <c:ser>
          <c:idx val="1"/>
          <c:order val="1"/>
          <c:spPr>
            <a:solidFill>
              <a:schemeClr val="accent2"/>
            </a:solidFill>
            <a:ln>
              <a:solidFill>
                <a:schemeClr val="tx1"/>
              </a:solidFill>
            </a:ln>
            <a:effectLst/>
          </c:spPr>
          <c:invertIfNegative val="0"/>
          <c:dPt>
            <c:idx val="0"/>
            <c:invertIfNegative val="0"/>
            <c:bubble3D val="0"/>
            <c:spPr>
              <a:solidFill>
                <a:srgbClr val="D9D9D9"/>
              </a:solidFill>
              <a:ln>
                <a:solidFill>
                  <a:schemeClr val="tx1"/>
                </a:solidFill>
              </a:ln>
              <a:effectLst/>
            </c:spPr>
            <c:extLst>
              <c:ext xmlns:c16="http://schemas.microsoft.com/office/drawing/2014/chart" uri="{C3380CC4-5D6E-409C-BE32-E72D297353CC}">
                <c16:uniqueId val="{00000003-2469-459B-9030-BF741FDA2B31}"/>
              </c:ext>
            </c:extLst>
          </c:dPt>
          <c:val>
            <c:numRef>
              <c:f>Sheet1!$Q$9</c:f>
              <c:numCache>
                <c:formatCode>0%</c:formatCode>
                <c:ptCount val="1"/>
                <c:pt idx="0">
                  <c:v>0.77</c:v>
                </c:pt>
              </c:numCache>
            </c:numRef>
          </c:val>
          <c:extLst>
            <c:ext xmlns:c16="http://schemas.microsoft.com/office/drawing/2014/chart" uri="{C3380CC4-5D6E-409C-BE32-E72D297353CC}">
              <c16:uniqueId val="{00000004-2469-459B-9030-BF741FDA2B31}"/>
            </c:ext>
          </c:extLst>
        </c:ser>
        <c:dLbls>
          <c:showLegendKey val="0"/>
          <c:showVal val="0"/>
          <c:showCatName val="0"/>
          <c:showSerName val="0"/>
          <c:showPercent val="0"/>
          <c:showBubbleSize val="0"/>
        </c:dLbls>
        <c:gapWidth val="0"/>
        <c:overlap val="100"/>
        <c:axId val="701237368"/>
        <c:axId val="701239992"/>
      </c:barChart>
      <c:catAx>
        <c:axId val="701237368"/>
        <c:scaling>
          <c:orientation val="minMax"/>
        </c:scaling>
        <c:delete val="1"/>
        <c:axPos val="l"/>
        <c:numFmt formatCode="0%" sourceLinked="1"/>
        <c:majorTickMark val="none"/>
        <c:minorTickMark val="none"/>
        <c:tickLblPos val="nextTo"/>
        <c:crossAx val="701239992"/>
        <c:crosses val="autoZero"/>
        <c:auto val="1"/>
        <c:lblAlgn val="ctr"/>
        <c:lblOffset val="100"/>
        <c:noMultiLvlLbl val="0"/>
      </c:catAx>
      <c:valAx>
        <c:axId val="701239992"/>
        <c:scaling>
          <c:orientation val="minMax"/>
          <c:max val="1"/>
        </c:scaling>
        <c:delete val="1"/>
        <c:axPos val="b"/>
        <c:numFmt formatCode="0%" sourceLinked="1"/>
        <c:majorTickMark val="none"/>
        <c:minorTickMark val="none"/>
        <c:tickLblPos val="nextTo"/>
        <c:crossAx val="701237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4.2764654418197745E-3"/>
          <c:w val="1"/>
          <c:h val="0.99456415006947663"/>
        </c:manualLayout>
      </c:layout>
      <c:ofPieChart>
        <c:ofPieType val="bar"/>
        <c:varyColors val="1"/>
        <c:ser>
          <c:idx val="0"/>
          <c:order val="0"/>
          <c:dPt>
            <c:idx val="0"/>
            <c:bubble3D val="0"/>
            <c:spPr>
              <a:solidFill>
                <a:srgbClr val="FFEC8F"/>
              </a:solidFill>
              <a:ln w="19050">
                <a:solidFill>
                  <a:schemeClr val="lt1"/>
                </a:solidFill>
              </a:ln>
              <a:effectLst/>
            </c:spPr>
            <c:extLst>
              <c:ext xmlns:c16="http://schemas.microsoft.com/office/drawing/2014/chart" uri="{C3380CC4-5D6E-409C-BE32-E72D297353CC}">
                <c16:uniqueId val="{00000001-D013-433E-8B2A-25C514E49E08}"/>
              </c:ext>
            </c:extLst>
          </c:dPt>
          <c:dPt>
            <c:idx val="1"/>
            <c:bubble3D val="0"/>
            <c:spPr>
              <a:solidFill>
                <a:srgbClr val="2FC9FF"/>
              </a:solidFill>
              <a:ln w="19050">
                <a:solidFill>
                  <a:schemeClr val="lt1"/>
                </a:solidFill>
              </a:ln>
              <a:effectLst/>
            </c:spPr>
            <c:extLst>
              <c:ext xmlns:c16="http://schemas.microsoft.com/office/drawing/2014/chart" uri="{C3380CC4-5D6E-409C-BE32-E72D297353CC}">
                <c16:uniqueId val="{00000003-D013-433E-8B2A-25C514E49E08}"/>
              </c:ext>
            </c:extLst>
          </c:dPt>
          <c:dPt>
            <c:idx val="2"/>
            <c:bubble3D val="0"/>
            <c:spPr>
              <a:solidFill>
                <a:srgbClr val="E26B0A"/>
              </a:solidFill>
              <a:ln w="19050">
                <a:solidFill>
                  <a:schemeClr val="lt1"/>
                </a:solidFill>
              </a:ln>
              <a:effectLst/>
            </c:spPr>
            <c:extLst>
              <c:ext xmlns:c16="http://schemas.microsoft.com/office/drawing/2014/chart" uri="{C3380CC4-5D6E-409C-BE32-E72D297353CC}">
                <c16:uniqueId val="{00000005-D013-433E-8B2A-25C514E49E08}"/>
              </c:ext>
            </c:extLst>
          </c:dPt>
          <c:dPt>
            <c:idx val="3"/>
            <c:bubble3D val="0"/>
            <c:spPr>
              <a:solidFill>
                <a:srgbClr val="009644"/>
              </a:solidFill>
              <a:ln w="19050">
                <a:solidFill>
                  <a:schemeClr val="lt1"/>
                </a:solidFill>
              </a:ln>
              <a:effectLst/>
            </c:spPr>
            <c:extLst>
              <c:ext xmlns:c16="http://schemas.microsoft.com/office/drawing/2014/chart" uri="{C3380CC4-5D6E-409C-BE32-E72D297353CC}">
                <c16:uniqueId val="{00000007-D013-433E-8B2A-25C514E49E08}"/>
              </c:ext>
            </c:extLst>
          </c:dPt>
          <c:dPt>
            <c:idx val="4"/>
            <c:bubble3D val="0"/>
            <c:spPr>
              <a:solidFill>
                <a:srgbClr val="8064A2"/>
              </a:solidFill>
              <a:ln w="19050">
                <a:solidFill>
                  <a:schemeClr val="lt1"/>
                </a:solidFill>
              </a:ln>
              <a:effectLst/>
            </c:spPr>
            <c:extLst>
              <c:ext xmlns:c16="http://schemas.microsoft.com/office/drawing/2014/chart" uri="{C3380CC4-5D6E-409C-BE32-E72D297353CC}">
                <c16:uniqueId val="{00000009-D013-433E-8B2A-25C514E49E08}"/>
              </c:ext>
            </c:extLst>
          </c:dPt>
          <c:dPt>
            <c:idx val="5"/>
            <c:bubble3D val="0"/>
            <c:spPr>
              <a:solidFill>
                <a:srgbClr val="E18BD7"/>
              </a:solidFill>
              <a:ln w="19050">
                <a:solidFill>
                  <a:schemeClr val="lt1"/>
                </a:solidFill>
              </a:ln>
              <a:effectLst/>
            </c:spPr>
            <c:extLst>
              <c:ext xmlns:c16="http://schemas.microsoft.com/office/drawing/2014/chart" uri="{C3380CC4-5D6E-409C-BE32-E72D297353CC}">
                <c16:uniqueId val="{0000000B-D013-433E-8B2A-25C514E49E08}"/>
              </c:ext>
            </c:extLst>
          </c:dPt>
          <c:dPt>
            <c:idx val="6"/>
            <c:bubble3D val="0"/>
            <c:spPr>
              <a:solidFill>
                <a:srgbClr val="CC706E"/>
              </a:solidFill>
              <a:ln w="19050">
                <a:solidFill>
                  <a:schemeClr val="lt1"/>
                </a:solidFill>
              </a:ln>
              <a:effectLst/>
            </c:spPr>
            <c:extLst>
              <c:ext xmlns:c16="http://schemas.microsoft.com/office/drawing/2014/chart" uri="{C3380CC4-5D6E-409C-BE32-E72D297353CC}">
                <c16:uniqueId val="{0000000D-D013-433E-8B2A-25C514E49E08}"/>
              </c:ext>
            </c:extLst>
          </c:dPt>
          <c:dLbls>
            <c:dLbl>
              <c:idx val="0"/>
              <c:layout>
                <c:manualLayout>
                  <c:x val="1.1759517859767749E-2"/>
                  <c:y val="-0.21076746849942726"/>
                </c:manualLayout>
              </c:layout>
              <c:spPr>
                <a:noFill/>
                <a:ln>
                  <a:noFill/>
                </a:ln>
                <a:effectLst/>
              </c:spPr>
              <c:txPr>
                <a:bodyPr rot="0" spcFirstLastPara="1" vertOverflow="overflow" horzOverflow="overflow" vert="horz" wrap="square"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3182419520799647"/>
                      <c:h val="0.25085910652920962"/>
                    </c:manualLayout>
                  </c15:layout>
                </c:ext>
                <c:ext xmlns:c16="http://schemas.microsoft.com/office/drawing/2014/chart" uri="{C3380CC4-5D6E-409C-BE32-E72D297353CC}">
                  <c16:uniqueId val="{00000001-D013-433E-8B2A-25C514E49E08}"/>
                </c:ext>
              </c:extLst>
            </c:dLbl>
            <c:dLbl>
              <c:idx val="1"/>
              <c:layout>
                <c:manualLayout>
                  <c:x val="-0.17325126362732512"/>
                  <c:y val="0.13102831218262664"/>
                </c:manualLayout>
              </c:layout>
              <c:spPr>
                <a:noFill/>
                <a:ln>
                  <a:noFill/>
                </a:ln>
                <a:effectLst/>
              </c:spPr>
              <c:txPr>
                <a:bodyPr rot="0" spcFirstLastPara="1" vertOverflow="overflow" horzOverflow="overflow" vert="horz" wrap="square"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8516830809936794"/>
                      <c:h val="0.19587628865979381"/>
                    </c:manualLayout>
                  </c15:layout>
                </c:ext>
                <c:ext xmlns:c16="http://schemas.microsoft.com/office/drawing/2014/chart" uri="{C3380CC4-5D6E-409C-BE32-E72D297353CC}">
                  <c16:uniqueId val="{00000003-D013-433E-8B2A-25C514E49E08}"/>
                </c:ext>
              </c:extLst>
            </c:dLbl>
            <c:dLbl>
              <c:idx val="2"/>
              <c:tx>
                <c:rich>
                  <a:bodyPr rot="0" spcFirstLastPara="1" vertOverflow="ellipsis" vert="horz" wrap="square" anchor="ctr" anchorCtr="1">
                    <a:spAutoFit/>
                  </a:bodyPr>
                  <a:lstStyle/>
                  <a:p>
                    <a:pPr>
                      <a:defRPr sz="900" b="0" i="0" u="none" strike="noStrike" kern="1200" baseline="0">
                        <a:solidFill>
                          <a:schemeClr val="tx1"/>
                        </a:solidFill>
                        <a:latin typeface="Arial" panose="020B0604020202020204" pitchFamily="34" charset="0"/>
                        <a:ea typeface="+mn-ea"/>
                        <a:cs typeface="+mn-cs"/>
                      </a:defRPr>
                    </a:pPr>
                    <a:fld id="{886000AA-DA5F-42FC-9D27-9B03919EE1D9}" type="CATEGORYNAME">
                      <a:rPr lang="en-US">
                        <a:solidFill>
                          <a:schemeClr val="tx1"/>
                        </a:solidFill>
                      </a:rPr>
                      <a:pPr>
                        <a:defRPr sz="900" b="0" i="0" u="none" strike="noStrike" kern="1200" baseline="0">
                          <a:solidFill>
                            <a:schemeClr val="tx1"/>
                          </a:solidFill>
                          <a:latin typeface="Arial" panose="020B0604020202020204" pitchFamily="34" charset="0"/>
                          <a:ea typeface="+mn-ea"/>
                          <a:cs typeface="+mn-cs"/>
                        </a:defRPr>
                      </a:pPr>
                      <a:t>[CATEGORY NAME]</a:t>
                    </a:fld>
                    <a:r>
                      <a:rPr lang="en-US" baseline="0">
                        <a:solidFill>
                          <a:schemeClr val="tx1"/>
                        </a:solidFill>
                      </a:rPr>
                      <a:t> </a:t>
                    </a:r>
                    <a:fld id="{B77F8794-CD52-4A06-84DB-652918A2F313}" type="VALUE">
                      <a:rPr lang="en-US" baseline="0">
                        <a:solidFill>
                          <a:schemeClr val="tx1"/>
                        </a:solidFill>
                      </a:rPr>
                      <a:pPr>
                        <a:defRPr sz="900" b="0" i="0" u="none" strike="noStrike" kern="1200" baseline="0">
                          <a:solidFill>
                            <a:schemeClr val="tx1"/>
                          </a:solidFill>
                          <a:latin typeface="Arial" panose="020B0604020202020204" pitchFamily="34" charset="0"/>
                          <a:ea typeface="+mn-ea"/>
                          <a:cs typeface="+mn-cs"/>
                        </a:defRPr>
                      </a:pPr>
                      <a:t>[VALUE]</a:t>
                    </a:fld>
                    <a:endParaRPr lang="en-US" baseline="0">
                      <a:solidFill>
                        <a:schemeClr val="tx1"/>
                      </a:solidFill>
                    </a:endParaRPr>
                  </a:p>
                </c:rich>
              </c:tx>
              <c:spPr>
                <a:noFill/>
                <a:ln>
                  <a:noFill/>
                </a:ln>
                <a:effectLst/>
              </c:spPr>
              <c:dLblPos val="ctr"/>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D013-433E-8B2A-25C514E49E08}"/>
                </c:ext>
              </c:extLst>
            </c:dLbl>
            <c:dLbl>
              <c:idx val="3"/>
              <c:tx>
                <c:rich>
                  <a:bodyPr rot="0" spcFirstLastPara="1" vertOverflow="overflow" horzOverflow="overflow" vert="horz" wrap="square" anchor="ctr" anchorCtr="1">
                    <a:spAutoFit/>
                  </a:bodyPr>
                  <a:lstStyle/>
                  <a:p>
                    <a:pPr>
                      <a:defRPr sz="900" b="0" i="0" u="none" strike="noStrike" kern="1200" baseline="0">
                        <a:solidFill>
                          <a:schemeClr val="bg1"/>
                        </a:solidFill>
                        <a:latin typeface="Arial" panose="020B0604020202020204" pitchFamily="34" charset="0"/>
                        <a:ea typeface="+mn-ea"/>
                        <a:cs typeface="+mn-cs"/>
                      </a:defRPr>
                    </a:pPr>
                    <a:r>
                      <a:rPr lang="en-US">
                        <a:solidFill>
                          <a:schemeClr val="tx1"/>
                        </a:solidFill>
                      </a:rPr>
                      <a:t>Working age payments</a:t>
                    </a:r>
                  </a:p>
                  <a:p>
                    <a:pPr>
                      <a:defRPr sz="900" b="0" i="0" u="none" strike="noStrike" kern="1200" baseline="0">
                        <a:solidFill>
                          <a:schemeClr val="bg1"/>
                        </a:solidFill>
                        <a:latin typeface="Arial" panose="020B0604020202020204" pitchFamily="34" charset="0"/>
                        <a:ea typeface="+mn-ea"/>
                        <a:cs typeface="+mn-cs"/>
                      </a:defRPr>
                    </a:pPr>
                    <a:r>
                      <a:rPr lang="en-US">
                        <a:solidFill>
                          <a:schemeClr val="tx1"/>
                        </a:solidFill>
                      </a:rPr>
                      <a:t> </a:t>
                    </a:r>
                    <a:fld id="{F1FA223D-37B2-4457-93AF-064968647F2E}" type="VALUE">
                      <a:rPr lang="en-US">
                        <a:solidFill>
                          <a:schemeClr val="tx1"/>
                        </a:solidFill>
                      </a:rPr>
                      <a:pPr>
                        <a:defRPr sz="900" b="0" i="0" u="none" strike="noStrike" kern="1200" baseline="0">
                          <a:solidFill>
                            <a:schemeClr val="bg1"/>
                          </a:solidFill>
                          <a:latin typeface="Arial" panose="020B0604020202020204" pitchFamily="34" charset="0"/>
                          <a:ea typeface="+mn-ea"/>
                          <a:cs typeface="+mn-cs"/>
                        </a:defRPr>
                      </a:pPr>
                      <a:t>[VALUE]</a:t>
                    </a:fld>
                    <a:endParaRPr lang="en-US">
                      <a:solidFill>
                        <a:schemeClr val="tx1"/>
                      </a:solidFill>
                    </a:endParaRPr>
                  </a:p>
                </c:rich>
              </c:tx>
              <c:spPr>
                <a:noFill/>
                <a:ln>
                  <a:noFill/>
                </a:ln>
                <a:effectLst/>
              </c:spPr>
              <c:dLblPos val="ctr"/>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D013-433E-8B2A-25C514E49E08}"/>
                </c:ext>
              </c:extLst>
            </c:dLbl>
            <c:dLbl>
              <c:idx val="4"/>
              <c:tx>
                <c:rich>
                  <a:bodyPr rot="0" spcFirstLastPara="1" vertOverflow="overflow" horzOverflow="overflow" vert="horz" wrap="square"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r>
                      <a:rPr lang="en-US">
                        <a:solidFill>
                          <a:schemeClr val="bg1"/>
                        </a:solidFill>
                      </a:rPr>
                      <a:t>DSP  </a:t>
                    </a:r>
                    <a:fld id="{0B372F36-47A1-4B45-BD70-625978BDFB59}" type="VALUE">
                      <a:rPr lang="en-US">
                        <a:solidFill>
                          <a:schemeClr val="bg1"/>
                        </a:solidFill>
                      </a:rPr>
                      <a:pPr>
                        <a:defRPr sz="900" b="0" i="0" u="none" strike="noStrike" kern="1200" baseline="0">
                          <a:solidFill>
                            <a:sysClr val="windowText" lastClr="000000"/>
                          </a:solidFill>
                          <a:latin typeface="Arial" panose="020B0604020202020204" pitchFamily="34" charset="0"/>
                          <a:ea typeface="+mn-ea"/>
                          <a:cs typeface="+mn-cs"/>
                        </a:defRPr>
                      </a:pPr>
                      <a:t>[VALUE]</a:t>
                    </a:fld>
                    <a:endParaRPr lang="en-US">
                      <a:solidFill>
                        <a:schemeClr val="bg1"/>
                      </a:solidFill>
                    </a:endParaRPr>
                  </a:p>
                </c:rich>
              </c:tx>
              <c:spPr>
                <a:noFill/>
                <a:ln>
                  <a:noFill/>
                </a:ln>
                <a:effectLst/>
              </c:spPr>
              <c:dLblPos val="ctr"/>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D013-433E-8B2A-25C514E49E08}"/>
                </c:ext>
              </c:extLst>
            </c:dLbl>
            <c:dLbl>
              <c:idx val="5"/>
              <c:tx>
                <c:rich>
                  <a:bodyPr rot="0" spcFirstLastPara="1" vertOverflow="overflow" horzOverflow="overflow" vert="horz" wrap="square" lIns="0" tIns="0" rIns="0" bIns="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fld id="{F7BEDAE2-9334-4197-8DA0-4E4E45D9587B}" type="CATEGORYNAME">
                      <a:rPr lang="en-US">
                        <a:solidFill>
                          <a:schemeClr val="tx1"/>
                        </a:solidFill>
                      </a:rPr>
                      <a:pPr>
                        <a:defRPr sz="900" b="0" i="0" u="none" strike="noStrike" kern="1200" baseline="0">
                          <a:solidFill>
                            <a:sysClr val="windowText" lastClr="000000"/>
                          </a:solidFill>
                          <a:latin typeface="Arial" panose="020B0604020202020204" pitchFamily="34" charset="0"/>
                          <a:ea typeface="+mn-ea"/>
                          <a:cs typeface="+mn-cs"/>
                        </a:defRPr>
                      </a:pPr>
                      <a:t>[CATEGORY NAME]</a:t>
                    </a:fld>
                    <a:r>
                      <a:rPr lang="en-US">
                        <a:solidFill>
                          <a:schemeClr val="tx1"/>
                        </a:solidFill>
                      </a:rPr>
                      <a:t>  </a:t>
                    </a:r>
                    <a:fld id="{E594C158-EBDA-493C-AD16-B2C59CA5433C}" type="VALUE">
                      <a:rPr lang="en-US">
                        <a:solidFill>
                          <a:schemeClr val="tx1"/>
                        </a:solidFill>
                      </a:rPr>
                      <a:pPr>
                        <a:defRPr sz="900" b="0" i="0" u="none" strike="noStrike" kern="1200" baseline="0">
                          <a:solidFill>
                            <a:sysClr val="windowText" lastClr="000000"/>
                          </a:solidFill>
                          <a:latin typeface="Arial" panose="020B0604020202020204" pitchFamily="34" charset="0"/>
                          <a:ea typeface="+mn-ea"/>
                          <a:cs typeface="+mn-cs"/>
                        </a:defRPr>
                      </a:pPr>
                      <a:t>[VALUE]</a:t>
                    </a:fld>
                    <a:endParaRPr lang="en-US">
                      <a:solidFill>
                        <a:schemeClr val="tx1"/>
                      </a:solidFill>
                    </a:endParaRPr>
                  </a:p>
                </c:rich>
              </c:tx>
              <c:spPr>
                <a:noFill/>
                <a:ln>
                  <a:noFill/>
                </a:ln>
                <a:effectLst/>
              </c:spPr>
              <c:dLblPos val="ct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B-D013-433E-8B2A-25C514E49E08}"/>
                </c:ext>
              </c:extLst>
            </c:dLbl>
            <c:dLbl>
              <c:idx val="6"/>
              <c:layout>
                <c:manualLayout>
                  <c:x val="-0.18328666949851907"/>
                  <c:y val="1.3857546157245808E-3"/>
                </c:manualLayout>
              </c:layout>
              <c:tx>
                <c:rich>
                  <a:bodyPr rot="0" spcFirstLastPara="1" vertOverflow="ellipsis" vert="horz" wrap="square" lIns="90000" rIns="90000" anchor="ctr" anchorCtr="1"/>
                  <a:lstStyle/>
                  <a:p>
                    <a:pPr>
                      <a:defRPr sz="900" b="0" i="0" u="none" strike="noStrike" kern="1200" baseline="0">
                        <a:solidFill>
                          <a:sysClr val="windowText" lastClr="000000"/>
                        </a:solidFill>
                        <a:latin typeface="Arial" panose="020B0604020202020204" pitchFamily="34" charset="0"/>
                        <a:ea typeface="+mn-ea"/>
                        <a:cs typeface="+mn-cs"/>
                      </a:defRPr>
                    </a:pPr>
                    <a:r>
                      <a:rPr lang="en-US"/>
                      <a:t>Income support</a:t>
                    </a:r>
                    <a:endParaRPr lang="en-US" sz="900" b="0" i="0" u="none" strike="noStrike" kern="1200" baseline="0">
                      <a:solidFill>
                        <a:sysClr val="window" lastClr="FFFFFF"/>
                      </a:solidFill>
                      <a:latin typeface="+mn-lt"/>
                      <a:ea typeface="+mn-ea"/>
                      <a:cs typeface="+mn-cs"/>
                    </a:endParaRPr>
                  </a:p>
                  <a:p>
                    <a:pPr>
                      <a:defRPr sz="900" b="0" i="0" u="none" strike="noStrike" kern="1200" baseline="0">
                        <a:solidFill>
                          <a:sysClr val="windowText" lastClr="000000"/>
                        </a:solidFill>
                        <a:latin typeface="Arial" panose="020B0604020202020204" pitchFamily="34" charset="0"/>
                        <a:ea typeface="+mn-ea"/>
                        <a:cs typeface="+mn-cs"/>
                      </a:defRPr>
                    </a:pPr>
                    <a:fld id="{FA507CF7-F7D7-4AC0-B7F5-4FD6E12CA8BF}" type="VALUE">
                      <a:rPr lang="en-US" baseline="0"/>
                      <a:pPr>
                        <a:defRPr sz="900" b="0" i="0" u="none" strike="noStrike" kern="1200" baseline="0">
                          <a:solidFill>
                            <a:sysClr val="windowText" lastClr="000000"/>
                          </a:solidFill>
                          <a:latin typeface="Arial" panose="020B0604020202020204" pitchFamily="34" charset="0"/>
                          <a:ea typeface="+mn-ea"/>
                          <a:cs typeface="+mn-cs"/>
                        </a:defRPr>
                      </a:pPr>
                      <a:t>[VALUE]</a:t>
                    </a:fld>
                    <a:endParaRPr lang="en-AU"/>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D-D013-433E-8B2A-25C514E49E0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Composition!$A$11:$A$16</c:f>
              <c:strCache>
                <c:ptCount val="6"/>
                <c:pt idx="0">
                  <c:v>No income support or supplementary family payments</c:v>
                </c:pt>
                <c:pt idx="1">
                  <c:v>Supplementary family payments only
 (in FY 2021-22)</c:v>
                </c:pt>
                <c:pt idx="2">
                  <c:v>Parenting Payment</c:v>
                </c:pt>
                <c:pt idx="3">
                  <c:v>Working age payments</c:v>
                </c:pt>
                <c:pt idx="4">
                  <c:v>Disability Support Pension</c:v>
                </c:pt>
                <c:pt idx="5">
                  <c:v>Carer Payment</c:v>
                </c:pt>
              </c:strCache>
            </c:strRef>
          </c:cat>
          <c:val>
            <c:numRef>
              <c:f>Composition!$B$11:$B$16</c:f>
              <c:numCache>
                <c:formatCode>0%</c:formatCode>
                <c:ptCount val="6"/>
                <c:pt idx="0">
                  <c:v>0.5899622862393552</c:v>
                </c:pt>
                <c:pt idx="1">
                  <c:v>0.27717187652433051</c:v>
                </c:pt>
                <c:pt idx="2">
                  <c:v>4.810851690615419E-2</c:v>
                </c:pt>
                <c:pt idx="3">
                  <c:v>4.6393512199230047E-2</c:v>
                </c:pt>
                <c:pt idx="4">
                  <c:v>1.962349609813082E-2</c:v>
                </c:pt>
                <c:pt idx="5">
                  <c:v>1.8740312032799213E-2</c:v>
                </c:pt>
              </c:numCache>
            </c:numRef>
          </c:val>
          <c:extLst>
            <c:ext xmlns:c16="http://schemas.microsoft.com/office/drawing/2014/chart" uri="{C3380CC4-5D6E-409C-BE32-E72D297353CC}">
              <c16:uniqueId val="{0000000E-D013-433E-8B2A-25C514E49E08}"/>
            </c:ext>
          </c:extLst>
        </c:ser>
        <c:dLbls>
          <c:dLblPos val="bestFit"/>
          <c:showLegendKey val="0"/>
          <c:showVal val="1"/>
          <c:showCatName val="0"/>
          <c:showSerName val="0"/>
          <c:showPercent val="0"/>
          <c:showBubbleSize val="0"/>
          <c:showLeaderLines val="1"/>
        </c:dLbls>
        <c:gapWidth val="100"/>
        <c:splitType val="pos"/>
        <c:splitPos val="4"/>
        <c:secondPieSize val="80"/>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baseline="0">
          <a:solidFill>
            <a:sysClr val="windowText" lastClr="000000"/>
          </a:solidFill>
          <a:latin typeface="Arial" panose="020B0604020202020204"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5415385292037671"/>
          <c:y val="6.3512226103524926E-3"/>
          <c:w val="0.60173337145145556"/>
          <c:h val="0.56596012847791621"/>
        </c:manualLayout>
      </c:layout>
      <c:barChart>
        <c:barDir val="bar"/>
        <c:grouping val="clustered"/>
        <c:varyColors val="0"/>
        <c:ser>
          <c:idx val="1"/>
          <c:order val="0"/>
          <c:tx>
            <c:strRef>
              <c:f>'Figure 7-2'!$K$17</c:f>
              <c:strCache>
                <c:ptCount val="1"/>
                <c:pt idx="0">
                  <c:v>Non-First Nations</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7-2'!$I$18:$I$19</c:f>
              <c:strCache>
                <c:ptCount val="2"/>
                <c:pt idx="0">
                  <c:v>At age 22 or after</c:v>
                </c:pt>
                <c:pt idx="1">
                  <c:v>Before age 22</c:v>
                </c:pt>
              </c:strCache>
            </c:strRef>
          </c:cat>
          <c:val>
            <c:numRef>
              <c:f>'Figure 7-2'!$K$18:$K$19</c:f>
              <c:numCache>
                <c:formatCode>0%</c:formatCode>
                <c:ptCount val="2"/>
                <c:pt idx="0">
                  <c:v>0.11301882667953628</c:v>
                </c:pt>
                <c:pt idx="1">
                  <c:v>0.32197740867965757</c:v>
                </c:pt>
              </c:numCache>
            </c:numRef>
          </c:val>
          <c:extLst>
            <c:ext xmlns:c16="http://schemas.microsoft.com/office/drawing/2014/chart" uri="{C3380CC4-5D6E-409C-BE32-E72D297353CC}">
              <c16:uniqueId val="{00000000-AC3D-46B5-90EA-BA2EC8D29CD8}"/>
            </c:ext>
          </c:extLst>
        </c:ser>
        <c:ser>
          <c:idx val="0"/>
          <c:order val="1"/>
          <c:tx>
            <c:strRef>
              <c:f>'Figure 7-2'!$J$17</c:f>
              <c:strCache>
                <c:ptCount val="1"/>
                <c:pt idx="0">
                  <c:v>First Nations</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7-2'!$I$18:$I$19</c:f>
              <c:strCache>
                <c:ptCount val="2"/>
                <c:pt idx="0">
                  <c:v>At age 22 or after</c:v>
                </c:pt>
                <c:pt idx="1">
                  <c:v>Before age 22</c:v>
                </c:pt>
              </c:strCache>
            </c:strRef>
          </c:cat>
          <c:val>
            <c:numRef>
              <c:f>'Figure 7-2'!$J$18:$J$19</c:f>
              <c:numCache>
                <c:formatCode>0%</c:formatCode>
                <c:ptCount val="2"/>
                <c:pt idx="0">
                  <c:v>0.50665120000859254</c:v>
                </c:pt>
                <c:pt idx="1">
                  <c:v>0.71877143035265267</c:v>
                </c:pt>
              </c:numCache>
            </c:numRef>
          </c:val>
          <c:extLst>
            <c:ext xmlns:c16="http://schemas.microsoft.com/office/drawing/2014/chart" uri="{C3380CC4-5D6E-409C-BE32-E72D297353CC}">
              <c16:uniqueId val="{00000001-AC3D-46B5-90EA-BA2EC8D29CD8}"/>
            </c:ext>
          </c:extLst>
        </c:ser>
        <c:dLbls>
          <c:dLblPos val="outEnd"/>
          <c:showLegendKey val="0"/>
          <c:showVal val="1"/>
          <c:showCatName val="0"/>
          <c:showSerName val="0"/>
          <c:showPercent val="0"/>
          <c:showBubbleSize val="0"/>
        </c:dLbls>
        <c:gapWidth val="50"/>
        <c:axId val="661695448"/>
        <c:axId val="661698072"/>
      </c:barChart>
      <c:catAx>
        <c:axId val="66169544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US" b="1"/>
                  <a:t>Age at which parent or guardian had their first child</a:t>
                </a:r>
              </a:p>
            </c:rich>
          </c:tx>
          <c:layout>
            <c:manualLayout>
              <c:xMode val="edge"/>
              <c:yMode val="edge"/>
              <c:x val="5.8797589298838744E-3"/>
              <c:y val="6.9863448713877424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661698072"/>
        <c:crosses val="autoZero"/>
        <c:auto val="1"/>
        <c:lblAlgn val="ctr"/>
        <c:lblOffset val="100"/>
        <c:noMultiLvlLbl val="0"/>
      </c:catAx>
      <c:valAx>
        <c:axId val="661698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Percentage of parents/guardians receiving income support</a:t>
                </a:r>
              </a:p>
            </c:rich>
          </c:tx>
          <c:layout>
            <c:manualLayout>
              <c:xMode val="edge"/>
              <c:yMode val="edge"/>
              <c:x val="0.24129049134182348"/>
              <c:y val="0.7476133083717424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661695448"/>
        <c:crosses val="autoZero"/>
        <c:crossBetween val="between"/>
        <c:majorUnit val="0.2"/>
      </c:valAx>
      <c:spPr>
        <a:noFill/>
        <a:ln>
          <a:noFill/>
        </a:ln>
        <a:effectLst/>
      </c:spPr>
    </c:plotArea>
    <c:legend>
      <c:legendPos val="b"/>
      <c:layout>
        <c:manualLayout>
          <c:xMode val="edge"/>
          <c:yMode val="edge"/>
          <c:x val="0.25843207200158336"/>
          <c:y val="0.87563721201516476"/>
          <c:w val="0.48901538344014511"/>
          <c:h val="0.124362787984835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14375112382113"/>
          <c:y val="4.1878552198623992E-2"/>
          <c:w val="0.59427371666738038"/>
          <c:h val="0.65129279446985144"/>
        </c:manualLayout>
      </c:layout>
      <c:lineChart>
        <c:grouping val="standard"/>
        <c:varyColors val="0"/>
        <c:ser>
          <c:idx val="0"/>
          <c:order val="0"/>
          <c:tx>
            <c:strRef>
              <c:f>SEIFA!$J$29</c:f>
              <c:strCache>
                <c:ptCount val="1"/>
                <c:pt idx="0">
                  <c:v>Not receiving income support</c:v>
                </c:pt>
              </c:strCache>
            </c:strRef>
          </c:tx>
          <c:spPr>
            <a:ln w="28575" cap="rnd">
              <a:solidFill>
                <a:srgbClr val="FFC805"/>
              </a:solidFill>
              <a:round/>
            </a:ln>
            <a:effectLst/>
          </c:spPr>
          <c:marker>
            <c:symbol val="triangle"/>
            <c:size val="5"/>
            <c:spPr>
              <a:solidFill>
                <a:srgbClr val="FFC805"/>
              </a:solidFill>
              <a:ln w="9525">
                <a:solidFill>
                  <a:srgbClr val="FFC805"/>
                </a:solidFill>
              </a:ln>
              <a:effectLst/>
            </c:spPr>
          </c:marker>
          <c:dLbls>
            <c:dLbl>
              <c:idx val="0"/>
              <c:layout>
                <c:manualLayout>
                  <c:x val="-3.8287980309038697E-2"/>
                  <c:y val="5.384385282680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47-4DB4-B07A-B6ADAE5E0156}"/>
                </c:ext>
              </c:extLst>
            </c:dLbl>
            <c:dLbl>
              <c:idx val="1"/>
              <c:layout>
                <c:manualLayout>
                  <c:x val="-4.1022836045398609E-2"/>
                  <c:y val="5.384385282680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47-4DB4-B07A-B6ADAE5E0156}"/>
                </c:ext>
              </c:extLst>
            </c:dLbl>
            <c:dLbl>
              <c:idx val="2"/>
              <c:layout>
                <c:manualLayout>
                  <c:x val="-3.2818268836318984E-2"/>
                  <c:y val="-6.5809153454980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47-4DB4-B07A-B6ADAE5E0156}"/>
                </c:ext>
              </c:extLst>
            </c:dLbl>
            <c:dLbl>
              <c:idx val="3"/>
              <c:layout>
                <c:manualLayout>
                  <c:x val="-2.4613701627239162E-2"/>
                  <c:y val="-5.9826503140891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47-4DB4-B07A-B6ADAE5E015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SEIFA!$I$30:$I$34</c:f>
              <c:strCache>
                <c:ptCount val="5"/>
                <c:pt idx="0">
                  <c:v>Lowest 20%</c:v>
                </c:pt>
                <c:pt idx="1">
                  <c:v>20% to 40%</c:v>
                </c:pt>
                <c:pt idx="2">
                  <c:v>40% to 60%</c:v>
                </c:pt>
                <c:pt idx="3">
                  <c:v>60% to 80%</c:v>
                </c:pt>
                <c:pt idx="4">
                  <c:v>Highest 20%</c:v>
                </c:pt>
              </c:strCache>
            </c:strRef>
          </c:cat>
          <c:val>
            <c:numRef>
              <c:f>SEIFA!$J$30:$J$34</c:f>
              <c:numCache>
                <c:formatCode>0%</c:formatCode>
                <c:ptCount val="5"/>
                <c:pt idx="0">
                  <c:v>0.1656603022825891</c:v>
                </c:pt>
                <c:pt idx="1">
                  <c:v>0.19371260526708708</c:v>
                </c:pt>
                <c:pt idx="2">
                  <c:v>0.21870944975579421</c:v>
                </c:pt>
                <c:pt idx="3">
                  <c:v>0.22074225321977597</c:v>
                </c:pt>
                <c:pt idx="4">
                  <c:v>0.20117538947475361</c:v>
                </c:pt>
              </c:numCache>
            </c:numRef>
          </c:val>
          <c:smooth val="0"/>
          <c:extLst>
            <c:ext xmlns:c16="http://schemas.microsoft.com/office/drawing/2014/chart" uri="{C3380CC4-5D6E-409C-BE32-E72D297353CC}">
              <c16:uniqueId val="{00000004-6447-4DB4-B07A-B6ADAE5E0156}"/>
            </c:ext>
          </c:extLst>
        </c:ser>
        <c:ser>
          <c:idx val="1"/>
          <c:order val="1"/>
          <c:tx>
            <c:strRef>
              <c:f>SEIFA!$K$29</c:f>
              <c:strCache>
                <c:ptCount val="1"/>
                <c:pt idx="0">
                  <c:v>Income support</c:v>
                </c:pt>
              </c:strCache>
            </c:strRef>
          </c:tx>
          <c:spPr>
            <a:ln w="28575" cap="rnd">
              <a:solidFill>
                <a:srgbClr val="CC706E"/>
              </a:solidFill>
              <a:round/>
            </a:ln>
            <a:effectLst/>
          </c:spPr>
          <c:marker>
            <c:symbol val="circle"/>
            <c:size val="5"/>
            <c:spPr>
              <a:solidFill>
                <a:srgbClr val="CC706E"/>
              </a:solidFill>
              <a:ln w="9525">
                <a:solidFill>
                  <a:srgbClr val="CC706E"/>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SEIFA!$I$30:$I$34</c:f>
              <c:strCache>
                <c:ptCount val="5"/>
                <c:pt idx="0">
                  <c:v>Lowest 20%</c:v>
                </c:pt>
                <c:pt idx="1">
                  <c:v>20% to 40%</c:v>
                </c:pt>
                <c:pt idx="2">
                  <c:v>40% to 60%</c:v>
                </c:pt>
                <c:pt idx="3">
                  <c:v>60% to 80%</c:v>
                </c:pt>
                <c:pt idx="4">
                  <c:v>Highest 20%</c:v>
                </c:pt>
              </c:strCache>
            </c:strRef>
          </c:cat>
          <c:val>
            <c:numRef>
              <c:f>SEIFA!$K$30:$K$34</c:f>
              <c:numCache>
                <c:formatCode>0%</c:formatCode>
                <c:ptCount val="5"/>
                <c:pt idx="0">
                  <c:v>0.39759765858320395</c:v>
                </c:pt>
                <c:pt idx="1">
                  <c:v>0.25057818659658349</c:v>
                </c:pt>
                <c:pt idx="2">
                  <c:v>0.18098076693346077</c:v>
                </c:pt>
                <c:pt idx="3">
                  <c:v>0.11574841715446182</c:v>
                </c:pt>
                <c:pt idx="4">
                  <c:v>5.5094970732290055E-2</c:v>
                </c:pt>
              </c:numCache>
            </c:numRef>
          </c:val>
          <c:smooth val="0"/>
          <c:extLst>
            <c:ext xmlns:c16="http://schemas.microsoft.com/office/drawing/2014/chart" uri="{C3380CC4-5D6E-409C-BE32-E72D297353CC}">
              <c16:uniqueId val="{00000005-6447-4DB4-B07A-B6ADAE5E0156}"/>
            </c:ext>
          </c:extLst>
        </c:ser>
        <c:dLbls>
          <c:showLegendKey val="0"/>
          <c:showVal val="0"/>
          <c:showCatName val="0"/>
          <c:showSerName val="0"/>
          <c:showPercent val="0"/>
          <c:showBubbleSize val="0"/>
        </c:dLbls>
        <c:marker val="1"/>
        <c:smooth val="0"/>
        <c:axId val="749465200"/>
        <c:axId val="749468152"/>
      </c:lineChart>
      <c:catAx>
        <c:axId val="74946520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Socio-economic area quintile</a:t>
                </a:r>
              </a:p>
            </c:rich>
          </c:tx>
          <c:layout>
            <c:manualLayout>
              <c:xMode val="edge"/>
              <c:yMode val="edge"/>
              <c:x val="0.29929037791340318"/>
              <c:y val="0.9200135316418779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749468152"/>
        <c:crosses val="autoZero"/>
        <c:auto val="1"/>
        <c:lblAlgn val="ctr"/>
        <c:lblOffset val="100"/>
        <c:noMultiLvlLbl val="0"/>
      </c:catAx>
      <c:valAx>
        <c:axId val="749468152"/>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Perecentage of people</a:t>
                </a:r>
              </a:p>
            </c:rich>
          </c:tx>
          <c:layout>
            <c:manualLayout>
              <c:xMode val="edge"/>
              <c:yMode val="edge"/>
              <c:x val="4.1598136996068204E-3"/>
              <c:y val="9.789594428126936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749465200"/>
        <c:crosses val="autoZero"/>
        <c:crossBetween val="between"/>
        <c:majorUnit val="0.1"/>
        <c:minorUnit val="5.000000000000001E-2"/>
      </c:valAx>
      <c:spPr>
        <a:noFill/>
        <a:ln>
          <a:noFill/>
        </a:ln>
        <a:effectLst/>
      </c:spPr>
    </c:plotArea>
    <c:legend>
      <c:legendPos val="r"/>
      <c:layout>
        <c:manualLayout>
          <c:xMode val="edge"/>
          <c:yMode val="edge"/>
          <c:x val="0.76652611573634144"/>
          <c:y val="0.38589489647127445"/>
          <c:w val="0.23114906462063403"/>
          <c:h val="0.446504520268299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6350"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Word]Figure 7-2!PivotTable1</c:name>
    <c:fmtId val="-1"/>
  </c:pivotSource>
  <c:chart>
    <c:autoTitleDeleted val="1"/>
    <c:pivotFmts>
      <c:pivotFmt>
        <c:idx val="0"/>
        <c:spPr>
          <a:solidFill>
            <a:srgbClr val="1F497D"/>
          </a:solidFill>
          <a:ln>
            <a:noFill/>
          </a:ln>
          <a:effectLst/>
        </c:spPr>
        <c:marker>
          <c:symbol val="none"/>
        </c:marker>
      </c:pivotFmt>
      <c:pivotFmt>
        <c:idx val="1"/>
        <c:spPr>
          <a:solidFill>
            <a:srgbClr val="009644"/>
          </a:solidFill>
          <a:ln>
            <a:noFill/>
          </a:ln>
          <a:effectLst/>
        </c:spPr>
        <c:marker>
          <c:symbol val="none"/>
        </c:marker>
      </c:pivotFmt>
      <c:pivotFmt>
        <c:idx val="2"/>
        <c:spPr>
          <a:solidFill>
            <a:srgbClr val="E26B0A"/>
          </a:solidFill>
          <a:ln>
            <a:noFill/>
          </a:ln>
          <a:effectLst/>
        </c:spPr>
        <c:marker>
          <c:symbol val="none"/>
        </c:marker>
      </c:pivotFmt>
      <c:pivotFmt>
        <c:idx val="3"/>
        <c:spPr>
          <a:solidFill>
            <a:srgbClr val="E18BD7"/>
          </a:solidFill>
          <a:ln>
            <a:noFill/>
          </a:ln>
          <a:effectLst/>
        </c:spPr>
        <c:marker>
          <c:symbol val="none"/>
        </c:marker>
      </c:pivotFmt>
      <c:pivotFmt>
        <c:idx val="4"/>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E18BD7"/>
          </a:solidFill>
          <a:ln>
            <a:noFill/>
          </a:ln>
          <a:effectLst/>
        </c:spPr>
      </c:pivotFmt>
      <c:pivotFmt>
        <c:idx val="6"/>
        <c:spPr>
          <a:solidFill>
            <a:srgbClr val="8064A2"/>
          </a:solidFill>
          <a:ln>
            <a:noFill/>
          </a:ln>
          <a:effectLst/>
        </c:spPr>
        <c:dLbl>
          <c:idx val="0"/>
          <c:layout>
            <c:manualLayout>
              <c:x val="9.2753623188405798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3.9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7"/>
        <c:spPr>
          <a:solidFill>
            <a:srgbClr val="8064A2"/>
          </a:solidFill>
          <a:ln>
            <a:noFill/>
          </a:ln>
          <a:effectLst/>
        </c:spPr>
        <c:dLbl>
          <c:idx val="0"/>
          <c:layout>
            <c:manualLayout>
              <c:x val="2.1256038647342997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3.7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
        <c:spPr>
          <a:solidFill>
            <a:srgbClr val="8064A2"/>
          </a:solidFill>
          <a:ln>
            <a:noFill/>
          </a:ln>
          <a:effectLst/>
        </c:spPr>
        <c:dLbl>
          <c:idx val="0"/>
          <c:layout>
            <c:manualLayout>
              <c:x val="2.1256038647342997E-2"/>
              <c:y val="-8.4875562720133283E-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0.4</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9"/>
        <c:spPr>
          <a:solidFill>
            <a:srgbClr val="8064A2"/>
          </a:solidFill>
          <a:ln>
            <a:noFill/>
          </a:ln>
          <a:effectLst/>
        </c:spPr>
        <c:dLbl>
          <c:idx val="0"/>
          <c:layout>
            <c:manualLayout>
              <c:x val="2.3188405797101415E-2"/>
              <c:y val="-8.4875562720133283E-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0.1</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0"/>
        <c:spPr>
          <a:solidFill>
            <a:srgbClr val="1F497D"/>
          </a:solidFill>
          <a:ln>
            <a:noFill/>
          </a:ln>
          <a:effectLst/>
        </c:spPr>
        <c:marker>
          <c:symbol val="none"/>
        </c:marker>
      </c:pivotFmt>
      <c:pivotFmt>
        <c:idx val="11"/>
        <c:spPr>
          <a:solidFill>
            <a:srgbClr val="009644"/>
          </a:solidFill>
          <a:ln>
            <a:noFill/>
          </a:ln>
          <a:effectLst/>
        </c:spPr>
        <c:marker>
          <c:symbol val="none"/>
        </c:marker>
      </c:pivotFmt>
      <c:pivotFmt>
        <c:idx val="12"/>
        <c:spPr>
          <a:solidFill>
            <a:srgbClr val="E26B0A"/>
          </a:solidFill>
          <a:ln>
            <a:noFill/>
          </a:ln>
          <a:effectLst/>
        </c:spPr>
        <c:marker>
          <c:symbol val="none"/>
        </c:marker>
      </c:pivotFmt>
      <c:pivotFmt>
        <c:idx val="13"/>
        <c:spPr>
          <a:solidFill>
            <a:srgbClr val="E18BD7"/>
          </a:solidFill>
          <a:ln>
            <a:noFill/>
          </a:ln>
          <a:effectLst/>
        </c:spPr>
        <c:marker>
          <c:symbol val="none"/>
        </c:marker>
      </c:pivotFmt>
      <c:pivotFmt>
        <c:idx val="14"/>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8064A2"/>
          </a:solidFill>
          <a:ln>
            <a:noFill/>
          </a:ln>
          <a:effectLst/>
        </c:spPr>
        <c:dLbl>
          <c:idx val="0"/>
          <c:layout>
            <c:manualLayout>
              <c:x val="2.3188405797101415E-2"/>
              <c:y val="-8.4875562720133283E-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0.1</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6"/>
        <c:spPr>
          <a:solidFill>
            <a:srgbClr val="8064A2"/>
          </a:solidFill>
          <a:ln>
            <a:noFill/>
          </a:ln>
          <a:effectLst/>
        </c:spPr>
        <c:dLbl>
          <c:idx val="0"/>
          <c:layout>
            <c:manualLayout>
              <c:x val="2.1256038647342997E-2"/>
              <c:y val="-8.4875562720133283E-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0.4</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7"/>
        <c:spPr>
          <a:solidFill>
            <a:srgbClr val="8064A2"/>
          </a:solidFill>
          <a:ln>
            <a:noFill/>
          </a:ln>
          <a:effectLst/>
        </c:spPr>
        <c:dLbl>
          <c:idx val="0"/>
          <c:layout>
            <c:manualLayout>
              <c:x val="9.2753623188405798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3.9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8"/>
        <c:spPr>
          <a:solidFill>
            <a:srgbClr val="8064A2"/>
          </a:solidFill>
          <a:ln>
            <a:noFill/>
          </a:ln>
          <a:effectLst/>
        </c:spPr>
        <c:dLbl>
          <c:idx val="0"/>
          <c:layout>
            <c:manualLayout>
              <c:x val="2.1256038647342997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3.7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9"/>
        <c:spPr>
          <a:solidFill>
            <a:srgbClr val="1F497D"/>
          </a:solidFill>
          <a:ln>
            <a:noFill/>
          </a:ln>
          <a:effectLst/>
        </c:spPr>
        <c:marker>
          <c:symbol val="none"/>
        </c:marker>
      </c:pivotFmt>
      <c:pivotFmt>
        <c:idx val="20"/>
        <c:spPr>
          <a:solidFill>
            <a:srgbClr val="009644"/>
          </a:solidFill>
          <a:ln>
            <a:noFill/>
          </a:ln>
          <a:effectLst/>
        </c:spPr>
        <c:marker>
          <c:symbol val="none"/>
        </c:marker>
      </c:pivotFmt>
      <c:pivotFmt>
        <c:idx val="21"/>
        <c:spPr>
          <a:solidFill>
            <a:srgbClr val="E26B0A"/>
          </a:solidFill>
          <a:ln>
            <a:noFill/>
          </a:ln>
          <a:effectLst/>
        </c:spPr>
        <c:marker>
          <c:symbol val="none"/>
        </c:marker>
      </c:pivotFmt>
      <c:pivotFmt>
        <c:idx val="22"/>
        <c:spPr>
          <a:solidFill>
            <a:srgbClr val="E18BD7"/>
          </a:solidFill>
          <a:ln>
            <a:noFill/>
          </a:ln>
          <a:effectLst/>
        </c:spPr>
        <c:marker>
          <c:symbol val="none"/>
        </c:marker>
      </c:pivotFmt>
      <c:pivotFmt>
        <c:idx val="23"/>
        <c:spPr>
          <a:solidFill>
            <a:srgbClr val="8064A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rgbClr val="8064A2"/>
          </a:solidFill>
          <a:ln>
            <a:noFill/>
          </a:ln>
          <a:effectLst/>
        </c:spPr>
        <c:dLbl>
          <c:idx val="0"/>
          <c:layout>
            <c:manualLayout>
              <c:x val="2.3188405797101415E-2"/>
              <c:y val="-8.4875562720133283E-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0.1</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5"/>
        <c:spPr>
          <a:solidFill>
            <a:srgbClr val="8064A2"/>
          </a:solidFill>
          <a:ln>
            <a:noFill/>
          </a:ln>
          <a:effectLst/>
        </c:spPr>
        <c:dLbl>
          <c:idx val="0"/>
          <c:layout>
            <c:manualLayout>
              <c:x val="2.1256038647342997E-2"/>
              <c:y val="-8.4875562720133283E-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0.4</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6"/>
        <c:spPr>
          <a:solidFill>
            <a:srgbClr val="8064A2"/>
          </a:solidFill>
          <a:ln>
            <a:noFill/>
          </a:ln>
          <a:effectLst/>
        </c:spPr>
        <c:dLbl>
          <c:idx val="0"/>
          <c:layout>
            <c:manualLayout>
              <c:x val="9.2753623188405798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3.9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7"/>
        <c:spPr>
          <a:solidFill>
            <a:srgbClr val="8064A2"/>
          </a:solidFill>
          <a:ln>
            <a:noFill/>
          </a:ln>
          <a:effectLst/>
        </c:spPr>
        <c:dLbl>
          <c:idx val="0"/>
          <c:layout>
            <c:manualLayout>
              <c:x val="2.1256038647342997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3.7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s>
    <c:plotArea>
      <c:layout>
        <c:manualLayout>
          <c:layoutTarget val="inner"/>
          <c:xMode val="edge"/>
          <c:yMode val="edge"/>
          <c:x val="0.5556288853574326"/>
          <c:y val="7.1029080495822669E-3"/>
          <c:w val="0.41937473162025551"/>
          <c:h val="0.64330785481083153"/>
        </c:manualLayout>
      </c:layout>
      <c:barChart>
        <c:barDir val="bar"/>
        <c:grouping val="stacked"/>
        <c:varyColors val="0"/>
        <c:ser>
          <c:idx val="0"/>
          <c:order val="0"/>
          <c:tx>
            <c:strRef>
              <c:f>'Figure 7-2'!$B$1</c:f>
              <c:strCache>
                <c:ptCount val="1"/>
                <c:pt idx="0">
                  <c:v>A. Studying payments</c:v>
                </c:pt>
              </c:strCache>
            </c:strRef>
          </c:tx>
          <c:spPr>
            <a:solidFill>
              <a:srgbClr val="1F497D"/>
            </a:solidFill>
            <a:ln>
              <a:noFill/>
            </a:ln>
            <a:effectLst/>
          </c:spPr>
          <c:invertIfNegative val="0"/>
          <c:dLbls>
            <c:delete val="1"/>
          </c:dLbls>
          <c:cat>
            <c:strRef>
              <c:f>'Figure 7-2'!$A$2:$A$6</c:f>
              <c:strCache>
                <c:ptCount val="4"/>
                <c:pt idx="0">
                  <c:v>No income support or
 supplementary family payments</c:v>
                </c:pt>
                <c:pt idx="1">
                  <c:v>Supplementary family payments only
 (In FY 2021-22)</c:v>
                </c:pt>
                <c:pt idx="2">
                  <c:v>Other income support</c:v>
                </c:pt>
                <c:pt idx="3">
                  <c:v>Parenting Payment</c:v>
                </c:pt>
              </c:strCache>
            </c:strRef>
          </c:cat>
          <c:val>
            <c:numRef>
              <c:f>'Figure 7-2'!$B$2:$B$6</c:f>
              <c:numCache>
                <c:formatCode>General</c:formatCode>
                <c:ptCount val="4"/>
                <c:pt idx="0">
                  <c:v>6.1618132049071428E-3</c:v>
                </c:pt>
                <c:pt idx="1">
                  <c:v>1.6248100091031774E-2</c:v>
                </c:pt>
                <c:pt idx="2">
                  <c:v>4.1283305200997253E-2</c:v>
                </c:pt>
                <c:pt idx="3">
                  <c:v>4.4560649208616132E-2</c:v>
                </c:pt>
              </c:numCache>
            </c:numRef>
          </c:val>
          <c:extLst>
            <c:ext xmlns:c16="http://schemas.microsoft.com/office/drawing/2014/chart" uri="{C3380CC4-5D6E-409C-BE32-E72D297353CC}">
              <c16:uniqueId val="{00000000-7E19-44D7-BC63-A7E6E3C29944}"/>
            </c:ext>
          </c:extLst>
        </c:ser>
        <c:ser>
          <c:idx val="1"/>
          <c:order val="1"/>
          <c:tx>
            <c:strRef>
              <c:f>'Figure 7-2'!$C$1</c:f>
              <c:strCache>
                <c:ptCount val="1"/>
                <c:pt idx="0">
                  <c:v>B. Working age payments</c:v>
                </c:pt>
              </c:strCache>
            </c:strRef>
          </c:tx>
          <c:spPr>
            <a:solidFill>
              <a:srgbClr val="009644"/>
            </a:solidFill>
            <a:ln>
              <a:noFill/>
            </a:ln>
            <a:effectLst/>
          </c:spPr>
          <c:invertIfNegative val="0"/>
          <c:dLbls>
            <c:dLbl>
              <c:idx val="0"/>
              <c:layout>
                <c:manualLayout>
                  <c:x val="1.7639276789651624E-2"/>
                  <c:y val="-4.7047753469771907E-2"/>
                </c:manualLayout>
              </c:layout>
              <c:tx>
                <c:rich>
                  <a:bodyPr/>
                  <a:lstStyle/>
                  <a:p>
                    <a:r>
                      <a:rPr lang="en-US"/>
                      <a:t>A-E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C65-45A3-A1E9-F457852B409B}"/>
                </c:ext>
              </c:extLst>
            </c:dLbl>
            <c:dLbl>
              <c:idx val="1"/>
              <c:layout>
                <c:manualLayout>
                  <c:x val="1.7639276789651517E-2"/>
                  <c:y val="-5.1752528816749042E-2"/>
                </c:manualLayout>
              </c:layout>
              <c:tx>
                <c:rich>
                  <a:bodyPr/>
                  <a:lstStyle/>
                  <a:p>
                    <a:r>
                      <a:rPr lang="en-US"/>
                      <a:t>A-E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C65-45A3-A1E9-F457852B409B}"/>
                </c:ext>
              </c:extLst>
            </c:dLbl>
            <c:dLbl>
              <c:idx val="2"/>
              <c:layout>
                <c:manualLayout>
                  <c:x val="7.6436866088490263E-2"/>
                  <c:y val="-5.1752343589373154E-2"/>
                </c:manualLayout>
              </c:layout>
              <c:tx>
                <c:rich>
                  <a:bodyPr/>
                  <a:lstStyle/>
                  <a:p>
                    <a:r>
                      <a:rPr lang="en-US"/>
                      <a:t>A       B           C      D        E</a:t>
                    </a:r>
                  </a:p>
                </c:rich>
              </c:tx>
              <c:showLegendKey val="0"/>
              <c:showVal val="1"/>
              <c:showCatName val="0"/>
              <c:showSerName val="0"/>
              <c:showPercent val="0"/>
              <c:showBubbleSize val="0"/>
              <c:extLst>
                <c:ext xmlns:c15="http://schemas.microsoft.com/office/drawing/2012/chart" uri="{CE6537A1-D6FC-4f65-9D91-7224C49458BB}">
                  <c15:layout>
                    <c:manualLayout>
                      <c:w val="0.39113637915648608"/>
                      <c:h val="5.737492058376259E-2"/>
                    </c:manualLayout>
                  </c15:layout>
                  <c15:showDataLabelsRange val="0"/>
                </c:ext>
                <c:ext xmlns:c16="http://schemas.microsoft.com/office/drawing/2014/chart" uri="{C3380CC4-5D6E-409C-BE32-E72D297353CC}">
                  <c16:uniqueId val="{00000009-0C65-45A3-A1E9-F457852B409B}"/>
                </c:ext>
              </c:extLst>
            </c:dLbl>
            <c:dLbl>
              <c:idx val="3"/>
              <c:layout>
                <c:manualLayout>
                  <c:x val="0.14699385750381086"/>
                  <c:y val="-4.7047568242395955E-2"/>
                </c:manualLayout>
              </c:layout>
              <c:tx>
                <c:rich>
                  <a:bodyPr/>
                  <a:lstStyle/>
                  <a:p>
                    <a:r>
                      <a:rPr lang="en-US"/>
                      <a:t>AB                   C                 D-E</a:t>
                    </a:r>
                  </a:p>
                </c:rich>
              </c:tx>
              <c:showLegendKey val="0"/>
              <c:showVal val="1"/>
              <c:showCatName val="0"/>
              <c:showSerName val="0"/>
              <c:showPercent val="0"/>
              <c:showBubbleSize val="0"/>
              <c:extLst>
                <c:ext xmlns:c15="http://schemas.microsoft.com/office/drawing/2012/chart" uri="{CE6537A1-D6FC-4f65-9D91-7224C49458BB}">
                  <c15:layout>
                    <c:manualLayout>
                      <c:w val="0.39591356754373064"/>
                      <c:h val="5.737492058376259E-2"/>
                    </c:manualLayout>
                  </c15:layout>
                  <c15:showDataLabelsRange val="0"/>
                </c:ext>
                <c:ext xmlns:c16="http://schemas.microsoft.com/office/drawing/2014/chart" uri="{C3380CC4-5D6E-409C-BE32-E72D297353CC}">
                  <c16:uniqueId val="{00000008-0C65-45A3-A1E9-F457852B409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7-2'!$A$2:$A$6</c:f>
              <c:strCache>
                <c:ptCount val="4"/>
                <c:pt idx="0">
                  <c:v>No income support or
 supplementary family payments</c:v>
                </c:pt>
                <c:pt idx="1">
                  <c:v>Supplementary family payments only
 (In FY 2021-22)</c:v>
                </c:pt>
                <c:pt idx="2">
                  <c:v>Other income support</c:v>
                </c:pt>
                <c:pt idx="3">
                  <c:v>Parenting Payment</c:v>
                </c:pt>
              </c:strCache>
            </c:strRef>
          </c:cat>
          <c:val>
            <c:numRef>
              <c:f>'Figure 7-2'!$C$2:$C$6</c:f>
              <c:numCache>
                <c:formatCode>General</c:formatCode>
                <c:ptCount val="4"/>
                <c:pt idx="0">
                  <c:v>8.2351147578935469E-2</c:v>
                </c:pt>
                <c:pt idx="1">
                  <c:v>0.14105433026063488</c:v>
                </c:pt>
                <c:pt idx="2">
                  <c:v>1.6694476797874471</c:v>
                </c:pt>
                <c:pt idx="3">
                  <c:v>0.40648470459162095</c:v>
                </c:pt>
              </c:numCache>
            </c:numRef>
          </c:val>
          <c:extLst>
            <c:ext xmlns:c16="http://schemas.microsoft.com/office/drawing/2014/chart" uri="{C3380CC4-5D6E-409C-BE32-E72D297353CC}">
              <c16:uniqueId val="{00000001-7E19-44D7-BC63-A7E6E3C29944}"/>
            </c:ext>
          </c:extLst>
        </c:ser>
        <c:ser>
          <c:idx val="2"/>
          <c:order val="2"/>
          <c:tx>
            <c:strRef>
              <c:f>'Figure 7-2'!$D$1</c:f>
              <c:strCache>
                <c:ptCount val="1"/>
                <c:pt idx="0">
                  <c:v>C. Parenting Payment</c:v>
                </c:pt>
              </c:strCache>
            </c:strRef>
          </c:tx>
          <c:spPr>
            <a:solidFill>
              <a:srgbClr val="E26B0A"/>
            </a:solidFill>
            <a:ln>
              <a:noFill/>
            </a:ln>
            <a:effectLst/>
          </c:spPr>
          <c:invertIfNegative val="0"/>
          <c:dLbls>
            <c:delete val="1"/>
          </c:dLbls>
          <c:cat>
            <c:strRef>
              <c:f>'Figure 7-2'!$A$2:$A$6</c:f>
              <c:strCache>
                <c:ptCount val="4"/>
                <c:pt idx="0">
                  <c:v>No income support or
 supplementary family payments</c:v>
                </c:pt>
                <c:pt idx="1">
                  <c:v>Supplementary family payments only
 (In FY 2021-22)</c:v>
                </c:pt>
                <c:pt idx="2">
                  <c:v>Other income support</c:v>
                </c:pt>
                <c:pt idx="3">
                  <c:v>Parenting Payment</c:v>
                </c:pt>
              </c:strCache>
            </c:strRef>
          </c:cat>
          <c:val>
            <c:numRef>
              <c:f>'Figure 7-2'!$D$2:$D$6</c:f>
              <c:numCache>
                <c:formatCode>General</c:formatCode>
                <c:ptCount val="4"/>
                <c:pt idx="0">
                  <c:v>1.4605270586256608E-2</c:v>
                </c:pt>
                <c:pt idx="1">
                  <c:v>0.19350138503673459</c:v>
                </c:pt>
                <c:pt idx="2">
                  <c:v>0.46655975696529639</c:v>
                </c:pt>
                <c:pt idx="3">
                  <c:v>3.1646804581914991</c:v>
                </c:pt>
              </c:numCache>
            </c:numRef>
          </c:val>
          <c:extLst>
            <c:ext xmlns:c16="http://schemas.microsoft.com/office/drawing/2014/chart" uri="{C3380CC4-5D6E-409C-BE32-E72D297353CC}">
              <c16:uniqueId val="{00000002-7E19-44D7-BC63-A7E6E3C29944}"/>
            </c:ext>
          </c:extLst>
        </c:ser>
        <c:ser>
          <c:idx val="3"/>
          <c:order val="3"/>
          <c:tx>
            <c:strRef>
              <c:f>'Figure 7-2'!$E$1</c:f>
              <c:strCache>
                <c:ptCount val="1"/>
                <c:pt idx="0">
                  <c:v>D. Carer Payment</c:v>
                </c:pt>
              </c:strCache>
            </c:strRef>
          </c:tx>
          <c:spPr>
            <a:solidFill>
              <a:srgbClr val="E18BD7"/>
            </a:solidFill>
            <a:ln>
              <a:noFill/>
            </a:ln>
            <a:effectLst/>
          </c:spPr>
          <c:invertIfNegative val="0"/>
          <c:dLbls>
            <c:delete val="1"/>
          </c:dLbls>
          <c:cat>
            <c:strRef>
              <c:f>'Figure 7-2'!$A$2:$A$6</c:f>
              <c:strCache>
                <c:ptCount val="4"/>
                <c:pt idx="0">
                  <c:v>No income support or
 supplementary family payments</c:v>
                </c:pt>
                <c:pt idx="1">
                  <c:v>Supplementary family payments only
 (In FY 2021-22)</c:v>
                </c:pt>
                <c:pt idx="2">
                  <c:v>Other income support</c:v>
                </c:pt>
                <c:pt idx="3">
                  <c:v>Parenting Payment</c:v>
                </c:pt>
              </c:strCache>
            </c:strRef>
          </c:cat>
          <c:val>
            <c:numRef>
              <c:f>'Figure 7-2'!$E$2:$E$6</c:f>
              <c:numCache>
                <c:formatCode>General</c:formatCode>
                <c:ptCount val="4"/>
                <c:pt idx="0">
                  <c:v>5.9094760508239816E-3</c:v>
                </c:pt>
                <c:pt idx="1">
                  <c:v>2.0748585341537628E-2</c:v>
                </c:pt>
                <c:pt idx="2">
                  <c:v>0.80729520172517333</c:v>
                </c:pt>
                <c:pt idx="3">
                  <c:v>3.8012475884110622E-2</c:v>
                </c:pt>
              </c:numCache>
            </c:numRef>
          </c:val>
          <c:extLst>
            <c:ext xmlns:c16="http://schemas.microsoft.com/office/drawing/2014/chart" uri="{C3380CC4-5D6E-409C-BE32-E72D297353CC}">
              <c16:uniqueId val="{00000003-7E19-44D7-BC63-A7E6E3C29944}"/>
            </c:ext>
          </c:extLst>
        </c:ser>
        <c:ser>
          <c:idx val="4"/>
          <c:order val="4"/>
          <c:tx>
            <c:strRef>
              <c:f>'Figure 7-2'!$F$1</c:f>
              <c:strCache>
                <c:ptCount val="1"/>
                <c:pt idx="0">
                  <c:v>E. DSP</c:v>
                </c:pt>
              </c:strCache>
            </c:strRef>
          </c:tx>
          <c:spPr>
            <a:solidFill>
              <a:srgbClr val="8064A2"/>
            </a:solidFill>
            <a:ln>
              <a:noFill/>
            </a:ln>
            <a:effectLst/>
          </c:spPr>
          <c:invertIfNegative val="0"/>
          <c:dPt>
            <c:idx val="0"/>
            <c:invertIfNegative val="0"/>
            <c:bubble3D val="0"/>
            <c:spPr>
              <a:solidFill>
                <a:srgbClr val="8064A2"/>
              </a:solidFill>
              <a:ln>
                <a:noFill/>
              </a:ln>
              <a:effectLst/>
            </c:spPr>
            <c:extLst>
              <c:ext xmlns:c16="http://schemas.microsoft.com/office/drawing/2014/chart" uri="{C3380CC4-5D6E-409C-BE32-E72D297353CC}">
                <c16:uniqueId val="{00000005-7E19-44D7-BC63-A7E6E3C29944}"/>
              </c:ext>
            </c:extLst>
          </c:dPt>
          <c:dPt>
            <c:idx val="1"/>
            <c:invertIfNegative val="0"/>
            <c:bubble3D val="0"/>
            <c:spPr>
              <a:solidFill>
                <a:srgbClr val="8064A2"/>
              </a:solidFill>
              <a:ln>
                <a:noFill/>
              </a:ln>
              <a:effectLst/>
            </c:spPr>
            <c:extLst>
              <c:ext xmlns:c16="http://schemas.microsoft.com/office/drawing/2014/chart" uri="{C3380CC4-5D6E-409C-BE32-E72D297353CC}">
                <c16:uniqueId val="{00000007-7E19-44D7-BC63-A7E6E3C29944}"/>
              </c:ext>
            </c:extLst>
          </c:dPt>
          <c:dPt>
            <c:idx val="2"/>
            <c:invertIfNegative val="0"/>
            <c:bubble3D val="0"/>
            <c:spPr>
              <a:solidFill>
                <a:srgbClr val="8064A2"/>
              </a:solidFill>
              <a:ln>
                <a:noFill/>
              </a:ln>
              <a:effectLst/>
            </c:spPr>
            <c:extLst>
              <c:ext xmlns:c16="http://schemas.microsoft.com/office/drawing/2014/chart" uri="{C3380CC4-5D6E-409C-BE32-E72D297353CC}">
                <c16:uniqueId val="{00000009-7E19-44D7-BC63-A7E6E3C29944}"/>
              </c:ext>
            </c:extLst>
          </c:dPt>
          <c:dPt>
            <c:idx val="3"/>
            <c:invertIfNegative val="0"/>
            <c:bubble3D val="0"/>
            <c:spPr>
              <a:solidFill>
                <a:srgbClr val="8064A2"/>
              </a:solidFill>
              <a:ln>
                <a:noFill/>
              </a:ln>
              <a:effectLst/>
            </c:spPr>
            <c:extLst>
              <c:ext xmlns:c16="http://schemas.microsoft.com/office/drawing/2014/chart" uri="{C3380CC4-5D6E-409C-BE32-E72D297353CC}">
                <c16:uniqueId val="{0000000B-7E19-44D7-BC63-A7E6E3C29944}"/>
              </c:ext>
            </c:extLst>
          </c:dPt>
          <c:dLbls>
            <c:dLbl>
              <c:idx val="0"/>
              <c:layout>
                <c:manualLayout>
                  <c:x val="2.3188405797101415E-2"/>
                  <c:y val="-8.4875562720133283E-17"/>
                </c:manualLayout>
              </c:layout>
              <c:tx>
                <c:rich>
                  <a:bodyPr/>
                  <a:lstStyle/>
                  <a:p>
                    <a:r>
                      <a:rPr lang="en-US"/>
                      <a:t>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E19-44D7-BC63-A7E6E3C29944}"/>
                </c:ext>
              </c:extLst>
            </c:dLbl>
            <c:dLbl>
              <c:idx val="1"/>
              <c:layout>
                <c:manualLayout>
                  <c:x val="2.4195902456188165E-2"/>
                  <c:y val="0"/>
                </c:manualLayout>
              </c:layout>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E19-44D7-BC63-A7E6E3C29944}"/>
                </c:ext>
              </c:extLst>
            </c:dLbl>
            <c:dLbl>
              <c:idx val="2"/>
              <c:layout>
                <c:manualLayout>
                  <c:x val="6.8243828590053499E-2"/>
                  <c:y val="0"/>
                </c:manualLayout>
              </c:layout>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E19-44D7-BC63-A7E6E3C29944}"/>
                </c:ext>
              </c:extLst>
            </c:dLbl>
            <c:dLbl>
              <c:idx val="3"/>
              <c:layout>
                <c:manualLayout>
                  <c:x val="2.1256038647342997E-2"/>
                  <c:y val="0"/>
                </c:manualLayout>
              </c:layout>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E19-44D7-BC63-A7E6E3C2994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7-2'!$A$2:$A$6</c:f>
              <c:strCache>
                <c:ptCount val="4"/>
                <c:pt idx="0">
                  <c:v>No income support or
 supplementary family payments</c:v>
                </c:pt>
                <c:pt idx="1">
                  <c:v>Supplementary family payments only
 (In FY 2021-22)</c:v>
                </c:pt>
                <c:pt idx="2">
                  <c:v>Other income support</c:v>
                </c:pt>
                <c:pt idx="3">
                  <c:v>Parenting Payment</c:v>
                </c:pt>
              </c:strCache>
            </c:strRef>
          </c:cat>
          <c:val>
            <c:numRef>
              <c:f>'Figure 7-2'!$F$2:$F$6</c:f>
              <c:numCache>
                <c:formatCode>General</c:formatCode>
                <c:ptCount val="4"/>
                <c:pt idx="0">
                  <c:v>3.4223140876840888E-3</c:v>
                </c:pt>
                <c:pt idx="1">
                  <c:v>4.6339063211430177E-3</c:v>
                </c:pt>
                <c:pt idx="2">
                  <c:v>0.87955212900584157</c:v>
                </c:pt>
                <c:pt idx="3">
                  <c:v>1.2795936177300491E-3</c:v>
                </c:pt>
              </c:numCache>
            </c:numRef>
          </c:val>
          <c:extLst>
            <c:ext xmlns:c16="http://schemas.microsoft.com/office/drawing/2014/chart" uri="{C3380CC4-5D6E-409C-BE32-E72D297353CC}">
              <c16:uniqueId val="{0000000C-7E19-44D7-BC63-A7E6E3C29944}"/>
            </c:ext>
          </c:extLst>
        </c:ser>
        <c:dLbls>
          <c:showLegendKey val="0"/>
          <c:showVal val="1"/>
          <c:showCatName val="0"/>
          <c:showSerName val="0"/>
          <c:showPercent val="0"/>
          <c:showBubbleSize val="0"/>
        </c:dLbls>
        <c:gapWidth val="150"/>
        <c:overlap val="100"/>
        <c:axId val="565754128"/>
        <c:axId val="565753144"/>
      </c:barChart>
      <c:catAx>
        <c:axId val="56575412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Payments received</a:t>
                </a:r>
              </a:p>
              <a:p>
                <a:pPr>
                  <a:defRPr b="1"/>
                </a:pPr>
                <a:r>
                  <a:rPr lang="en-AU" b="1"/>
                  <a:t> at 30</a:t>
                </a:r>
                <a:r>
                  <a:rPr lang="en-AU" sz="900" b="1" i="0" u="none" strike="noStrike" kern="1200" baseline="0">
                    <a:solidFill>
                      <a:sysClr val="windowText" lastClr="000000"/>
                    </a:solidFill>
                    <a:latin typeface="Arial" panose="020B0604020202020204" pitchFamily="34" charset="0"/>
                    <a:ea typeface="+mn-ea"/>
                    <a:cs typeface="+mn-cs"/>
                  </a:rPr>
                  <a:t> June </a:t>
                </a:r>
                <a:r>
                  <a:rPr lang="en-AU" b="1"/>
                  <a:t>2022</a:t>
                </a:r>
              </a:p>
            </c:rich>
          </c:tx>
          <c:layout>
            <c:manualLayout>
              <c:xMode val="edge"/>
              <c:yMode val="edge"/>
              <c:x val="2.155371472289321E-3"/>
              <c:y val="0.1435498653718466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5753144"/>
        <c:crosses val="autoZero"/>
        <c:auto val="1"/>
        <c:lblAlgn val="ctr"/>
        <c:lblOffset val="100"/>
        <c:noMultiLvlLbl val="0"/>
      </c:catAx>
      <c:valAx>
        <c:axId val="565753144"/>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Years</a:t>
                </a:r>
              </a:p>
            </c:rich>
          </c:tx>
          <c:layout>
            <c:manualLayout>
              <c:xMode val="edge"/>
              <c:yMode val="edge"/>
              <c:x val="0.72193832966234206"/>
              <c:y val="0.7543455604634786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5754128"/>
        <c:crosses val="autoZero"/>
        <c:crossBetween val="between"/>
        <c:majorUnit val="1"/>
      </c:valAx>
      <c:spPr>
        <a:noFill/>
        <a:ln>
          <a:noFill/>
        </a:ln>
        <a:effectLst/>
      </c:spPr>
    </c:plotArea>
    <c:legend>
      <c:legendPos val="b"/>
      <c:layout>
        <c:manualLayout>
          <c:xMode val="edge"/>
          <c:yMode val="edge"/>
          <c:x val="1.1866001682907378E-3"/>
          <c:y val="0.84226361948658857"/>
          <c:w val="0.99881339983170925"/>
          <c:h val="0.156630689456500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380617166349732"/>
          <c:y val="4.9813200498132005E-3"/>
          <c:w val="0.43119744531419096"/>
          <c:h val="0.65268197017091412"/>
        </c:manualLayout>
      </c:layout>
      <c:barChart>
        <c:barDir val="bar"/>
        <c:grouping val="stacked"/>
        <c:varyColors val="0"/>
        <c:ser>
          <c:idx val="0"/>
          <c:order val="0"/>
          <c:tx>
            <c:strRef>
              <c:f>'Figure 7-4'!$B$1</c:f>
              <c:strCache>
                <c:ptCount val="1"/>
                <c:pt idx="0">
                  <c:v>A. Studying payments</c:v>
                </c:pt>
              </c:strCache>
            </c:strRef>
          </c:tx>
          <c:spPr>
            <a:solidFill>
              <a:srgbClr val="1F497D"/>
            </a:solidFill>
            <a:ln>
              <a:noFill/>
            </a:ln>
            <a:effectLst/>
          </c:spPr>
          <c:invertIfNegative val="0"/>
          <c:dLbls>
            <c:delete val="1"/>
          </c:dLbls>
          <c:cat>
            <c:strRef>
              <c:f>'Figure 7-4'!$A$2:$A$5</c:f>
              <c:strCache>
                <c:ptCount val="4"/>
                <c:pt idx="0">
                  <c:v>No income support or
supplementary family payments</c:v>
                </c:pt>
                <c:pt idx="1">
                  <c:v>Supplementary family payments only
 (in FY 2021-22)</c:v>
                </c:pt>
                <c:pt idx="2">
                  <c:v>Other income support</c:v>
                </c:pt>
                <c:pt idx="3">
                  <c:v>Parenting Payment</c:v>
                </c:pt>
              </c:strCache>
            </c:strRef>
          </c:cat>
          <c:val>
            <c:numRef>
              <c:f>'Figure 7-4'!$B$2:$B$5</c:f>
              <c:numCache>
                <c:formatCode>General</c:formatCode>
                <c:ptCount val="4"/>
                <c:pt idx="0">
                  <c:v>2.5938266999999998E-3</c:v>
                </c:pt>
                <c:pt idx="1">
                  <c:v>5.4536150999999998E-3</c:v>
                </c:pt>
                <c:pt idx="2">
                  <c:v>2.78929248E-2</c:v>
                </c:pt>
                <c:pt idx="3">
                  <c:v>1.7123406399999999E-2</c:v>
                </c:pt>
              </c:numCache>
            </c:numRef>
          </c:val>
          <c:extLst>
            <c:ext xmlns:c16="http://schemas.microsoft.com/office/drawing/2014/chart" uri="{C3380CC4-5D6E-409C-BE32-E72D297353CC}">
              <c16:uniqueId val="{00000000-E423-437A-B66C-B2E9FF0A8B9F}"/>
            </c:ext>
          </c:extLst>
        </c:ser>
        <c:ser>
          <c:idx val="1"/>
          <c:order val="1"/>
          <c:tx>
            <c:strRef>
              <c:f>'Figure 7-4'!$C$1</c:f>
              <c:strCache>
                <c:ptCount val="1"/>
                <c:pt idx="0">
                  <c:v>B. Working age payments</c:v>
                </c:pt>
              </c:strCache>
            </c:strRef>
          </c:tx>
          <c:spPr>
            <a:solidFill>
              <a:srgbClr val="009644"/>
            </a:solidFill>
            <a:ln>
              <a:noFill/>
            </a:ln>
            <a:effectLst/>
          </c:spPr>
          <c:invertIfNegative val="0"/>
          <c:dLbls>
            <c:delete val="1"/>
          </c:dLbls>
          <c:cat>
            <c:strRef>
              <c:f>'Figure 7-4'!$A$2:$A$5</c:f>
              <c:strCache>
                <c:ptCount val="4"/>
                <c:pt idx="0">
                  <c:v>No income support or
supplementary family payments</c:v>
                </c:pt>
                <c:pt idx="1">
                  <c:v>Supplementary family payments only
 (in FY 2021-22)</c:v>
                </c:pt>
                <c:pt idx="2">
                  <c:v>Other income support</c:v>
                </c:pt>
                <c:pt idx="3">
                  <c:v>Parenting Payment</c:v>
                </c:pt>
              </c:strCache>
            </c:strRef>
          </c:cat>
          <c:val>
            <c:numRef>
              <c:f>'Figure 7-4'!$C$2:$C$5</c:f>
              <c:numCache>
                <c:formatCode>General</c:formatCode>
                <c:ptCount val="4"/>
                <c:pt idx="0">
                  <c:v>4.2251496899999998E-2</c:v>
                </c:pt>
                <c:pt idx="1">
                  <c:v>8.3939834199999994E-2</c:v>
                </c:pt>
                <c:pt idx="2">
                  <c:v>1.5082760706</c:v>
                </c:pt>
                <c:pt idx="3">
                  <c:v>0.55945432080000002</c:v>
                </c:pt>
              </c:numCache>
            </c:numRef>
          </c:val>
          <c:extLst>
            <c:ext xmlns:c16="http://schemas.microsoft.com/office/drawing/2014/chart" uri="{C3380CC4-5D6E-409C-BE32-E72D297353CC}">
              <c16:uniqueId val="{00000001-E423-437A-B66C-B2E9FF0A8B9F}"/>
            </c:ext>
          </c:extLst>
        </c:ser>
        <c:ser>
          <c:idx val="2"/>
          <c:order val="2"/>
          <c:tx>
            <c:strRef>
              <c:f>'Figure 7-4'!$D$1</c:f>
              <c:strCache>
                <c:ptCount val="1"/>
                <c:pt idx="0">
                  <c:v>C. Parenting Payment</c:v>
                </c:pt>
              </c:strCache>
            </c:strRef>
          </c:tx>
          <c:spPr>
            <a:solidFill>
              <a:srgbClr val="E26B0A"/>
            </a:solidFill>
            <a:ln>
              <a:noFill/>
            </a:ln>
            <a:effectLst/>
          </c:spPr>
          <c:invertIfNegative val="0"/>
          <c:dLbls>
            <c:dLbl>
              <c:idx val="0"/>
              <c:layout>
                <c:manualLayout>
                  <c:x val="1.7639276789651624E-2"/>
                  <c:y val="-5.6457304163726185E-2"/>
                </c:manualLayout>
              </c:layout>
              <c:tx>
                <c:rich>
                  <a:bodyPr/>
                  <a:lstStyle/>
                  <a:p>
                    <a:r>
                      <a:rPr lang="en-US"/>
                      <a:t>A-F</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811-4727-B995-C5EE682568CC}"/>
                </c:ext>
              </c:extLst>
            </c:dLbl>
            <c:dLbl>
              <c:idx val="1"/>
              <c:layout>
                <c:manualLayout>
                  <c:x val="1.1759517859767749E-2"/>
                  <c:y val="-5.1752528816749042E-2"/>
                </c:manualLayout>
              </c:layout>
              <c:tx>
                <c:rich>
                  <a:bodyPr/>
                  <a:lstStyle/>
                  <a:p>
                    <a:r>
                      <a:rPr lang="en-US"/>
                      <a:t>A-F</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811-4727-B995-C5EE682568CC}"/>
                </c:ext>
              </c:extLst>
            </c:dLbl>
            <c:dLbl>
              <c:idx val="2"/>
              <c:layout>
                <c:manualLayout>
                  <c:x val="3.0868965868462384E-2"/>
                  <c:y val="-5.6457304163726185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mn-cs"/>
                      </a:defRPr>
                    </a:pPr>
                    <a:r>
                      <a:rPr lang="en-US"/>
                      <a:t>A      B     </a:t>
                    </a:r>
                    <a:r>
                      <a:rPr lang="en-US" baseline="0"/>
                      <a:t> </a:t>
                    </a:r>
                    <a:r>
                      <a:rPr lang="en-US"/>
                      <a:t> C    D           E       F</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40517418785829779"/>
                      <c:h val="7.2406492589978833E-2"/>
                    </c:manualLayout>
                  </c15:layout>
                  <c15:showDataLabelsRange val="0"/>
                </c:ext>
                <c:ext xmlns:c16="http://schemas.microsoft.com/office/drawing/2014/chart" uri="{C3380CC4-5D6E-409C-BE32-E72D297353CC}">
                  <c16:uniqueId val="{00000001-E811-4727-B995-C5EE682568CC}"/>
                </c:ext>
              </c:extLst>
            </c:dLbl>
            <c:dLbl>
              <c:idx val="3"/>
              <c:layout>
                <c:manualLayout>
                  <c:x val="-7.3495829190688223E-3"/>
                  <c:y val="-5.6457118936350317E-2"/>
                </c:manualLayout>
              </c:layout>
              <c:tx>
                <c:rich>
                  <a:bodyPr/>
                  <a:lstStyle/>
                  <a:p>
                    <a:r>
                      <a:rPr lang="en-US"/>
                      <a:t>AB                 C                 D-F</a:t>
                    </a:r>
                  </a:p>
                </c:rich>
              </c:tx>
              <c:dLblPos val="ctr"/>
              <c:showLegendKey val="0"/>
              <c:showVal val="1"/>
              <c:showCatName val="0"/>
              <c:showSerName val="0"/>
              <c:showPercent val="0"/>
              <c:showBubbleSize val="0"/>
              <c:extLst>
                <c:ext xmlns:c15="http://schemas.microsoft.com/office/drawing/2012/chart" uri="{CE6537A1-D6FC-4f65-9D91-7224C49458BB}">
                  <c15:layout>
                    <c:manualLayout>
                      <c:w val="0.35651918271350869"/>
                      <c:h val="5.737492058376259E-2"/>
                    </c:manualLayout>
                  </c15:layout>
                  <c15:showDataLabelsRange val="0"/>
                </c:ext>
                <c:ext xmlns:c16="http://schemas.microsoft.com/office/drawing/2014/chart" uri="{C3380CC4-5D6E-409C-BE32-E72D297353CC}">
                  <c16:uniqueId val="{00000000-E811-4727-B995-C5EE682568C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7-4'!$A$2:$A$5</c:f>
              <c:strCache>
                <c:ptCount val="4"/>
                <c:pt idx="0">
                  <c:v>No income support or
supplementary family payments</c:v>
                </c:pt>
                <c:pt idx="1">
                  <c:v>Supplementary family payments only
 (in FY 2021-22)</c:v>
                </c:pt>
                <c:pt idx="2">
                  <c:v>Other income support</c:v>
                </c:pt>
                <c:pt idx="3">
                  <c:v>Parenting Payment</c:v>
                </c:pt>
              </c:strCache>
            </c:strRef>
          </c:cat>
          <c:val>
            <c:numRef>
              <c:f>'Figure 7-4'!$D$2:$D$5</c:f>
              <c:numCache>
                <c:formatCode>General</c:formatCode>
                <c:ptCount val="4"/>
                <c:pt idx="0">
                  <c:v>1.6854233499999999E-2</c:v>
                </c:pt>
                <c:pt idx="1">
                  <c:v>7.9453169099999998E-2</c:v>
                </c:pt>
                <c:pt idx="2">
                  <c:v>9.9139322899999993E-2</c:v>
                </c:pt>
                <c:pt idx="3">
                  <c:v>2.7300401449999998</c:v>
                </c:pt>
              </c:numCache>
            </c:numRef>
          </c:val>
          <c:extLst>
            <c:ext xmlns:c16="http://schemas.microsoft.com/office/drawing/2014/chart" uri="{C3380CC4-5D6E-409C-BE32-E72D297353CC}">
              <c16:uniqueId val="{00000002-E423-437A-B66C-B2E9FF0A8B9F}"/>
            </c:ext>
          </c:extLst>
        </c:ser>
        <c:ser>
          <c:idx val="3"/>
          <c:order val="3"/>
          <c:tx>
            <c:strRef>
              <c:f>'Figure 7-4'!$E$1</c:f>
              <c:strCache>
                <c:ptCount val="1"/>
                <c:pt idx="0">
                  <c:v>D. Carer Payment</c:v>
                </c:pt>
              </c:strCache>
            </c:strRef>
          </c:tx>
          <c:spPr>
            <a:solidFill>
              <a:srgbClr val="E18BD7"/>
            </a:solidFill>
            <a:ln>
              <a:noFill/>
            </a:ln>
            <a:effectLst/>
          </c:spPr>
          <c:invertIfNegative val="0"/>
          <c:dLbls>
            <c:delete val="1"/>
          </c:dLbls>
          <c:cat>
            <c:strRef>
              <c:f>'Figure 7-4'!$A$2:$A$5</c:f>
              <c:strCache>
                <c:ptCount val="4"/>
                <c:pt idx="0">
                  <c:v>No income support or
supplementary family payments</c:v>
                </c:pt>
                <c:pt idx="1">
                  <c:v>Supplementary family payments only
 (in FY 2021-22)</c:v>
                </c:pt>
                <c:pt idx="2">
                  <c:v>Other income support</c:v>
                </c:pt>
                <c:pt idx="3">
                  <c:v>Parenting Payment</c:v>
                </c:pt>
              </c:strCache>
            </c:strRef>
          </c:cat>
          <c:val>
            <c:numRef>
              <c:f>'Figure 7-4'!$E$2:$E$5</c:f>
              <c:numCache>
                <c:formatCode>General</c:formatCode>
                <c:ptCount val="4"/>
                <c:pt idx="0">
                  <c:v>1.0242302E-2</c:v>
                </c:pt>
                <c:pt idx="1">
                  <c:v>2.6436030199999998E-2</c:v>
                </c:pt>
                <c:pt idx="2">
                  <c:v>0.92526915259999998</c:v>
                </c:pt>
                <c:pt idx="3">
                  <c:v>0.17176039000000001</c:v>
                </c:pt>
              </c:numCache>
            </c:numRef>
          </c:val>
          <c:extLst>
            <c:ext xmlns:c16="http://schemas.microsoft.com/office/drawing/2014/chart" uri="{C3380CC4-5D6E-409C-BE32-E72D297353CC}">
              <c16:uniqueId val="{00000003-E423-437A-B66C-B2E9FF0A8B9F}"/>
            </c:ext>
          </c:extLst>
        </c:ser>
        <c:ser>
          <c:idx val="4"/>
          <c:order val="4"/>
          <c:tx>
            <c:strRef>
              <c:f>'Figure 7-4'!$F$1</c:f>
              <c:strCache>
                <c:ptCount val="1"/>
                <c:pt idx="0">
                  <c:v>E. DSP</c:v>
                </c:pt>
              </c:strCache>
            </c:strRef>
          </c:tx>
          <c:spPr>
            <a:solidFill>
              <a:srgbClr val="8064A2"/>
            </a:solidFill>
            <a:ln>
              <a:noFill/>
            </a:ln>
            <a:effectLst/>
          </c:spPr>
          <c:invertIfNegative val="0"/>
          <c:dLbls>
            <c:dLbl>
              <c:idx val="0"/>
              <c:layout>
                <c:manualLayout>
                  <c:x val="2.7777777777777728E-2"/>
                  <c:y val="0"/>
                </c:manualLayout>
              </c:layout>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423-437A-B66C-B2E9FF0A8B9F}"/>
                </c:ext>
              </c:extLst>
            </c:dLbl>
            <c:dLbl>
              <c:idx val="1"/>
              <c:layout>
                <c:manualLayout>
                  <c:x val="2.564102564102564E-2"/>
                  <c:y val="0"/>
                </c:manualLayout>
              </c:layout>
              <c:tx>
                <c:rich>
                  <a:bodyPr/>
                  <a:lstStyle/>
                  <a:p>
                    <a:r>
                      <a:rPr lang="en-US"/>
                      <a:t>0.2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423-437A-B66C-B2E9FF0A8B9F}"/>
                </c:ext>
              </c:extLst>
            </c:dLbl>
            <c:dLbl>
              <c:idx val="2"/>
              <c:layout>
                <c:manualLayout>
                  <c:x val="0.11602143482064732"/>
                  <c:y val="-4.4298447750071093E-3"/>
                </c:manualLayout>
              </c:layout>
              <c:tx>
                <c:rich>
                  <a:bodyPr/>
                  <a:lstStyle/>
                  <a:p>
                    <a:r>
                      <a:rPr lang="en-US"/>
                      <a:t>3.9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423-437A-B66C-B2E9FF0A8B9F}"/>
                </c:ext>
              </c:extLst>
            </c:dLbl>
            <c:dLbl>
              <c:idx val="3"/>
              <c:layout>
                <c:manualLayout>
                  <c:x val="2.8205128205128112E-2"/>
                  <c:y val="-4.4296788482834993E-3"/>
                </c:manualLayout>
              </c:layout>
              <c:tx>
                <c:rich>
                  <a:bodyPr/>
                  <a:lstStyle/>
                  <a:p>
                    <a:r>
                      <a:rPr lang="en-US"/>
                      <a:t>3.5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423-437A-B66C-B2E9FF0A8B9F}"/>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7-4'!$A$2:$A$5</c:f>
              <c:strCache>
                <c:ptCount val="4"/>
                <c:pt idx="0">
                  <c:v>No income support or
supplementary family payments</c:v>
                </c:pt>
                <c:pt idx="1">
                  <c:v>Supplementary family payments only
 (in FY 2021-22)</c:v>
                </c:pt>
                <c:pt idx="2">
                  <c:v>Other income support</c:v>
                </c:pt>
                <c:pt idx="3">
                  <c:v>Parenting Payment</c:v>
                </c:pt>
              </c:strCache>
            </c:strRef>
          </c:cat>
          <c:val>
            <c:numRef>
              <c:f>'Figure 7-4'!$F$2:$F$5</c:f>
              <c:numCache>
                <c:formatCode>General</c:formatCode>
                <c:ptCount val="4"/>
                <c:pt idx="0">
                  <c:v>8.0784186999999993E-3</c:v>
                </c:pt>
                <c:pt idx="1">
                  <c:v>8.7569932000000003E-3</c:v>
                </c:pt>
                <c:pt idx="2">
                  <c:v>1.0088988671000001</c:v>
                </c:pt>
                <c:pt idx="3">
                  <c:v>2.6278252200000001E-2</c:v>
                </c:pt>
              </c:numCache>
            </c:numRef>
          </c:val>
          <c:extLst>
            <c:ext xmlns:c16="http://schemas.microsoft.com/office/drawing/2014/chart" uri="{C3380CC4-5D6E-409C-BE32-E72D297353CC}">
              <c16:uniqueId val="{00000008-E423-437A-B66C-B2E9FF0A8B9F}"/>
            </c:ext>
          </c:extLst>
        </c:ser>
        <c:ser>
          <c:idx val="5"/>
          <c:order val="5"/>
          <c:tx>
            <c:strRef>
              <c:f>'Figure 7-4'!$G$1</c:f>
              <c:strCache>
                <c:ptCount val="1"/>
                <c:pt idx="0">
                  <c:v>F. Age Pension</c:v>
                </c:pt>
              </c:strCache>
            </c:strRef>
          </c:tx>
          <c:spPr>
            <a:solidFill>
              <a:srgbClr val="C0504D"/>
            </a:solidFill>
            <a:ln>
              <a:noFill/>
            </a:ln>
            <a:effectLst/>
          </c:spPr>
          <c:invertIfNegative val="0"/>
          <c:dLbls>
            <c:delete val="1"/>
          </c:dLbls>
          <c:cat>
            <c:strRef>
              <c:f>'Figure 7-4'!$A$2:$A$5</c:f>
              <c:strCache>
                <c:ptCount val="4"/>
                <c:pt idx="0">
                  <c:v>No income support or
supplementary family payments</c:v>
                </c:pt>
                <c:pt idx="1">
                  <c:v>Supplementary family payments only
 (in FY 2021-22)</c:v>
                </c:pt>
                <c:pt idx="2">
                  <c:v>Other income support</c:v>
                </c:pt>
                <c:pt idx="3">
                  <c:v>Parenting Payment</c:v>
                </c:pt>
              </c:strCache>
            </c:strRef>
          </c:cat>
          <c:val>
            <c:numRef>
              <c:f>'Figure 7-4'!$G$2:$G$5</c:f>
              <c:numCache>
                <c:formatCode>General</c:formatCode>
                <c:ptCount val="4"/>
                <c:pt idx="0">
                  <c:v>9.2445784999999996E-3</c:v>
                </c:pt>
                <c:pt idx="1">
                  <c:v>4.1142054000000003E-3</c:v>
                </c:pt>
                <c:pt idx="2">
                  <c:v>0.32737707290000001</c:v>
                </c:pt>
                <c:pt idx="3">
                  <c:v>4.3907110000000003E-3</c:v>
                </c:pt>
              </c:numCache>
            </c:numRef>
          </c:val>
          <c:extLst>
            <c:ext xmlns:c16="http://schemas.microsoft.com/office/drawing/2014/chart" uri="{C3380CC4-5D6E-409C-BE32-E72D297353CC}">
              <c16:uniqueId val="{00000009-E423-437A-B66C-B2E9FF0A8B9F}"/>
            </c:ext>
          </c:extLst>
        </c:ser>
        <c:dLbls>
          <c:dLblPos val="ctr"/>
          <c:showLegendKey val="0"/>
          <c:showVal val="1"/>
          <c:showCatName val="0"/>
          <c:showSerName val="0"/>
          <c:showPercent val="0"/>
          <c:showBubbleSize val="0"/>
        </c:dLbls>
        <c:gapWidth val="150"/>
        <c:overlap val="100"/>
        <c:axId val="565754128"/>
        <c:axId val="565753144"/>
      </c:barChart>
      <c:catAx>
        <c:axId val="56575412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Payments received</a:t>
                </a:r>
              </a:p>
              <a:p>
                <a:pPr>
                  <a:defRPr b="1"/>
                </a:pPr>
                <a:r>
                  <a:rPr lang="en-AU" b="1"/>
                  <a:t> at 30</a:t>
                </a:r>
                <a:r>
                  <a:rPr lang="en-AU" sz="900" b="1" i="0" u="none" strike="noStrike" kern="1200" baseline="0">
                    <a:solidFill>
                      <a:sysClr val="windowText" lastClr="000000"/>
                    </a:solidFill>
                    <a:latin typeface="Arial" panose="020B0604020202020204" pitchFamily="34" charset="0"/>
                    <a:ea typeface="+mn-ea"/>
                    <a:cs typeface="+mn-cs"/>
                  </a:rPr>
                  <a:t> June </a:t>
                </a:r>
                <a:r>
                  <a:rPr lang="en-AU" b="1"/>
                  <a:t>2022</a:t>
                </a:r>
              </a:p>
            </c:rich>
          </c:tx>
          <c:layout>
            <c:manualLayout>
              <c:xMode val="edge"/>
              <c:yMode val="edge"/>
              <c:x val="4.796864745868254E-3"/>
              <c:y val="0.1370647473548994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65753144"/>
        <c:crosses val="autoZero"/>
        <c:auto val="1"/>
        <c:lblAlgn val="ctr"/>
        <c:lblOffset val="100"/>
        <c:noMultiLvlLbl val="0"/>
      </c:catAx>
      <c:valAx>
        <c:axId val="565753144"/>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Years</a:t>
                </a:r>
              </a:p>
            </c:rich>
          </c:tx>
          <c:layout>
            <c:manualLayout>
              <c:xMode val="edge"/>
              <c:yMode val="edge"/>
              <c:x val="0.70945379585893675"/>
              <c:y val="0.7431831419578156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65754128"/>
        <c:crosses val="autoZero"/>
        <c:crossBetween val="between"/>
        <c:majorUnit val="1"/>
      </c:valAx>
      <c:spPr>
        <a:noFill/>
        <a:ln>
          <a:noFill/>
        </a:ln>
        <a:effectLst/>
      </c:spPr>
    </c:plotArea>
    <c:legend>
      <c:legendPos val="b"/>
      <c:layout>
        <c:manualLayout>
          <c:xMode val="edge"/>
          <c:yMode val="edge"/>
          <c:x val="1.3352145475421333E-3"/>
          <c:y val="0.84857257724478086"/>
          <c:w val="0.99438969143997402"/>
          <c:h val="0.151427422755219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chemeClr val="tx1"/>
          </a:solidFill>
          <a:latin typeface="Arial" panose="020B0604020202020204" pitchFamily="34" charset="0"/>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7868726279860315"/>
          <c:y val="6.4724919093851136E-3"/>
          <c:w val="0.5963163541790848"/>
          <c:h val="0.71319655760161438"/>
        </c:manualLayout>
      </c:layout>
      <c:barChart>
        <c:barDir val="bar"/>
        <c:grouping val="clustered"/>
        <c:varyColors val="0"/>
        <c:ser>
          <c:idx val="1"/>
          <c:order val="0"/>
          <c:tx>
            <c:strRef>
              <c:f>'Figure 7-6'!$K$19</c:f>
              <c:strCache>
                <c:ptCount val="1"/>
                <c:pt idx="0">
                  <c:v>Non-First Nations</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7-6'!$I$20:$I$21</c:f>
              <c:strCache>
                <c:ptCount val="2"/>
                <c:pt idx="0">
                  <c:v>At age 22 or after</c:v>
                </c:pt>
                <c:pt idx="1">
                  <c:v>Before age 22</c:v>
                </c:pt>
              </c:strCache>
            </c:strRef>
          </c:cat>
          <c:val>
            <c:numRef>
              <c:f>'Figure 7-6'!$K$20:$K$21</c:f>
              <c:numCache>
                <c:formatCode>0.0</c:formatCode>
                <c:ptCount val="2"/>
                <c:pt idx="0">
                  <c:v>0.52015604650000002</c:v>
                </c:pt>
                <c:pt idx="1">
                  <c:v>1.3449048282</c:v>
                </c:pt>
              </c:numCache>
            </c:numRef>
          </c:val>
          <c:extLst>
            <c:ext xmlns:c16="http://schemas.microsoft.com/office/drawing/2014/chart" uri="{C3380CC4-5D6E-409C-BE32-E72D297353CC}">
              <c16:uniqueId val="{00000000-C529-4454-842B-A6217C613177}"/>
            </c:ext>
          </c:extLst>
        </c:ser>
        <c:ser>
          <c:idx val="0"/>
          <c:order val="1"/>
          <c:tx>
            <c:strRef>
              <c:f>'Figure 7-6'!$J$19</c:f>
              <c:strCache>
                <c:ptCount val="1"/>
                <c:pt idx="0">
                  <c:v>First Nations</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7-6'!$I$20:$I$21</c:f>
              <c:strCache>
                <c:ptCount val="2"/>
                <c:pt idx="0">
                  <c:v>At age 22 or after</c:v>
                </c:pt>
                <c:pt idx="1">
                  <c:v>Before age 22</c:v>
                </c:pt>
              </c:strCache>
            </c:strRef>
          </c:cat>
          <c:val>
            <c:numRef>
              <c:f>'Figure 7-6'!$J$20:$J$21</c:f>
              <c:numCache>
                <c:formatCode>0.0</c:formatCode>
                <c:ptCount val="2"/>
                <c:pt idx="0">
                  <c:v>2.3282118273000001</c:v>
                </c:pt>
                <c:pt idx="1">
                  <c:v>3.1868565912000002</c:v>
                </c:pt>
              </c:numCache>
            </c:numRef>
          </c:val>
          <c:extLst>
            <c:ext xmlns:c16="http://schemas.microsoft.com/office/drawing/2014/chart" uri="{C3380CC4-5D6E-409C-BE32-E72D297353CC}">
              <c16:uniqueId val="{00000001-C529-4454-842B-A6217C613177}"/>
            </c:ext>
          </c:extLst>
        </c:ser>
        <c:dLbls>
          <c:dLblPos val="outEnd"/>
          <c:showLegendKey val="0"/>
          <c:showVal val="1"/>
          <c:showCatName val="0"/>
          <c:showSerName val="0"/>
          <c:showPercent val="0"/>
          <c:showBubbleSize val="0"/>
        </c:dLbls>
        <c:gapWidth val="219"/>
        <c:axId val="781247912"/>
        <c:axId val="781250536"/>
      </c:barChart>
      <c:catAx>
        <c:axId val="78124791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Age at which parent or guardian had their first child</a:t>
                </a:r>
              </a:p>
            </c:rich>
          </c:tx>
          <c:layout>
            <c:manualLayout>
              <c:xMode val="edge"/>
              <c:yMode val="edge"/>
              <c:x val="3.8033243786611041E-3"/>
              <c:y val="5.9149488336429856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781250536"/>
        <c:crosses val="autoZero"/>
        <c:auto val="1"/>
        <c:lblAlgn val="ctr"/>
        <c:lblOffset val="100"/>
        <c:noMultiLvlLbl val="0"/>
      </c:catAx>
      <c:valAx>
        <c:axId val="781250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Years</a:t>
                </a:r>
              </a:p>
            </c:rich>
          </c:tx>
          <c:layout>
            <c:manualLayout>
              <c:xMode val="edge"/>
              <c:yMode val="edge"/>
              <c:x val="0.63338198409455759"/>
              <c:y val="0.8114680386067278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781247912"/>
        <c:crosses val="autoZero"/>
        <c:crossBetween val="between"/>
        <c:majorUnit val="1"/>
      </c:valAx>
      <c:spPr>
        <a:noFill/>
        <a:ln>
          <a:noFill/>
        </a:ln>
        <a:effectLst/>
      </c:spPr>
    </c:plotArea>
    <c:legend>
      <c:legendPos val="b"/>
      <c:layout>
        <c:manualLayout>
          <c:xMode val="edge"/>
          <c:yMode val="edge"/>
          <c:x val="0.1912155475641247"/>
          <c:y val="0.91313508141579391"/>
          <c:w val="0.56139451830816234"/>
          <c:h val="8.317986363740451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38358019447187"/>
          <c:y val="6.7681895093062603E-3"/>
          <c:w val="0.4473445596604555"/>
          <c:h val="0.90190939176081253"/>
        </c:manualLayout>
      </c:layout>
      <c:barChart>
        <c:barDir val="bar"/>
        <c:grouping val="clustered"/>
        <c:varyColors val="0"/>
        <c:ser>
          <c:idx val="0"/>
          <c:order val="0"/>
          <c:spPr>
            <a:solidFill>
              <a:srgbClr val="C00000"/>
            </a:solidFill>
            <a:ln>
              <a:noFill/>
            </a:ln>
            <a:effectLst/>
          </c:spPr>
          <c:invertIfNegative val="0"/>
          <c:dPt>
            <c:idx val="0"/>
            <c:invertIfNegative val="0"/>
            <c:bubble3D val="0"/>
            <c:spPr>
              <a:solidFill>
                <a:srgbClr val="7F7F7F"/>
              </a:solidFill>
              <a:ln>
                <a:noFill/>
              </a:ln>
              <a:effectLst/>
            </c:spPr>
            <c:extLst>
              <c:ext xmlns:c16="http://schemas.microsoft.com/office/drawing/2014/chart" uri="{C3380CC4-5D6E-409C-BE32-E72D297353CC}">
                <c16:uniqueId val="{00000001-668A-4F49-AE40-9732E9721DF4}"/>
              </c:ext>
            </c:extLst>
          </c:dPt>
          <c:dLbls>
            <c:dLbl>
              <c:idx val="0"/>
              <c:layout>
                <c:manualLayout>
                  <c:x val="9.0485786145760149E-3"/>
                  <c:y val="-7.4508729887024991E-3"/>
                </c:manualLayout>
              </c:layout>
              <c:tx>
                <c:rich>
                  <a:bodyPr/>
                  <a:lstStyle/>
                  <a:p>
                    <a:fld id="{F7CA5AA5-6D2D-4D44-A7C4-274C69FB3BEF}" type="VALUE">
                      <a:rPr lang="en-US" sz="900">
                        <a:solidFill>
                          <a:schemeClr val="tx1"/>
                        </a:solidFill>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68A-4F49-AE40-9732E9721DF4}"/>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7-6'!$A$2:$A$5</c:f>
              <c:strCache>
                <c:ptCount val="4"/>
                <c:pt idx="0">
                  <c:v>No income support or
supplementary family payments</c:v>
                </c:pt>
                <c:pt idx="1">
                  <c:v>Supplementary family payments only
 (in FY 2021-22)</c:v>
                </c:pt>
                <c:pt idx="2">
                  <c:v>Other income support</c:v>
                </c:pt>
                <c:pt idx="3">
                  <c:v>Parenting Payment</c:v>
                </c:pt>
              </c:strCache>
            </c:strRef>
          </c:cat>
          <c:val>
            <c:numRef>
              <c:f>'Figure 7-6'!$B$2:$B$5</c:f>
              <c:numCache>
                <c:formatCode>"$"#,##0_);[Red]\("$"#,##0\)</c:formatCode>
                <c:ptCount val="4"/>
                <c:pt idx="0">
                  <c:v>165000</c:v>
                </c:pt>
                <c:pt idx="1">
                  <c:v>261000</c:v>
                </c:pt>
                <c:pt idx="2">
                  <c:v>541000</c:v>
                </c:pt>
                <c:pt idx="3">
                  <c:v>652000</c:v>
                </c:pt>
              </c:numCache>
            </c:numRef>
          </c:val>
          <c:extLst>
            <c:ext xmlns:c16="http://schemas.microsoft.com/office/drawing/2014/chart" uri="{C3380CC4-5D6E-409C-BE32-E72D297353CC}">
              <c16:uniqueId val="{00000000-668A-4F49-AE40-9732E9721DF4}"/>
            </c:ext>
          </c:extLst>
        </c:ser>
        <c:dLbls>
          <c:dLblPos val="outEnd"/>
          <c:showLegendKey val="0"/>
          <c:showVal val="1"/>
          <c:showCatName val="0"/>
          <c:showSerName val="0"/>
          <c:showPercent val="0"/>
          <c:showBubbleSize val="0"/>
        </c:dLbls>
        <c:gapWidth val="90"/>
        <c:axId val="610082464"/>
        <c:axId val="610082792"/>
      </c:barChart>
      <c:catAx>
        <c:axId val="61008246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Payments received at</a:t>
                </a:r>
              </a:p>
              <a:p>
                <a:pPr>
                  <a:defRPr b="1"/>
                </a:pPr>
                <a:r>
                  <a:rPr lang="en-AU" b="1"/>
                  <a:t>30</a:t>
                </a:r>
                <a:r>
                  <a:rPr lang="en-AU" sz="900" b="1" i="0" u="none" strike="noStrike" kern="1200" baseline="0">
                    <a:solidFill>
                      <a:sysClr val="windowText" lastClr="000000"/>
                    </a:solidFill>
                    <a:latin typeface="Arial" panose="020B0604020202020204" pitchFamily="34" charset="0"/>
                    <a:ea typeface="+mn-ea"/>
                    <a:cs typeface="+mn-cs"/>
                  </a:rPr>
                  <a:t> June </a:t>
                </a:r>
                <a:r>
                  <a:rPr lang="en-AU" b="1"/>
                  <a:t>2022</a:t>
                </a:r>
              </a:p>
            </c:rich>
          </c:tx>
          <c:layout>
            <c:manualLayout>
              <c:xMode val="edge"/>
              <c:yMode val="edge"/>
              <c:x val="5.2299761221600936E-3"/>
              <c:y val="0.1995632305244176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610082792"/>
        <c:crosses val="autoZero"/>
        <c:auto val="1"/>
        <c:lblAlgn val="ctr"/>
        <c:lblOffset val="100"/>
        <c:noMultiLvlLbl val="0"/>
      </c:catAx>
      <c:valAx>
        <c:axId val="610082792"/>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Lifetime Cost ($)</a:t>
                </a:r>
              </a:p>
            </c:rich>
          </c:tx>
          <c:layout>
            <c:manualLayout>
              <c:xMode val="edge"/>
              <c:yMode val="edge"/>
              <c:x val="0.65871772643148407"/>
              <c:y val="0.9183590094716422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quot;$&quot;#,##0_);[Red]\(&quot;$&quot;#,##0\)" sourceLinked="1"/>
        <c:majorTickMark val="none"/>
        <c:minorTickMark val="none"/>
        <c:tickLblPos val="nextTo"/>
        <c:crossAx val="610082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87946728992655E-3"/>
          <c:y val="7.7294685990338161E-2"/>
          <c:w val="0.96103895819313678"/>
          <c:h val="0.86473429951690817"/>
        </c:manualLayout>
      </c:layout>
      <c:barChart>
        <c:barDir val="bar"/>
        <c:grouping val="stacked"/>
        <c:varyColors val="0"/>
        <c:ser>
          <c:idx val="0"/>
          <c:order val="0"/>
          <c:spPr>
            <a:solidFill>
              <a:srgbClr val="74000E"/>
            </a:solidFill>
            <a:ln>
              <a:solidFill>
                <a:sysClr val="windowText" lastClr="000000"/>
              </a:solidFill>
            </a:ln>
            <a:effectLst/>
          </c:spPr>
          <c:invertIfNegative val="0"/>
          <c:dLbls>
            <c:dLbl>
              <c:idx val="0"/>
              <c:tx>
                <c:rich>
                  <a:bodyPr/>
                  <a:lstStyle/>
                  <a:p>
                    <a:r>
                      <a:rPr lang="en-US">
                        <a:solidFill>
                          <a:schemeClr val="bg1"/>
                        </a:solidFill>
                      </a:rPr>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EEE-423A-A080-0AF3551EE0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Sheet1!$P$10</c:f>
              <c:numCache>
                <c:formatCode>0%</c:formatCode>
                <c:ptCount val="1"/>
                <c:pt idx="0">
                  <c:v>3.7499999999999999E-2</c:v>
                </c:pt>
              </c:numCache>
            </c:numRef>
          </c:val>
          <c:extLst>
            <c:ext xmlns:c16="http://schemas.microsoft.com/office/drawing/2014/chart" uri="{C3380CC4-5D6E-409C-BE32-E72D297353CC}">
              <c16:uniqueId val="{00000001-6EEE-423A-A080-0AF3551EE04E}"/>
            </c:ext>
          </c:extLst>
        </c:ser>
        <c:ser>
          <c:idx val="1"/>
          <c:order val="1"/>
          <c:spPr>
            <a:solidFill>
              <a:schemeClr val="accent2"/>
            </a:solidFill>
            <a:ln>
              <a:solidFill>
                <a:schemeClr val="tx1"/>
              </a:solidFill>
            </a:ln>
            <a:effectLst/>
          </c:spPr>
          <c:invertIfNegative val="0"/>
          <c:dPt>
            <c:idx val="0"/>
            <c:invertIfNegative val="0"/>
            <c:bubble3D val="0"/>
            <c:spPr>
              <a:solidFill>
                <a:srgbClr val="D9D9D9"/>
              </a:solidFill>
              <a:ln>
                <a:solidFill>
                  <a:schemeClr val="tx1"/>
                </a:solidFill>
              </a:ln>
              <a:effectLst/>
            </c:spPr>
            <c:extLst>
              <c:ext xmlns:c16="http://schemas.microsoft.com/office/drawing/2014/chart" uri="{C3380CC4-5D6E-409C-BE32-E72D297353CC}">
                <c16:uniqueId val="{00000003-6EEE-423A-A080-0AF3551EE04E}"/>
              </c:ext>
            </c:extLst>
          </c:dPt>
          <c:val>
            <c:numRef>
              <c:f>Sheet1!$Q$10</c:f>
              <c:numCache>
                <c:formatCode>0%</c:formatCode>
                <c:ptCount val="1"/>
                <c:pt idx="0">
                  <c:v>0.96250000000000002</c:v>
                </c:pt>
              </c:numCache>
            </c:numRef>
          </c:val>
          <c:extLst>
            <c:ext xmlns:c16="http://schemas.microsoft.com/office/drawing/2014/chart" uri="{C3380CC4-5D6E-409C-BE32-E72D297353CC}">
              <c16:uniqueId val="{00000004-6EEE-423A-A080-0AF3551EE04E}"/>
            </c:ext>
          </c:extLst>
        </c:ser>
        <c:dLbls>
          <c:showLegendKey val="0"/>
          <c:showVal val="0"/>
          <c:showCatName val="0"/>
          <c:showSerName val="0"/>
          <c:showPercent val="0"/>
          <c:showBubbleSize val="0"/>
        </c:dLbls>
        <c:gapWidth val="0"/>
        <c:overlap val="100"/>
        <c:axId val="701237368"/>
        <c:axId val="701239992"/>
      </c:barChart>
      <c:catAx>
        <c:axId val="701237368"/>
        <c:scaling>
          <c:orientation val="minMax"/>
        </c:scaling>
        <c:delete val="1"/>
        <c:axPos val="l"/>
        <c:numFmt formatCode="0%" sourceLinked="1"/>
        <c:majorTickMark val="none"/>
        <c:minorTickMark val="none"/>
        <c:tickLblPos val="nextTo"/>
        <c:crossAx val="701239992"/>
        <c:crosses val="autoZero"/>
        <c:auto val="1"/>
        <c:lblAlgn val="ctr"/>
        <c:lblOffset val="100"/>
        <c:noMultiLvlLbl val="0"/>
      </c:catAx>
      <c:valAx>
        <c:axId val="701239992"/>
        <c:scaling>
          <c:orientation val="minMax"/>
          <c:max val="1"/>
        </c:scaling>
        <c:delete val="1"/>
        <c:axPos val="b"/>
        <c:numFmt formatCode="0%" sourceLinked="1"/>
        <c:majorTickMark val="none"/>
        <c:minorTickMark val="none"/>
        <c:tickLblPos val="nextTo"/>
        <c:crossAx val="701237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756778787913098E-3"/>
          <c:y val="0.10375816993464053"/>
          <c:w val="0.99424864424241743"/>
          <c:h val="0.79248366013071891"/>
        </c:manualLayout>
      </c:layout>
      <c:barChart>
        <c:barDir val="bar"/>
        <c:grouping val="stacked"/>
        <c:varyColors val="0"/>
        <c:ser>
          <c:idx val="0"/>
          <c:order val="0"/>
          <c:spPr>
            <a:solidFill>
              <a:srgbClr val="0E4E77"/>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Sheet1!$P$4</c:f>
              <c:numCache>
                <c:formatCode>0%</c:formatCode>
                <c:ptCount val="1"/>
                <c:pt idx="0">
                  <c:v>0.05</c:v>
                </c:pt>
              </c:numCache>
            </c:numRef>
          </c:val>
          <c:extLst>
            <c:ext xmlns:c16="http://schemas.microsoft.com/office/drawing/2014/chart" uri="{C3380CC4-5D6E-409C-BE32-E72D297353CC}">
              <c16:uniqueId val="{00000000-F59D-4BC3-93D6-D7A97EAD520F}"/>
            </c:ext>
          </c:extLst>
        </c:ser>
        <c:ser>
          <c:idx val="1"/>
          <c:order val="1"/>
          <c:spPr>
            <a:solidFill>
              <a:schemeClr val="accent2"/>
            </a:solidFill>
            <a:ln>
              <a:solidFill>
                <a:schemeClr val="tx1"/>
              </a:solidFill>
            </a:ln>
            <a:effectLst/>
          </c:spPr>
          <c:invertIfNegative val="0"/>
          <c:dPt>
            <c:idx val="0"/>
            <c:invertIfNegative val="0"/>
            <c:bubble3D val="0"/>
            <c:spPr>
              <a:solidFill>
                <a:srgbClr val="D9D9D9"/>
              </a:solidFill>
              <a:ln>
                <a:solidFill>
                  <a:schemeClr val="tx1"/>
                </a:solidFill>
              </a:ln>
              <a:effectLst/>
            </c:spPr>
            <c:extLst>
              <c:ext xmlns:c16="http://schemas.microsoft.com/office/drawing/2014/chart" uri="{C3380CC4-5D6E-409C-BE32-E72D297353CC}">
                <c16:uniqueId val="{00000002-F59D-4BC3-93D6-D7A97EAD520F}"/>
              </c:ext>
            </c:extLst>
          </c:dPt>
          <c:dLbls>
            <c:delete val="1"/>
          </c:dLbls>
          <c:val>
            <c:numRef>
              <c:f>Sheet1!$Q$4</c:f>
              <c:numCache>
                <c:formatCode>0%</c:formatCode>
                <c:ptCount val="1"/>
                <c:pt idx="0">
                  <c:v>0.95</c:v>
                </c:pt>
              </c:numCache>
            </c:numRef>
          </c:val>
          <c:extLst>
            <c:ext xmlns:c16="http://schemas.microsoft.com/office/drawing/2014/chart" uri="{C3380CC4-5D6E-409C-BE32-E72D297353CC}">
              <c16:uniqueId val="{00000003-F59D-4BC3-93D6-D7A97EAD520F}"/>
            </c:ext>
          </c:extLst>
        </c:ser>
        <c:dLbls>
          <c:dLblPos val="ctr"/>
          <c:showLegendKey val="0"/>
          <c:showVal val="1"/>
          <c:showCatName val="0"/>
          <c:showSerName val="0"/>
          <c:showPercent val="0"/>
          <c:showBubbleSize val="0"/>
        </c:dLbls>
        <c:gapWidth val="0"/>
        <c:overlap val="100"/>
        <c:axId val="701237368"/>
        <c:axId val="701239992"/>
      </c:barChart>
      <c:catAx>
        <c:axId val="701237368"/>
        <c:scaling>
          <c:orientation val="minMax"/>
        </c:scaling>
        <c:delete val="1"/>
        <c:axPos val="l"/>
        <c:numFmt formatCode="0%" sourceLinked="1"/>
        <c:majorTickMark val="none"/>
        <c:minorTickMark val="none"/>
        <c:tickLblPos val="nextTo"/>
        <c:crossAx val="701239992"/>
        <c:crosses val="autoZero"/>
        <c:auto val="1"/>
        <c:lblAlgn val="ctr"/>
        <c:lblOffset val="100"/>
        <c:noMultiLvlLbl val="0"/>
      </c:catAx>
      <c:valAx>
        <c:axId val="701239992"/>
        <c:scaling>
          <c:orientation val="minMax"/>
          <c:max val="1"/>
        </c:scaling>
        <c:delete val="1"/>
        <c:axPos val="b"/>
        <c:numFmt formatCode="0%" sourceLinked="1"/>
        <c:majorTickMark val="none"/>
        <c:minorTickMark val="none"/>
        <c:tickLblPos val="nextTo"/>
        <c:crossAx val="701237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19626589010636"/>
          <c:y val="0"/>
          <c:w val="0.56078594320939923"/>
          <c:h val="1"/>
        </c:manualLayout>
      </c:layout>
      <c:pieChart>
        <c:varyColors val="1"/>
        <c:ser>
          <c:idx val="0"/>
          <c:order val="0"/>
          <c:tx>
            <c:v>Carer Composition 2022</c:v>
          </c:tx>
          <c:spPr>
            <a:solidFill>
              <a:srgbClr val="E18BD7"/>
            </a:solidFill>
          </c:spPr>
          <c:dPt>
            <c:idx val="0"/>
            <c:bubble3D val="0"/>
            <c:spPr>
              <a:solidFill>
                <a:srgbClr val="C3D69B"/>
              </a:solidFill>
              <a:ln w="19050">
                <a:solidFill>
                  <a:schemeClr val="lt1"/>
                </a:solidFill>
              </a:ln>
              <a:effectLst/>
            </c:spPr>
            <c:extLst>
              <c:ext xmlns:c16="http://schemas.microsoft.com/office/drawing/2014/chart" uri="{C3380CC4-5D6E-409C-BE32-E72D297353CC}">
                <c16:uniqueId val="{00000001-E79D-47E5-9564-1A6E38E7057E}"/>
              </c:ext>
            </c:extLst>
          </c:dPt>
          <c:dPt>
            <c:idx val="1"/>
            <c:bubble3D val="0"/>
            <c:spPr>
              <a:solidFill>
                <a:srgbClr val="E18BD7"/>
              </a:solidFill>
              <a:ln w="19050">
                <a:solidFill>
                  <a:schemeClr val="lt1"/>
                </a:solidFill>
              </a:ln>
              <a:effectLst/>
            </c:spPr>
            <c:extLst>
              <c:ext xmlns:c16="http://schemas.microsoft.com/office/drawing/2014/chart" uri="{C3380CC4-5D6E-409C-BE32-E72D297353CC}">
                <c16:uniqueId val="{00000003-E79D-47E5-9564-1A6E38E7057E}"/>
              </c:ext>
            </c:extLst>
          </c:dPt>
          <c:dPt>
            <c:idx val="2"/>
            <c:bubble3D val="0"/>
            <c:spPr>
              <a:solidFill>
                <a:srgbClr val="E18BD7"/>
              </a:solidFill>
              <a:ln w="19050">
                <a:solidFill>
                  <a:schemeClr val="lt1"/>
                </a:solidFill>
              </a:ln>
              <a:effectLst/>
            </c:spPr>
            <c:extLst>
              <c:ext xmlns:c16="http://schemas.microsoft.com/office/drawing/2014/chart" uri="{C3380CC4-5D6E-409C-BE32-E72D297353CC}">
                <c16:uniqueId val="{00000005-E79D-47E5-9564-1A6E38E7057E}"/>
              </c:ext>
            </c:extLst>
          </c:dPt>
          <c:dPt>
            <c:idx val="3"/>
            <c:bubble3D val="0"/>
            <c:spPr>
              <a:solidFill>
                <a:srgbClr val="E18BD7"/>
              </a:solidFill>
              <a:ln w="19050">
                <a:solidFill>
                  <a:schemeClr val="lt1"/>
                </a:solidFill>
              </a:ln>
              <a:effectLst/>
            </c:spPr>
            <c:extLst>
              <c:ext xmlns:c16="http://schemas.microsoft.com/office/drawing/2014/chart" uri="{C3380CC4-5D6E-409C-BE32-E72D297353CC}">
                <c16:uniqueId val="{00000007-E79D-47E5-9564-1A6E38E7057E}"/>
              </c:ext>
            </c:extLst>
          </c:dPt>
          <c:dLbls>
            <c:dLbl>
              <c:idx val="0"/>
              <c:layout>
                <c:manualLayout>
                  <c:x val="-0.23304725451138394"/>
                  <c:y val="-0.15901614918222559"/>
                </c:manualLayout>
              </c:layout>
              <c:tx>
                <c:rich>
                  <a:bodyPr/>
                  <a:lstStyle/>
                  <a:p>
                    <a:r>
                      <a:rPr lang="en-US"/>
                      <a:t>Supplementary carer payments only
</a:t>
                    </a:r>
                    <a:fld id="{F9361D4A-CF2F-4133-803D-CF8137567F2B}" type="PERCENTAGE">
                      <a:rPr lang="en-US"/>
                      <a:pPr/>
                      <a:t>[PERCENTAGE]</a:t>
                    </a:fld>
                    <a:endParaRPr lang="en-US"/>
                  </a:p>
                </c:rich>
              </c:tx>
              <c:showLegendKey val="0"/>
              <c:showVal val="0"/>
              <c:showCatName val="1"/>
              <c:showSerName val="0"/>
              <c:showPercent val="1"/>
              <c:showBubbleSize val="0"/>
              <c:extLst>
                <c:ext xmlns:c15="http://schemas.microsoft.com/office/drawing/2012/chart" uri="{CE6537A1-D6FC-4f65-9D91-7224C49458BB}">
                  <c15:layout>
                    <c:manualLayout>
                      <c:w val="0.21797707959772353"/>
                      <c:h val="0.35562772356804684"/>
                    </c:manualLayout>
                  </c15:layout>
                  <c15:dlblFieldTable/>
                  <c15:showDataLabelsRange val="0"/>
                </c:ext>
                <c:ext xmlns:c16="http://schemas.microsoft.com/office/drawing/2014/chart" uri="{C3380CC4-5D6E-409C-BE32-E72D297353CC}">
                  <c16:uniqueId val="{00000001-E79D-47E5-9564-1A6E38E7057E}"/>
                </c:ext>
              </c:extLst>
            </c:dLbl>
            <c:dLbl>
              <c:idx val="1"/>
              <c:layout>
                <c:manualLayout>
                  <c:x val="0.20731057743167963"/>
                  <c:y val="0.1834257674312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9D-47E5-9564-1A6E38E7057E}"/>
                </c:ext>
              </c:extLst>
            </c:dLbl>
            <c:dLbl>
              <c:idx val="3"/>
              <c:layout>
                <c:manualLayout>
                  <c:x val="-1.0887139107611549E-2"/>
                  <c:y val="2.40974044911052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79D-47E5-9564-1A6E38E7057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overall_summary!$L$2:$L$3</c:f>
              <c:strCache>
                <c:ptCount val="2"/>
                <c:pt idx="0">
                  <c:v>Carer Allowance Only</c:v>
                </c:pt>
                <c:pt idx="1">
                  <c:v>Carer Payment</c:v>
                </c:pt>
              </c:strCache>
            </c:strRef>
          </c:cat>
          <c:val>
            <c:numRef>
              <c:f>overall_summary!$P$2:$P$3</c:f>
              <c:numCache>
                <c:formatCode>0%</c:formatCode>
                <c:ptCount val="2"/>
                <c:pt idx="0">
                  <c:v>0.53084963328953783</c:v>
                </c:pt>
                <c:pt idx="1">
                  <c:v>0.46915036671046217</c:v>
                </c:pt>
              </c:numCache>
            </c:numRef>
          </c:val>
          <c:extLst>
            <c:ext xmlns:c16="http://schemas.microsoft.com/office/drawing/2014/chart" uri="{C3380CC4-5D6E-409C-BE32-E72D297353CC}">
              <c16:uniqueId val="{00000008-E79D-47E5-9564-1A6E38E7057E}"/>
            </c:ext>
          </c:extLst>
        </c:ser>
        <c:dLbls>
          <c:showLegendKey val="0"/>
          <c:showVal val="0"/>
          <c:showCatName val="0"/>
          <c:showSerName val="0"/>
          <c:showPercent val="1"/>
          <c:showBubbleSize val="0"/>
          <c:showLeaderLines val="1"/>
        </c:dLbls>
        <c:firstSliceAng val="25"/>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3844766078298"/>
          <c:y val="5.5960323141425503E-2"/>
          <c:w val="0.83613201343180221"/>
          <c:h val="0.62879098649254206"/>
        </c:manualLayout>
      </c:layout>
      <c:lineChart>
        <c:grouping val="standard"/>
        <c:varyColors val="0"/>
        <c:ser>
          <c:idx val="1"/>
          <c:order val="0"/>
          <c:tx>
            <c:strRef>
              <c:f>seifa_summ!$J$1</c:f>
              <c:strCache>
                <c:ptCount val="1"/>
                <c:pt idx="0">
                  <c:v>Carer Payment</c:v>
                </c:pt>
              </c:strCache>
            </c:strRef>
          </c:tx>
          <c:spPr>
            <a:ln w="28575" cap="rnd">
              <a:solidFill>
                <a:srgbClr val="E18BD7"/>
              </a:solidFill>
              <a:round/>
            </a:ln>
            <a:effectLst/>
          </c:spPr>
          <c:marker>
            <c:symbol val="circle"/>
            <c:size val="5"/>
            <c:spPr>
              <a:solidFill>
                <a:srgbClr val="E18BD7"/>
              </a:solidFill>
              <a:ln w="9525">
                <a:solidFill>
                  <a:srgbClr val="E18BD7"/>
                </a:solidFill>
              </a:ln>
              <a:effectLst/>
            </c:spPr>
          </c:marker>
          <c:dLbls>
            <c:dLbl>
              <c:idx val="1"/>
              <c:layout>
                <c:manualLayout>
                  <c:x val="-8.1973491694638089E-3"/>
                  <c:y val="-5.8531672816728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41-4485-B9D2-498A2EE43ADD}"/>
                </c:ext>
              </c:extLst>
            </c:dLbl>
            <c:dLbl>
              <c:idx val="2"/>
              <c:layout>
                <c:manualLayout>
                  <c:x val="-4.9180327868852458E-2"/>
                  <c:y val="4.5528455284552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41-4485-B9D2-498A2EE43ADD}"/>
                </c:ext>
              </c:extLst>
            </c:dLbl>
            <c:dLbl>
              <c:idx val="3"/>
              <c:layout>
                <c:manualLayout>
                  <c:x val="-6.8314829159135892E-2"/>
                  <c:y val="5.2070520705207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41-4485-B9D2-498A2EE43ADD}"/>
                </c:ext>
              </c:extLst>
            </c:dLbl>
            <c:dLbl>
              <c:idx val="4"/>
              <c:layout>
                <c:manualLayout>
                  <c:x val="-6.5582235992770466E-2"/>
                  <c:y val="2.6035260352603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41-4485-B9D2-498A2EE43A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seifa_summ!$H$2:$H$6</c:f>
              <c:strCache>
                <c:ptCount val="5"/>
                <c:pt idx="0">
                  <c:v>Lowest 20%</c:v>
                </c:pt>
                <c:pt idx="1">
                  <c:v>20% to 40%</c:v>
                </c:pt>
                <c:pt idx="2">
                  <c:v>40% to 60%</c:v>
                </c:pt>
                <c:pt idx="3">
                  <c:v>60% to 80%</c:v>
                </c:pt>
                <c:pt idx="4">
                  <c:v>Highest 20%</c:v>
                </c:pt>
              </c:strCache>
            </c:strRef>
          </c:cat>
          <c:val>
            <c:numRef>
              <c:f>seifa_summ!$J$2:$J$6</c:f>
              <c:numCache>
                <c:formatCode>0%</c:formatCode>
                <c:ptCount val="5"/>
                <c:pt idx="0">
                  <c:v>0.39673550199138985</c:v>
                </c:pt>
                <c:pt idx="1">
                  <c:v>0.24900430508552615</c:v>
                </c:pt>
                <c:pt idx="2">
                  <c:v>0.17806083687705346</c:v>
                </c:pt>
                <c:pt idx="3">
                  <c:v>0.11985502813598677</c:v>
                </c:pt>
                <c:pt idx="4">
                  <c:v>5.6344327910043776E-2</c:v>
                </c:pt>
              </c:numCache>
            </c:numRef>
          </c:val>
          <c:smooth val="0"/>
          <c:extLst>
            <c:ext xmlns:c16="http://schemas.microsoft.com/office/drawing/2014/chart" uri="{C3380CC4-5D6E-409C-BE32-E72D297353CC}">
              <c16:uniqueId val="{00000004-7641-4485-B9D2-498A2EE43ADD}"/>
            </c:ext>
          </c:extLst>
        </c:ser>
        <c:ser>
          <c:idx val="0"/>
          <c:order val="1"/>
          <c:tx>
            <c:strRef>
              <c:f>seifa_summ!$I$1</c:f>
              <c:strCache>
                <c:ptCount val="1"/>
                <c:pt idx="0">
                  <c:v>Supplementary carer payments only</c:v>
                </c:pt>
              </c:strCache>
            </c:strRef>
          </c:tx>
          <c:spPr>
            <a:ln w="28575" cap="rnd">
              <a:solidFill>
                <a:schemeClr val="accent3">
                  <a:lumMod val="60000"/>
                  <a:lumOff val="40000"/>
                </a:schemeClr>
              </a:solidFill>
              <a:prstDash val="solid"/>
              <a:round/>
            </a:ln>
            <a:effectLst/>
          </c:spPr>
          <c:marker>
            <c:symbol val="triangle"/>
            <c:size val="5"/>
            <c:spPr>
              <a:solidFill>
                <a:schemeClr val="accent3">
                  <a:lumMod val="60000"/>
                  <a:lumOff val="40000"/>
                </a:schemeClr>
              </a:solidFill>
              <a:ln w="9525">
                <a:solidFill>
                  <a:schemeClr val="accent3">
                    <a:lumMod val="60000"/>
                    <a:lumOff val="40000"/>
                  </a:schemeClr>
                </a:solidFill>
                <a:prstDash val="solid"/>
              </a:ln>
              <a:effectLst/>
            </c:spPr>
          </c:marker>
          <c:dLbls>
            <c:dLbl>
              <c:idx val="0"/>
              <c:layout>
                <c:manualLayout>
                  <c:x val="-4.7278264745208735E-2"/>
                  <c:y val="6.120748542795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41-4485-B9D2-498A2EE43ADD}"/>
                </c:ext>
              </c:extLst>
            </c:dLbl>
            <c:dLbl>
              <c:idx val="1"/>
              <c:layout>
                <c:manualLayout>
                  <c:x val="-4.0983509136829598E-2"/>
                  <c:y val="5.465098680846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41-4485-B9D2-498A2EE43ADD}"/>
                </c:ext>
              </c:extLst>
            </c:dLbl>
            <c:dLbl>
              <c:idx val="2"/>
              <c:layout>
                <c:manualLayout>
                  <c:x val="-2.7322404371584699E-2"/>
                  <c:y val="-5.8536585365853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41-4485-B9D2-498A2EE43ADD}"/>
                </c:ext>
              </c:extLst>
            </c:dLbl>
            <c:dLbl>
              <c:idx val="3"/>
              <c:layout>
                <c:manualLayout>
                  <c:x val="-1.912816322487991E-2"/>
                  <c:y val="-5.0817875038347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41-4485-B9D2-498A2EE43ADD}"/>
                </c:ext>
              </c:extLst>
            </c:dLbl>
            <c:dLbl>
              <c:idx val="4"/>
              <c:layout>
                <c:manualLayout>
                  <c:x val="-2.4593338497289025E-2"/>
                  <c:y val="-5.8579335793357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41-4485-B9D2-498A2EE43A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seifa_summ!$H$2:$H$6</c:f>
              <c:strCache>
                <c:ptCount val="5"/>
                <c:pt idx="0">
                  <c:v>Lowest 20%</c:v>
                </c:pt>
                <c:pt idx="1">
                  <c:v>20% to 40%</c:v>
                </c:pt>
                <c:pt idx="2">
                  <c:v>40% to 60%</c:v>
                </c:pt>
                <c:pt idx="3">
                  <c:v>60% to 80%</c:v>
                </c:pt>
                <c:pt idx="4">
                  <c:v>Highest 20%</c:v>
                </c:pt>
              </c:strCache>
            </c:strRef>
          </c:cat>
          <c:val>
            <c:numRef>
              <c:f>seifa_summ!$I$2:$I$6</c:f>
              <c:numCache>
                <c:formatCode>0%</c:formatCode>
                <c:ptCount val="5"/>
                <c:pt idx="0">
                  <c:v>0.25676060512719179</c:v>
                </c:pt>
                <c:pt idx="1">
                  <c:v>0.23200513765306893</c:v>
                </c:pt>
                <c:pt idx="2">
                  <c:v>0.21190203588220594</c:v>
                </c:pt>
                <c:pt idx="3">
                  <c:v>0.18293299547258854</c:v>
                </c:pt>
                <c:pt idx="4">
                  <c:v>0.11639922586494482</c:v>
                </c:pt>
              </c:numCache>
            </c:numRef>
          </c:val>
          <c:smooth val="0"/>
          <c:extLst>
            <c:ext xmlns:c16="http://schemas.microsoft.com/office/drawing/2014/chart" uri="{C3380CC4-5D6E-409C-BE32-E72D297353CC}">
              <c16:uniqueId val="{0000000A-7641-4485-B9D2-498A2EE43ADD}"/>
            </c:ext>
          </c:extLst>
        </c:ser>
        <c:dLbls>
          <c:showLegendKey val="0"/>
          <c:showVal val="0"/>
          <c:showCatName val="0"/>
          <c:showSerName val="0"/>
          <c:showPercent val="0"/>
          <c:showBubbleSize val="0"/>
        </c:dLbls>
        <c:marker val="1"/>
        <c:smooth val="0"/>
        <c:axId val="491056928"/>
        <c:axId val="491057256"/>
      </c:lineChart>
      <c:catAx>
        <c:axId val="4910569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AU" b="1">
                    <a:latin typeface="Arial" panose="020B0604020202020204" pitchFamily="34" charset="0"/>
                    <a:cs typeface="Arial" panose="020B0604020202020204" pitchFamily="34" charset="0"/>
                  </a:rPr>
                  <a:t>Socioeconomic</a:t>
                </a:r>
                <a:r>
                  <a:rPr lang="en-AU" b="1" baseline="0">
                    <a:latin typeface="Arial" panose="020B0604020202020204" pitchFamily="34" charset="0"/>
                    <a:cs typeface="Arial" panose="020B0604020202020204" pitchFamily="34" charset="0"/>
                  </a:rPr>
                  <a:t> area grouping</a:t>
                </a:r>
                <a:endParaRPr lang="en-AU" b="1">
                  <a:latin typeface="Arial" panose="020B0604020202020204" pitchFamily="34" charset="0"/>
                  <a:cs typeface="Arial" panose="020B0604020202020204" pitchFamily="34" charset="0"/>
                </a:endParaRPr>
              </a:p>
            </c:rich>
          </c:tx>
          <c:layout>
            <c:manualLayout>
              <c:xMode val="edge"/>
              <c:yMode val="edge"/>
              <c:x val="0.34406452731144455"/>
              <c:y val="0.8070841599345536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91057256"/>
        <c:crosses val="autoZero"/>
        <c:auto val="1"/>
        <c:lblAlgn val="ctr"/>
        <c:lblOffset val="100"/>
        <c:noMultiLvlLbl val="0"/>
      </c:catAx>
      <c:valAx>
        <c:axId val="491057256"/>
        <c:scaling>
          <c:orientation val="minMax"/>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b="1">
                    <a:latin typeface="Arial" panose="020B0604020202020204" pitchFamily="34" charset="0"/>
                    <a:cs typeface="Arial" panose="020B0604020202020204" pitchFamily="34" charset="0"/>
                  </a:rPr>
                  <a:t>Percentage of people</a:t>
                </a:r>
              </a:p>
            </c:rich>
          </c:tx>
          <c:layout>
            <c:manualLayout>
              <c:xMode val="edge"/>
              <c:yMode val="edge"/>
              <c:x val="1.7056526470776517E-2"/>
              <c:y val="0.1969559963362350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91056928"/>
        <c:crosses val="autoZero"/>
        <c:crossBetween val="between"/>
      </c:valAx>
    </c:plotArea>
    <c:legend>
      <c:legendPos val="b"/>
      <c:layout>
        <c:manualLayout>
          <c:xMode val="edge"/>
          <c:yMode val="edge"/>
          <c:x val="7.2684346060516034E-2"/>
          <c:y val="0.89155782799877292"/>
          <c:w val="0.88607784875947115"/>
          <c:h val="8.76629512220063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round/>
    </a:ln>
    <a:effectLst/>
  </c:spPr>
  <c:txPr>
    <a:bodyPr/>
    <a:lstStyle/>
    <a:p>
      <a:pPr>
        <a:defRPr sz="900" baseline="0">
          <a:solidFill>
            <a:schemeClr val="tx1"/>
          </a:solidFill>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7583638992061"/>
          <c:y val="2.7572232483285268E-2"/>
          <c:w val="0.84536187717091016"/>
          <c:h val="0.75536444992568685"/>
        </c:manualLayout>
      </c:layout>
      <c:barChart>
        <c:barDir val="col"/>
        <c:grouping val="stacked"/>
        <c:varyColors val="0"/>
        <c:ser>
          <c:idx val="0"/>
          <c:order val="0"/>
          <c:tx>
            <c:strRef>
              <c:f>relation_summary!$O$1</c:f>
              <c:strCache>
                <c:ptCount val="1"/>
                <c:pt idx="0">
                  <c:v>A. Child</c:v>
                </c:pt>
              </c:strCache>
            </c:strRef>
          </c:tx>
          <c:spPr>
            <a:solidFill>
              <a:srgbClr val="5F5F5F"/>
            </a:solidFill>
            <a:ln>
              <a:noFill/>
            </a:ln>
            <a:effectLst/>
          </c:spPr>
          <c:invertIfNegative val="0"/>
          <c:cat>
            <c:strRef>
              <c:f>relation_summary!$J$2:$J$7</c:f>
              <c:strCache>
                <c:ptCount val="6"/>
                <c:pt idx="0">
                  <c:v>Below 20</c:v>
                </c:pt>
                <c:pt idx="1">
                  <c:v>20-29</c:v>
                </c:pt>
                <c:pt idx="2">
                  <c:v>30-39</c:v>
                </c:pt>
                <c:pt idx="3">
                  <c:v>40-49</c:v>
                </c:pt>
                <c:pt idx="4">
                  <c:v>50-59</c:v>
                </c:pt>
                <c:pt idx="5">
                  <c:v>60-69</c:v>
                </c:pt>
              </c:strCache>
            </c:strRef>
          </c:cat>
          <c:val>
            <c:numRef>
              <c:f>relation_summary!$O$2:$O$7</c:f>
              <c:numCache>
                <c:formatCode>0%</c:formatCode>
                <c:ptCount val="6"/>
                <c:pt idx="0">
                  <c:v>0.62560000000000004</c:v>
                </c:pt>
                <c:pt idx="1">
                  <c:v>0.48316251830161056</c:v>
                </c:pt>
                <c:pt idx="2">
                  <c:v>0.26839765080723782</c:v>
                </c:pt>
                <c:pt idx="3">
                  <c:v>0.23641394393266618</c:v>
                </c:pt>
                <c:pt idx="4">
                  <c:v>0.25990102225050982</c:v>
                </c:pt>
                <c:pt idx="5">
                  <c:v>0.17056270365647902</c:v>
                </c:pt>
              </c:numCache>
            </c:numRef>
          </c:val>
          <c:extLst>
            <c:ext xmlns:c16="http://schemas.microsoft.com/office/drawing/2014/chart" uri="{C3380CC4-5D6E-409C-BE32-E72D297353CC}">
              <c16:uniqueId val="{00000000-D754-4FC4-A9BE-FCA5640B2506}"/>
            </c:ext>
          </c:extLst>
        </c:ser>
        <c:ser>
          <c:idx val="1"/>
          <c:order val="1"/>
          <c:tx>
            <c:strRef>
              <c:f>relation_summary!$P$1</c:f>
              <c:strCache>
                <c:ptCount val="1"/>
                <c:pt idx="0">
                  <c:v>B. Parent</c:v>
                </c:pt>
              </c:strCache>
            </c:strRef>
          </c:tx>
          <c:spPr>
            <a:solidFill>
              <a:srgbClr val="F8A764"/>
            </a:solidFill>
            <a:ln>
              <a:noFill/>
            </a:ln>
            <a:effectLst/>
          </c:spPr>
          <c:invertIfNegative val="0"/>
          <c:cat>
            <c:strRef>
              <c:f>relation_summary!$J$2:$J$7</c:f>
              <c:strCache>
                <c:ptCount val="6"/>
                <c:pt idx="0">
                  <c:v>Below 20</c:v>
                </c:pt>
                <c:pt idx="1">
                  <c:v>20-29</c:v>
                </c:pt>
                <c:pt idx="2">
                  <c:v>30-39</c:v>
                </c:pt>
                <c:pt idx="3">
                  <c:v>40-49</c:v>
                </c:pt>
                <c:pt idx="4">
                  <c:v>50-59</c:v>
                </c:pt>
                <c:pt idx="5">
                  <c:v>60-69</c:v>
                </c:pt>
              </c:strCache>
            </c:strRef>
          </c:cat>
          <c:val>
            <c:numRef>
              <c:f>relation_summary!$P$2:$P$7</c:f>
              <c:numCache>
                <c:formatCode>0%</c:formatCode>
                <c:ptCount val="6"/>
                <c:pt idx="0">
                  <c:v>7.1999999999999998E-3</c:v>
                </c:pt>
                <c:pt idx="1">
                  <c:v>0.19591170176821715</c:v>
                </c:pt>
                <c:pt idx="2">
                  <c:v>0.45319447416601277</c:v>
                </c:pt>
                <c:pt idx="3">
                  <c:v>0.4230233945258135</c:v>
                </c:pt>
                <c:pt idx="4">
                  <c:v>0.24910699208957357</c:v>
                </c:pt>
                <c:pt idx="5">
                  <c:v>0.14261427301881691</c:v>
                </c:pt>
              </c:numCache>
            </c:numRef>
          </c:val>
          <c:extLst>
            <c:ext xmlns:c16="http://schemas.microsoft.com/office/drawing/2014/chart" uri="{C3380CC4-5D6E-409C-BE32-E72D297353CC}">
              <c16:uniqueId val="{00000001-D754-4FC4-A9BE-FCA5640B2506}"/>
            </c:ext>
          </c:extLst>
        </c:ser>
        <c:ser>
          <c:idx val="2"/>
          <c:order val="2"/>
          <c:tx>
            <c:strRef>
              <c:f>relation_summary!$Q$1</c:f>
              <c:strCache>
                <c:ptCount val="1"/>
                <c:pt idx="0">
                  <c:v>C. Partner</c:v>
                </c:pt>
              </c:strCache>
            </c:strRef>
          </c:tx>
          <c:spPr>
            <a:solidFill>
              <a:srgbClr val="00682F"/>
            </a:solidFill>
            <a:ln>
              <a:noFill/>
            </a:ln>
            <a:effectLst/>
          </c:spPr>
          <c:invertIfNegative val="0"/>
          <c:cat>
            <c:strRef>
              <c:f>relation_summary!$J$2:$J$7</c:f>
              <c:strCache>
                <c:ptCount val="6"/>
                <c:pt idx="0">
                  <c:v>Below 20</c:v>
                </c:pt>
                <c:pt idx="1">
                  <c:v>20-29</c:v>
                </c:pt>
                <c:pt idx="2">
                  <c:v>30-39</c:v>
                </c:pt>
                <c:pt idx="3">
                  <c:v>40-49</c:v>
                </c:pt>
                <c:pt idx="4">
                  <c:v>50-59</c:v>
                </c:pt>
                <c:pt idx="5">
                  <c:v>60-69</c:v>
                </c:pt>
              </c:strCache>
            </c:strRef>
          </c:cat>
          <c:val>
            <c:numRef>
              <c:f>relation_summary!$Q$2:$Q$7</c:f>
              <c:numCache>
                <c:formatCode>0%</c:formatCode>
                <c:ptCount val="6"/>
                <c:pt idx="0">
                  <c:v>7.1999999999999998E-3</c:v>
                </c:pt>
                <c:pt idx="1">
                  <c:v>5.2933888951458501E-2</c:v>
                </c:pt>
                <c:pt idx="2">
                  <c:v>0.1166987659604822</c:v>
                </c:pt>
                <c:pt idx="3">
                  <c:v>0.20004639141096162</c:v>
                </c:pt>
                <c:pt idx="4">
                  <c:v>0.33758946315611726</c:v>
                </c:pt>
                <c:pt idx="5">
                  <c:v>0.56221423695632577</c:v>
                </c:pt>
              </c:numCache>
            </c:numRef>
          </c:val>
          <c:extLst>
            <c:ext xmlns:c16="http://schemas.microsoft.com/office/drawing/2014/chart" uri="{C3380CC4-5D6E-409C-BE32-E72D297353CC}">
              <c16:uniqueId val="{00000002-D754-4FC4-A9BE-FCA5640B2506}"/>
            </c:ext>
          </c:extLst>
        </c:ser>
        <c:ser>
          <c:idx val="3"/>
          <c:order val="3"/>
          <c:tx>
            <c:strRef>
              <c:f>relation_summary!$R$1</c:f>
              <c:strCache>
                <c:ptCount val="1"/>
                <c:pt idx="0">
                  <c:v>D. Other</c:v>
                </c:pt>
              </c:strCache>
            </c:strRef>
          </c:tx>
          <c:spPr>
            <a:solidFill>
              <a:srgbClr val="2A65AC"/>
            </a:solidFill>
            <a:ln>
              <a:noFill/>
            </a:ln>
            <a:effectLst/>
          </c:spPr>
          <c:invertIfNegative val="0"/>
          <c:dLbls>
            <c:dLbl>
              <c:idx val="0"/>
              <c:layout>
                <c:manualLayout>
                  <c:x val="-4.1158312509187125E-2"/>
                  <c:y val="0.11244979919678715"/>
                </c:manualLayout>
              </c:layout>
              <c:tx>
                <c:rich>
                  <a:bodyPr/>
                  <a:lstStyle/>
                  <a:p>
                    <a:r>
                      <a:rPr lang="en-US"/>
                      <a:t>D</a:t>
                    </a:r>
                  </a:p>
                  <a:p>
                    <a:endParaRPr lang="en-US"/>
                  </a:p>
                  <a:p>
                    <a:endParaRPr lang="en-US"/>
                  </a:p>
                  <a:p>
                    <a:endParaRPr lang="en-US"/>
                  </a:p>
                  <a:p>
                    <a:r>
                      <a:rPr lang="en-US"/>
                      <a:t>C</a:t>
                    </a:r>
                  </a:p>
                  <a:p>
                    <a:r>
                      <a:rPr lang="en-US"/>
                      <a:t>B</a:t>
                    </a:r>
                  </a:p>
                  <a:p>
                    <a:endParaRPr lang="en-US"/>
                  </a:p>
                  <a:p>
                    <a:endParaRPr lang="en-US"/>
                  </a:p>
                  <a:p>
                    <a:endParaRPr lang="en-US"/>
                  </a:p>
                  <a:p>
                    <a:endParaRPr lang="en-US"/>
                  </a:p>
                  <a:p>
                    <a:endParaRPr lang="en-US"/>
                  </a:p>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BC1-479F-BA69-299510858277}"/>
                </c:ext>
              </c:extLst>
            </c:dLbl>
            <c:dLbl>
              <c:idx val="1"/>
              <c:layout>
                <c:manualLayout>
                  <c:x val="-4.7037955695784978E-2"/>
                  <c:y val="0.1124496410840211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mn-cs"/>
                      </a:defRPr>
                    </a:pPr>
                    <a:r>
                      <a:rPr lang="en-US"/>
                      <a:t>D</a:t>
                    </a:r>
                  </a:p>
                  <a:p>
                    <a:pPr>
                      <a:defRPr sz="800"/>
                    </a:pPr>
                    <a:endParaRPr lang="en-US"/>
                  </a:p>
                  <a:p>
                    <a:pPr>
                      <a:defRPr sz="800"/>
                    </a:pPr>
                    <a:endParaRPr lang="en-US"/>
                  </a:p>
                  <a:p>
                    <a:pPr>
                      <a:defRPr sz="800"/>
                    </a:pPr>
                    <a:r>
                      <a:rPr lang="en-US"/>
                      <a:t>C</a:t>
                    </a:r>
                  </a:p>
                  <a:p>
                    <a:pPr>
                      <a:defRPr sz="800"/>
                    </a:pPr>
                    <a:endParaRPr lang="en-US"/>
                  </a:p>
                  <a:p>
                    <a:pPr>
                      <a:defRPr sz="800"/>
                    </a:pPr>
                    <a:r>
                      <a:rPr lang="en-US"/>
                      <a:t>B</a:t>
                    </a:r>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r>
                      <a:rPr lang="en-US"/>
                      <a:t>A</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7880231162490834E-2"/>
                      <c:h val="0.54030136293204301"/>
                    </c:manualLayout>
                  </c15:layout>
                  <c15:showDataLabelsRange val="0"/>
                </c:ext>
                <c:ext xmlns:c16="http://schemas.microsoft.com/office/drawing/2014/chart" uri="{C3380CC4-5D6E-409C-BE32-E72D297353CC}">
                  <c16:uniqueId val="{00000001-ABC1-479F-BA69-299510858277}"/>
                </c:ext>
              </c:extLst>
            </c:dLbl>
            <c:dLbl>
              <c:idx val="2"/>
              <c:layout>
                <c:manualLayout>
                  <c:x val="-4.4098076230843039E-2"/>
                  <c:y val="3.4136388071972931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mn-cs"/>
                      </a:defRPr>
                    </a:pPr>
                    <a:r>
                      <a:rPr lang="en-US"/>
                      <a:t>D</a:t>
                    </a:r>
                  </a:p>
                  <a:p>
                    <a:pPr>
                      <a:defRPr sz="800"/>
                    </a:pPr>
                    <a:endParaRPr lang="en-US"/>
                  </a:p>
                  <a:p>
                    <a:pPr>
                      <a:defRPr sz="800"/>
                    </a:pPr>
                    <a:endParaRPr lang="en-US"/>
                  </a:p>
                  <a:p>
                    <a:pPr>
                      <a:defRPr sz="800"/>
                    </a:pPr>
                    <a:r>
                      <a:rPr lang="en-US"/>
                      <a:t>C</a:t>
                    </a:r>
                  </a:p>
                  <a:p>
                    <a:pPr>
                      <a:defRPr sz="800"/>
                    </a:pPr>
                    <a:endParaRPr lang="en-US"/>
                  </a:p>
                  <a:p>
                    <a:pPr>
                      <a:defRPr sz="800"/>
                    </a:pPr>
                    <a:endParaRPr lang="en-US"/>
                  </a:p>
                  <a:p>
                    <a:pPr>
                      <a:defRPr sz="800"/>
                    </a:pPr>
                    <a:endParaRPr lang="en-US"/>
                  </a:p>
                  <a:p>
                    <a:pPr>
                      <a:defRPr sz="800"/>
                    </a:pPr>
                    <a:endParaRPr lang="en-US"/>
                  </a:p>
                  <a:p>
                    <a:pPr>
                      <a:defRPr sz="800"/>
                    </a:pPr>
                    <a:br>
                      <a:rPr lang="en-US"/>
                    </a:br>
                    <a:r>
                      <a:rPr lang="en-US"/>
                      <a:t>B</a:t>
                    </a:r>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r>
                      <a:rPr lang="en-US"/>
                      <a:t>A</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7880231162490834E-2"/>
                      <c:h val="0.70495999747019555"/>
                    </c:manualLayout>
                  </c15:layout>
                  <c15:showDataLabelsRange val="0"/>
                </c:ext>
                <c:ext xmlns:c16="http://schemas.microsoft.com/office/drawing/2014/chart" uri="{C3380CC4-5D6E-409C-BE32-E72D297353CC}">
                  <c16:uniqueId val="{00000002-ABC1-479F-BA69-299510858277}"/>
                </c:ext>
              </c:extLst>
            </c:dLbl>
            <c:dLbl>
              <c:idx val="3"/>
              <c:layout>
                <c:manualLayout>
                  <c:x val="-4.4098076230843039E-2"/>
                  <c:y val="3.4136388071972931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mn-cs"/>
                      </a:defRPr>
                    </a:pPr>
                    <a:r>
                      <a:rPr lang="en-US"/>
                      <a:t>D</a:t>
                    </a:r>
                  </a:p>
                  <a:p>
                    <a:pPr>
                      <a:defRPr sz="800"/>
                    </a:pPr>
                    <a:endParaRPr lang="en-US"/>
                  </a:p>
                  <a:p>
                    <a:pPr>
                      <a:defRPr sz="800"/>
                    </a:pPr>
                    <a:endParaRPr lang="en-US"/>
                  </a:p>
                  <a:p>
                    <a:pPr>
                      <a:defRPr sz="800"/>
                    </a:pPr>
                    <a:r>
                      <a:rPr lang="en-US"/>
                      <a:t>C</a:t>
                    </a:r>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r>
                      <a:rPr lang="en-US"/>
                      <a:t>B</a:t>
                    </a:r>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r>
                      <a:rPr lang="en-US"/>
                      <a:t>A</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7880231162490834E-2"/>
                      <c:h val="0.73708851152642052"/>
                    </c:manualLayout>
                  </c15:layout>
                  <c15:showDataLabelsRange val="0"/>
                </c:ext>
                <c:ext xmlns:c16="http://schemas.microsoft.com/office/drawing/2014/chart" uri="{C3380CC4-5D6E-409C-BE32-E72D297353CC}">
                  <c16:uniqueId val="{00000003-ABC1-479F-BA69-299510858277}"/>
                </c:ext>
              </c:extLst>
            </c:dLbl>
            <c:dLbl>
              <c:idx val="4"/>
              <c:layout>
                <c:manualLayout>
                  <c:x val="-4.7038071439070996E-2"/>
                  <c:y val="1.807228915662638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mn-cs"/>
                      </a:defRPr>
                    </a:pPr>
                    <a:r>
                      <a:rPr lang="en-US"/>
                      <a:t>D</a:t>
                    </a:r>
                  </a:p>
                  <a:p>
                    <a:pPr>
                      <a:defRPr sz="800"/>
                    </a:pPr>
                    <a:endParaRPr lang="en-US"/>
                  </a:p>
                  <a:p>
                    <a:pPr>
                      <a:defRPr sz="800"/>
                    </a:pPr>
                    <a:endParaRPr lang="en-US"/>
                  </a:p>
                  <a:p>
                    <a:pPr>
                      <a:defRPr sz="800"/>
                    </a:pPr>
                    <a:endParaRPr lang="en-US"/>
                  </a:p>
                  <a:p>
                    <a:pPr>
                      <a:defRPr sz="800"/>
                    </a:pPr>
                    <a:endParaRPr lang="en-US"/>
                  </a:p>
                  <a:p>
                    <a:pPr>
                      <a:defRPr sz="800"/>
                    </a:pPr>
                    <a:r>
                      <a:rPr lang="en-US"/>
                      <a:t>C</a:t>
                    </a:r>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r>
                      <a:rPr lang="en-US"/>
                      <a:t>B</a:t>
                    </a:r>
                    <a:br>
                      <a:rPr lang="en-US"/>
                    </a:br>
                    <a:endParaRPr lang="en-US"/>
                  </a:p>
                  <a:p>
                    <a:pPr>
                      <a:defRPr sz="800"/>
                    </a:pPr>
                    <a:endParaRPr lang="en-US"/>
                  </a:p>
                  <a:p>
                    <a:pPr>
                      <a:defRPr sz="800"/>
                    </a:pPr>
                    <a:endParaRPr lang="en-US"/>
                  </a:p>
                  <a:p>
                    <a:pPr>
                      <a:defRPr sz="800"/>
                    </a:pPr>
                    <a:endParaRPr lang="en-US"/>
                  </a:p>
                  <a:p>
                    <a:pPr>
                      <a:defRPr sz="800"/>
                    </a:pPr>
                    <a:endParaRPr lang="en-US"/>
                  </a:p>
                  <a:p>
                    <a:pPr>
                      <a:defRPr sz="800"/>
                    </a:pPr>
                    <a:r>
                      <a:rPr lang="en-US"/>
                      <a:t>A</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4616964956405295E-2"/>
                      <c:h val="0.75178730670714333"/>
                    </c:manualLayout>
                  </c15:layout>
                  <c15:showDataLabelsRange val="0"/>
                </c:ext>
                <c:ext xmlns:c16="http://schemas.microsoft.com/office/drawing/2014/chart" uri="{C3380CC4-5D6E-409C-BE32-E72D297353CC}">
                  <c16:uniqueId val="{00000004-ABC1-479F-BA69-299510858277}"/>
                </c:ext>
              </c:extLst>
            </c:dLbl>
            <c:dLbl>
              <c:idx val="5"/>
              <c:layout>
                <c:manualLayout>
                  <c:x val="-4.9978066647298848E-2"/>
                  <c:y val="4.0160484457515098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mn-cs"/>
                      </a:defRPr>
                    </a:pPr>
                    <a:r>
                      <a:rPr lang="en-US"/>
                      <a:t>D</a:t>
                    </a:r>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r>
                      <a:rPr lang="en-US"/>
                      <a:t>C</a:t>
                    </a:r>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endParaRPr lang="en-US"/>
                  </a:p>
                  <a:p>
                    <a:pPr>
                      <a:defRPr sz="800"/>
                    </a:pPr>
                    <a:r>
                      <a:rPr lang="en-US"/>
                      <a:t>B</a:t>
                    </a:r>
                  </a:p>
                  <a:p>
                    <a:pPr>
                      <a:defRPr sz="800"/>
                    </a:pPr>
                    <a:endParaRPr lang="en-US"/>
                  </a:p>
                  <a:p>
                    <a:pPr>
                      <a:defRPr sz="800"/>
                    </a:pPr>
                    <a:endParaRPr lang="en-US"/>
                  </a:p>
                  <a:p>
                    <a:pPr>
                      <a:defRPr sz="800"/>
                    </a:pPr>
                    <a:endParaRPr lang="en-US"/>
                  </a:p>
                  <a:p>
                    <a:pPr>
                      <a:defRPr sz="800"/>
                    </a:pPr>
                    <a:r>
                      <a:rPr lang="en-US"/>
                      <a:t>A</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7880231162490834E-2"/>
                      <c:h val="0.74110457578344857"/>
                    </c:manualLayout>
                  </c15:layout>
                  <c15:showDataLabelsRange val="0"/>
                </c:ext>
                <c:ext xmlns:c16="http://schemas.microsoft.com/office/drawing/2014/chart" uri="{C3380CC4-5D6E-409C-BE32-E72D297353CC}">
                  <c16:uniqueId val="{00000005-ABC1-479F-BA69-29951085827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relation_summary!$J$2:$J$7</c:f>
              <c:strCache>
                <c:ptCount val="6"/>
                <c:pt idx="0">
                  <c:v>Below 20</c:v>
                </c:pt>
                <c:pt idx="1">
                  <c:v>20-29</c:v>
                </c:pt>
                <c:pt idx="2">
                  <c:v>30-39</c:v>
                </c:pt>
                <c:pt idx="3">
                  <c:v>40-49</c:v>
                </c:pt>
                <c:pt idx="4">
                  <c:v>50-59</c:v>
                </c:pt>
                <c:pt idx="5">
                  <c:v>60-69</c:v>
                </c:pt>
              </c:strCache>
            </c:strRef>
          </c:cat>
          <c:val>
            <c:numRef>
              <c:f>relation_summary!$R$2:$R$7</c:f>
              <c:numCache>
                <c:formatCode>0%</c:formatCode>
                <c:ptCount val="6"/>
                <c:pt idx="0">
                  <c:v>0.36</c:v>
                </c:pt>
                <c:pt idx="1">
                  <c:v>0.26799189097871384</c:v>
                </c:pt>
                <c:pt idx="2">
                  <c:v>0.1617091090662672</c:v>
                </c:pt>
                <c:pt idx="3">
                  <c:v>0.14051627013055867</c:v>
                </c:pt>
                <c:pt idx="4">
                  <c:v>0.15340252250379935</c:v>
                </c:pt>
                <c:pt idx="5">
                  <c:v>0.12460878636837834</c:v>
                </c:pt>
              </c:numCache>
            </c:numRef>
          </c:val>
          <c:extLst>
            <c:ext xmlns:c16="http://schemas.microsoft.com/office/drawing/2014/chart" uri="{C3380CC4-5D6E-409C-BE32-E72D297353CC}">
              <c16:uniqueId val="{00000003-D754-4FC4-A9BE-FCA5640B2506}"/>
            </c:ext>
          </c:extLst>
        </c:ser>
        <c:dLbls>
          <c:showLegendKey val="0"/>
          <c:showVal val="0"/>
          <c:showCatName val="0"/>
          <c:showSerName val="0"/>
          <c:showPercent val="0"/>
          <c:showBubbleSize val="0"/>
        </c:dLbls>
        <c:gapWidth val="150"/>
        <c:overlap val="100"/>
        <c:axId val="866179736"/>
        <c:axId val="866173832"/>
      </c:barChart>
      <c:catAx>
        <c:axId val="8661797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Age group</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866173832"/>
        <c:crosses val="autoZero"/>
        <c:auto val="1"/>
        <c:lblAlgn val="ctr"/>
        <c:lblOffset val="100"/>
        <c:noMultiLvlLbl val="0"/>
      </c:catAx>
      <c:valAx>
        <c:axId val="866173832"/>
        <c:scaling>
          <c:orientation val="minMax"/>
          <c:max val="1"/>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0"/>
              <a:lstStyle/>
              <a:p>
                <a:pPr>
                  <a:defRPr sz="900" b="1" i="0" u="none" strike="noStrike" kern="1200" baseline="0">
                    <a:solidFill>
                      <a:schemeClr val="tx1"/>
                    </a:solidFill>
                    <a:latin typeface="Arial" panose="020B0604020202020204" pitchFamily="34" charset="0"/>
                    <a:ea typeface="+mn-ea"/>
                    <a:cs typeface="+mn-cs"/>
                  </a:defRPr>
                </a:pPr>
                <a:r>
                  <a:rPr lang="en-AU" b="1"/>
                  <a:t>Percentage of people</a:t>
                </a:r>
              </a:p>
            </c:rich>
          </c:tx>
          <c:layout>
            <c:manualLayout>
              <c:xMode val="edge"/>
              <c:yMode val="edge"/>
              <c:x val="2.9398794649419372E-3"/>
              <c:y val="0.20392625620592611"/>
            </c:manualLayout>
          </c:layout>
          <c:overlay val="0"/>
          <c:spPr>
            <a:noFill/>
            <a:ln>
              <a:noFill/>
            </a:ln>
            <a:effectLst/>
          </c:spPr>
          <c:txPr>
            <a:bodyPr rot="-5400000" spcFirstLastPara="1" vertOverflow="ellipsis" vert="horz" wrap="square" anchor="ctr" anchorCtr="0"/>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866179736"/>
        <c:crosses val="autoZero"/>
        <c:crossBetween val="between"/>
      </c:valAx>
      <c:spPr>
        <a:noFill/>
        <a:ln>
          <a:noFill/>
        </a:ln>
        <a:effectLst/>
      </c:spPr>
    </c:plotArea>
    <c:legend>
      <c:legendPos val="b"/>
      <c:layout>
        <c:manualLayout>
          <c:xMode val="edge"/>
          <c:yMode val="edge"/>
          <c:x val="8.6506531972346673E-3"/>
          <c:y val="0.90651382530672053"/>
          <c:w val="0.98269846211895862"/>
          <c:h val="8.75145545078470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900" baseline="0">
          <a:solidFill>
            <a:schemeClr val="tx1"/>
          </a:solidFill>
          <a:latin typeface="Arial" panose="020B0604020202020204" pitchFamily="34" charset="0"/>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78134551362898"/>
          <c:y val="2.9239766081871343E-2"/>
          <c:w val="0.77168035813705116"/>
          <c:h val="0.66996055317646697"/>
        </c:manualLayout>
      </c:layout>
      <c:barChart>
        <c:barDir val="bar"/>
        <c:grouping val="stacked"/>
        <c:varyColors val="0"/>
        <c:ser>
          <c:idx val="3"/>
          <c:order val="0"/>
          <c:tx>
            <c:strRef>
              <c:f>his_dur_summary!$I$1</c:f>
              <c:strCache>
                <c:ptCount val="1"/>
                <c:pt idx="0">
                  <c:v>A. Carer Payment</c:v>
                </c:pt>
              </c:strCache>
            </c:strRef>
          </c:tx>
          <c:spPr>
            <a:solidFill>
              <a:srgbClr val="E18BD7"/>
            </a:solidFill>
            <a:ln>
              <a:noFill/>
            </a:ln>
            <a:effectLst/>
          </c:spPr>
          <c:invertIfNegative val="0"/>
          <c:dLbls>
            <c:dLbl>
              <c:idx val="0"/>
              <c:layout>
                <c:manualLayout>
                  <c:x val="-6.5428185113224485E-2"/>
                  <c:y val="-0.55804784270387253"/>
                </c:manualLayout>
              </c:layout>
              <c:tx>
                <c:rich>
                  <a:bodyPr/>
                  <a:lstStyle/>
                  <a:p>
                    <a:r>
                      <a:rPr lang="en-US"/>
                      <a:t>1.3</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B43-4075-97C9-3EC6473CB65A}"/>
                </c:ext>
              </c:extLst>
            </c:dLbl>
            <c:dLbl>
              <c:idx val="1"/>
              <c:layout>
                <c:manualLayout>
                  <c:x val="0.35249071138834909"/>
                  <c:y val="-0.33965019723411766"/>
                </c:manualLayout>
              </c:layout>
              <c:tx>
                <c:rich>
                  <a:bodyPr/>
                  <a:lstStyle/>
                  <a:p>
                    <a:r>
                      <a:rPr lang="en-US"/>
                      <a:t>4.0</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B43-4075-97C9-3EC6473CB65A}"/>
                </c:ext>
              </c:extLst>
            </c:dLbl>
            <c:dLbl>
              <c:idx val="2"/>
              <c:layout>
                <c:manualLayout>
                  <c:x val="0.41698083194146185"/>
                  <c:y val="-0.11124618194655497"/>
                </c:manualLayout>
              </c:layout>
              <c:tx>
                <c:rich>
                  <a:bodyPr/>
                  <a:lstStyle/>
                  <a:p>
                    <a:r>
                      <a:rPr lang="en-US"/>
                      <a:t>4.3</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B43-4075-97C9-3EC6473CB65A}"/>
                </c:ext>
              </c:extLst>
            </c:dLbl>
            <c:dLbl>
              <c:idx val="3"/>
              <c:layout>
                <c:manualLayout>
                  <c:x val="0.45682812375725762"/>
                  <c:y val="0.11176536047029209"/>
                </c:manualLayout>
              </c:layout>
              <c:tx>
                <c:rich>
                  <a:bodyPr/>
                  <a:lstStyle/>
                  <a:p>
                    <a:r>
                      <a:rPr lang="en-US"/>
                      <a:t>4.3</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B43-4075-97C9-3EC6473CB65A}"/>
                </c:ext>
              </c:extLst>
            </c:dLbl>
            <c:dLbl>
              <c:idx val="4"/>
              <c:layout>
                <c:manualLayout>
                  <c:x val="0.48452397995705071"/>
                  <c:y val="0.33965019723411766"/>
                </c:manualLayout>
              </c:layout>
              <c:tx>
                <c:rich>
                  <a:bodyPr/>
                  <a:lstStyle/>
                  <a:p>
                    <a:r>
                      <a:rPr lang="en-US"/>
                      <a:t>4.2</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B43-4075-97C9-3EC6473CB65A}"/>
                </c:ext>
              </c:extLst>
            </c:dLbl>
            <c:dLbl>
              <c:idx val="5"/>
              <c:layout>
                <c:manualLayout>
                  <c:x val="0.61377077865266827"/>
                  <c:y val="0.5677944313978297"/>
                </c:manualLayout>
              </c:layout>
              <c:tx>
                <c:rich>
                  <a:bodyPr/>
                  <a:lstStyle/>
                  <a:p>
                    <a:r>
                      <a:rPr lang="en-US"/>
                      <a:t>4.2</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B43-4075-97C9-3EC6473CB65A}"/>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his_dur_summary!$B$3:$B$8</c:f>
              <c:strCache>
                <c:ptCount val="6"/>
                <c:pt idx="0">
                  <c:v>60-69</c:v>
                </c:pt>
                <c:pt idx="1">
                  <c:v>50-59</c:v>
                </c:pt>
                <c:pt idx="2">
                  <c:v>40-49</c:v>
                </c:pt>
                <c:pt idx="3">
                  <c:v>30-39</c:v>
                </c:pt>
                <c:pt idx="4">
                  <c:v>20-29</c:v>
                </c:pt>
                <c:pt idx="5">
                  <c:v>Below 20</c:v>
                </c:pt>
              </c:strCache>
            </c:strRef>
          </c:cat>
          <c:val>
            <c:numRef>
              <c:f>his_dur_summary!$I$3:$I$8</c:f>
              <c:numCache>
                <c:formatCode>General</c:formatCode>
                <c:ptCount val="6"/>
                <c:pt idx="0">
                  <c:v>3.8932103186047948</c:v>
                </c:pt>
                <c:pt idx="1">
                  <c:v>3.785236824366601</c:v>
                </c:pt>
                <c:pt idx="2">
                  <c:v>3.6140982680861344</c:v>
                </c:pt>
                <c:pt idx="3">
                  <c:v>3.2316243350105536</c:v>
                </c:pt>
                <c:pt idx="4">
                  <c:v>2.6942758579193335</c:v>
                </c:pt>
                <c:pt idx="5">
                  <c:v>0.95441534246575344</c:v>
                </c:pt>
              </c:numCache>
            </c:numRef>
          </c:val>
          <c:extLst>
            <c:ext xmlns:c16="http://schemas.microsoft.com/office/drawing/2014/chart" uri="{C3380CC4-5D6E-409C-BE32-E72D297353CC}">
              <c16:uniqueId val="{00000006-9B43-4075-97C9-3EC6473CB65A}"/>
            </c:ext>
          </c:extLst>
        </c:ser>
        <c:ser>
          <c:idx val="0"/>
          <c:order val="1"/>
          <c:tx>
            <c:strRef>
              <c:f>his_dur_summary!$F$1</c:f>
              <c:strCache>
                <c:ptCount val="1"/>
                <c:pt idx="0">
                  <c:v>B. Studying payments</c:v>
                </c:pt>
              </c:strCache>
            </c:strRef>
          </c:tx>
          <c:spPr>
            <a:solidFill>
              <a:srgbClr val="1F497D"/>
            </a:solidFill>
            <a:ln>
              <a:noFill/>
            </a:ln>
            <a:effectLst/>
          </c:spPr>
          <c:invertIfNegative val="0"/>
          <c:dLbls>
            <c:dLbl>
              <c:idx val="0"/>
              <c:layout>
                <c:manualLayout>
                  <c:x val="-0.10578882185181397"/>
                  <c:y val="-4.3859649122807015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r>
                      <a:rPr lang="en-US"/>
                      <a:t>A                                                        B CD-F</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49232005090272807"/>
                      <c:h val="9.449317738791424E-2"/>
                    </c:manualLayout>
                  </c15:layout>
                  <c15:showDataLabelsRange val="0"/>
                </c:ext>
                <c:ext xmlns:c16="http://schemas.microsoft.com/office/drawing/2014/chart" uri="{C3380CC4-5D6E-409C-BE32-E72D297353CC}">
                  <c16:uniqueId val="{00000005-A135-453E-A820-25F1C7961916}"/>
                </c:ext>
              </c:extLst>
            </c:dLbl>
            <c:dLbl>
              <c:idx val="1"/>
              <c:layout>
                <c:manualLayout>
                  <c:x val="-0.10244617150128967"/>
                  <c:y val="-4.3859840984789268E-2"/>
                </c:manualLayout>
              </c:layout>
              <c:tx>
                <c:rich>
                  <a:bodyPr/>
                  <a:lstStyle/>
                  <a:p>
                    <a:r>
                      <a:rPr lang="en-US"/>
                      <a:t>A                                                      B   C D-F</a:t>
                    </a:r>
                  </a:p>
                </c:rich>
              </c:tx>
              <c:dLblPos val="ctr"/>
              <c:showLegendKey val="0"/>
              <c:showVal val="1"/>
              <c:showCatName val="0"/>
              <c:showSerName val="0"/>
              <c:showPercent val="0"/>
              <c:showBubbleSize val="0"/>
              <c:extLst>
                <c:ext xmlns:c15="http://schemas.microsoft.com/office/drawing/2012/chart" uri="{CE6537A1-D6FC-4f65-9D91-7224C49458BB}">
                  <c15:layout>
                    <c:manualLayout>
                      <c:w val="0.49447341809546524"/>
                      <c:h val="5.9430016423385662E-2"/>
                    </c:manualLayout>
                  </c15:layout>
                  <c15:showDataLabelsRange val="0"/>
                </c:ext>
                <c:ext xmlns:c16="http://schemas.microsoft.com/office/drawing/2014/chart" uri="{C3380CC4-5D6E-409C-BE32-E72D297353CC}">
                  <c16:uniqueId val="{00000004-A135-453E-A820-25F1C7961916}"/>
                </c:ext>
              </c:extLst>
            </c:dLbl>
            <c:dLbl>
              <c:idx val="2"/>
              <c:layout>
                <c:manualLayout>
                  <c:x val="-8.828714592494126E-2"/>
                  <c:y val="-4.8732751607803458E-2"/>
                </c:manualLayout>
              </c:layout>
              <c:tx>
                <c:rich>
                  <a:bodyPr/>
                  <a:lstStyle/>
                  <a:p>
                    <a:r>
                      <a:rPr lang="en-US"/>
                      <a:t>A                                                  B   C      DEF</a:t>
                    </a:r>
                  </a:p>
                </c:rich>
              </c:tx>
              <c:dLblPos val="ctr"/>
              <c:showLegendKey val="0"/>
              <c:showVal val="1"/>
              <c:showCatName val="0"/>
              <c:showSerName val="0"/>
              <c:showPercent val="0"/>
              <c:showBubbleSize val="0"/>
              <c:extLst>
                <c:ext xmlns:c15="http://schemas.microsoft.com/office/drawing/2012/chart" uri="{CE6537A1-D6FC-4f65-9D91-7224C49458BB}">
                  <c15:layout>
                    <c:manualLayout>
                      <c:w val="0.51205349331333583"/>
                      <c:h val="5.9430016423385662E-2"/>
                    </c:manualLayout>
                  </c15:layout>
                  <c15:showDataLabelsRange val="0"/>
                </c:ext>
                <c:ext xmlns:c16="http://schemas.microsoft.com/office/drawing/2014/chart" uri="{C3380CC4-5D6E-409C-BE32-E72D297353CC}">
                  <c16:uniqueId val="{00000003-A135-453E-A820-25F1C7961916}"/>
                </c:ext>
              </c:extLst>
            </c:dLbl>
            <c:dLbl>
              <c:idx val="3"/>
              <c:layout>
                <c:manualLayout>
                  <c:x val="-4.9696515208326235E-2"/>
                  <c:y val="-4.3859457260824852E-2"/>
                </c:manualLayout>
              </c:layout>
              <c:tx>
                <c:rich>
                  <a:bodyPr/>
                  <a:lstStyle/>
                  <a:p>
                    <a:r>
                      <a:rPr lang="en-US"/>
                      <a:t>A                                         B  C         D       EF</a:t>
                    </a:r>
                  </a:p>
                </c:rich>
              </c:tx>
              <c:dLblPos val="ctr"/>
              <c:showLegendKey val="0"/>
              <c:showVal val="1"/>
              <c:showCatName val="0"/>
              <c:showSerName val="0"/>
              <c:showPercent val="0"/>
              <c:showBubbleSize val="0"/>
              <c:extLst>
                <c:ext xmlns:c15="http://schemas.microsoft.com/office/drawing/2012/chart" uri="{CE6537A1-D6FC-4f65-9D91-7224C49458BB}">
                  <c15:layout>
                    <c:manualLayout>
                      <c:w val="0.50601742963947693"/>
                      <c:h val="5.9430016423385662E-2"/>
                    </c:manualLayout>
                  </c15:layout>
                  <c15:showDataLabelsRange val="0"/>
                </c:ext>
                <c:ext xmlns:c16="http://schemas.microsoft.com/office/drawing/2014/chart" uri="{C3380CC4-5D6E-409C-BE32-E72D297353CC}">
                  <c16:uniqueId val="{00000002-A135-453E-A820-25F1C7961916}"/>
                </c:ext>
              </c:extLst>
            </c:dLbl>
            <c:dLbl>
              <c:idx val="4"/>
              <c:layout>
                <c:manualLayout>
                  <c:x val="-4.0627876060947456E-3"/>
                  <c:y val="-4.3859649122807015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r>
                      <a:rPr lang="en-US"/>
                      <a:t>A                              B      C           D    EF</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47790776152980868"/>
                      <c:h val="7.4999999999999997E-2"/>
                    </c:manualLayout>
                  </c15:layout>
                  <c15:showDataLabelsRange val="0"/>
                </c:ext>
                <c:ext xmlns:c16="http://schemas.microsoft.com/office/drawing/2014/chart" uri="{C3380CC4-5D6E-409C-BE32-E72D297353CC}">
                  <c16:uniqueId val="{00000001-A135-453E-A820-25F1C7961916}"/>
                </c:ext>
              </c:extLst>
            </c:dLbl>
            <c:dLbl>
              <c:idx val="5"/>
              <c:layout>
                <c:manualLayout>
                  <c:x val="-8.0203610912272863E-3"/>
                  <c:y val="-4.3859649122807015E-2"/>
                </c:manualLayout>
              </c:layout>
              <c:tx>
                <c:rich>
                  <a:bodyPr/>
                  <a:lstStyle/>
                  <a:p>
                    <a:r>
                      <a:rPr lang="en-US"/>
                      <a:t>A</a:t>
                    </a:r>
                    <a:r>
                      <a:rPr lang="en-US" baseline="0"/>
                      <a:t>           B  CD-F</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135-453E-A820-25F1C796191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his_dur_summary!$B$3:$B$8</c:f>
              <c:strCache>
                <c:ptCount val="6"/>
                <c:pt idx="0">
                  <c:v>60-69</c:v>
                </c:pt>
                <c:pt idx="1">
                  <c:v>50-59</c:v>
                </c:pt>
                <c:pt idx="2">
                  <c:v>40-49</c:v>
                </c:pt>
                <c:pt idx="3">
                  <c:v>30-39</c:v>
                </c:pt>
                <c:pt idx="4">
                  <c:v>20-29</c:v>
                </c:pt>
                <c:pt idx="5">
                  <c:v>Below 20</c:v>
                </c:pt>
              </c:strCache>
            </c:strRef>
          </c:cat>
          <c:val>
            <c:numRef>
              <c:f>his_dur_summary!$F$3:$F$8</c:f>
              <c:numCache>
                <c:formatCode>General</c:formatCode>
                <c:ptCount val="6"/>
                <c:pt idx="0">
                  <c:v>1.9508325689461376E-3</c:v>
                </c:pt>
                <c:pt idx="1">
                  <c:v>6.354782189698995E-3</c:v>
                </c:pt>
                <c:pt idx="2">
                  <c:v>9.8265360686411278E-3</c:v>
                </c:pt>
                <c:pt idx="3">
                  <c:v>1.6742314165283163E-2</c:v>
                </c:pt>
                <c:pt idx="4">
                  <c:v>0.16416988214457093</c:v>
                </c:pt>
                <c:pt idx="5">
                  <c:v>0.14186958904109581</c:v>
                </c:pt>
              </c:numCache>
            </c:numRef>
          </c:val>
          <c:extLst>
            <c:ext xmlns:c16="http://schemas.microsoft.com/office/drawing/2014/chart" uri="{C3380CC4-5D6E-409C-BE32-E72D297353CC}">
              <c16:uniqueId val="{00000007-9B43-4075-97C9-3EC6473CB65A}"/>
            </c:ext>
          </c:extLst>
        </c:ser>
        <c:ser>
          <c:idx val="1"/>
          <c:order val="2"/>
          <c:tx>
            <c:strRef>
              <c:f>his_dur_summary!$G$1</c:f>
              <c:strCache>
                <c:ptCount val="1"/>
                <c:pt idx="0">
                  <c:v>C. Working age payments</c:v>
                </c:pt>
              </c:strCache>
            </c:strRef>
          </c:tx>
          <c:spPr>
            <a:solidFill>
              <a:srgbClr val="009644"/>
            </a:solidFill>
            <a:ln>
              <a:noFill/>
            </a:ln>
            <a:effectLst/>
          </c:spPr>
          <c:invertIfNegative val="0"/>
          <c:dLbls>
            <c:delete val="1"/>
          </c:dLbls>
          <c:cat>
            <c:strRef>
              <c:f>his_dur_summary!$B$3:$B$8</c:f>
              <c:strCache>
                <c:ptCount val="6"/>
                <c:pt idx="0">
                  <c:v>60-69</c:v>
                </c:pt>
                <c:pt idx="1">
                  <c:v>50-59</c:v>
                </c:pt>
                <c:pt idx="2">
                  <c:v>40-49</c:v>
                </c:pt>
                <c:pt idx="3">
                  <c:v>30-39</c:v>
                </c:pt>
                <c:pt idx="4">
                  <c:v>20-29</c:v>
                </c:pt>
                <c:pt idx="5">
                  <c:v>Below 20</c:v>
                </c:pt>
              </c:strCache>
            </c:strRef>
          </c:cat>
          <c:val>
            <c:numRef>
              <c:f>his_dur_summary!$G$3:$G$8</c:f>
              <c:numCache>
                <c:formatCode>General</c:formatCode>
                <c:ptCount val="6"/>
                <c:pt idx="0">
                  <c:v>0.30520526067764547</c:v>
                </c:pt>
                <c:pt idx="1">
                  <c:v>0.40994311261587546</c:v>
                </c:pt>
                <c:pt idx="2">
                  <c:v>0.4277653956388402</c:v>
                </c:pt>
                <c:pt idx="3">
                  <c:v>0.37716360803228166</c:v>
                </c:pt>
                <c:pt idx="4">
                  <c:v>0.58075557688064861</c:v>
                </c:pt>
                <c:pt idx="5">
                  <c:v>0.22231671232876735</c:v>
                </c:pt>
              </c:numCache>
            </c:numRef>
          </c:val>
          <c:extLst>
            <c:ext xmlns:c16="http://schemas.microsoft.com/office/drawing/2014/chart" uri="{C3380CC4-5D6E-409C-BE32-E72D297353CC}">
              <c16:uniqueId val="{00000008-9B43-4075-97C9-3EC6473CB65A}"/>
            </c:ext>
          </c:extLst>
        </c:ser>
        <c:ser>
          <c:idx val="2"/>
          <c:order val="3"/>
          <c:tx>
            <c:strRef>
              <c:f>his_dur_summary!$H$1</c:f>
              <c:strCache>
                <c:ptCount val="1"/>
                <c:pt idx="0">
                  <c:v>D. Parenting Payment</c:v>
                </c:pt>
              </c:strCache>
            </c:strRef>
          </c:tx>
          <c:spPr>
            <a:solidFill>
              <a:srgbClr val="E26B0A"/>
            </a:solidFill>
            <a:ln>
              <a:noFill/>
            </a:ln>
            <a:effectLst/>
          </c:spPr>
          <c:invertIfNegative val="0"/>
          <c:dLbls>
            <c:delete val="1"/>
          </c:dLbls>
          <c:cat>
            <c:strRef>
              <c:f>his_dur_summary!$B$3:$B$8</c:f>
              <c:strCache>
                <c:ptCount val="6"/>
                <c:pt idx="0">
                  <c:v>60-69</c:v>
                </c:pt>
                <c:pt idx="1">
                  <c:v>50-59</c:v>
                </c:pt>
                <c:pt idx="2">
                  <c:v>40-49</c:v>
                </c:pt>
                <c:pt idx="3">
                  <c:v>30-39</c:v>
                </c:pt>
                <c:pt idx="4">
                  <c:v>20-29</c:v>
                </c:pt>
                <c:pt idx="5">
                  <c:v>Below 20</c:v>
                </c:pt>
              </c:strCache>
            </c:strRef>
          </c:cat>
          <c:val>
            <c:numRef>
              <c:f>his_dur_summary!$H$3:$H$8</c:f>
              <c:numCache>
                <c:formatCode>General</c:formatCode>
                <c:ptCount val="6"/>
                <c:pt idx="0">
                  <c:v>7.0960537860410931E-3</c:v>
                </c:pt>
                <c:pt idx="1">
                  <c:v>3.9905687688599305E-2</c:v>
                </c:pt>
                <c:pt idx="2">
                  <c:v>0.29503466645846416</c:v>
                </c:pt>
                <c:pt idx="3">
                  <c:v>0.66175597957240229</c:v>
                </c:pt>
                <c:pt idx="4">
                  <c:v>0.53316413825449394</c:v>
                </c:pt>
                <c:pt idx="5">
                  <c:v>1.1767671232876713E-2</c:v>
                </c:pt>
              </c:numCache>
            </c:numRef>
          </c:val>
          <c:extLst>
            <c:ext xmlns:c16="http://schemas.microsoft.com/office/drawing/2014/chart" uri="{C3380CC4-5D6E-409C-BE32-E72D297353CC}">
              <c16:uniqueId val="{00000009-9B43-4075-97C9-3EC6473CB65A}"/>
            </c:ext>
          </c:extLst>
        </c:ser>
        <c:ser>
          <c:idx val="4"/>
          <c:order val="4"/>
          <c:tx>
            <c:strRef>
              <c:f>his_dur_summary!$J$1</c:f>
              <c:strCache>
                <c:ptCount val="1"/>
                <c:pt idx="0">
                  <c:v>E. DSP</c:v>
                </c:pt>
              </c:strCache>
            </c:strRef>
          </c:tx>
          <c:spPr>
            <a:solidFill>
              <a:srgbClr val="8064A2"/>
            </a:solidFill>
            <a:ln>
              <a:noFill/>
            </a:ln>
            <a:effectLst/>
          </c:spPr>
          <c:invertIfNegative val="0"/>
          <c:dLbls>
            <c:delete val="1"/>
          </c:dLbls>
          <c:cat>
            <c:strRef>
              <c:f>his_dur_summary!$B$3:$B$8</c:f>
              <c:strCache>
                <c:ptCount val="6"/>
                <c:pt idx="0">
                  <c:v>60-69</c:v>
                </c:pt>
                <c:pt idx="1">
                  <c:v>50-59</c:v>
                </c:pt>
                <c:pt idx="2">
                  <c:v>40-49</c:v>
                </c:pt>
                <c:pt idx="3">
                  <c:v>30-39</c:v>
                </c:pt>
                <c:pt idx="4">
                  <c:v>20-29</c:v>
                </c:pt>
                <c:pt idx="5">
                  <c:v>Below 20</c:v>
                </c:pt>
              </c:strCache>
            </c:strRef>
          </c:cat>
          <c:val>
            <c:numRef>
              <c:f>his_dur_summary!$J$3:$J$8</c:f>
              <c:numCache>
                <c:formatCode>General</c:formatCode>
                <c:ptCount val="6"/>
                <c:pt idx="0">
                  <c:v>4.257455840650369E-3</c:v>
                </c:pt>
                <c:pt idx="1">
                  <c:v>2.5350659629245361E-3</c:v>
                </c:pt>
                <c:pt idx="2">
                  <c:v>2.6620136051210314E-3</c:v>
                </c:pt>
                <c:pt idx="3">
                  <c:v>3.4909569889005833E-3</c:v>
                </c:pt>
                <c:pt idx="4">
                  <c:v>2.7867818016035989E-3</c:v>
                </c:pt>
                <c:pt idx="5">
                  <c:v>0</c:v>
                </c:pt>
              </c:numCache>
            </c:numRef>
          </c:val>
          <c:extLst>
            <c:ext xmlns:c16="http://schemas.microsoft.com/office/drawing/2014/chart" uri="{C3380CC4-5D6E-409C-BE32-E72D297353CC}">
              <c16:uniqueId val="{0000000A-9B43-4075-97C9-3EC6473CB65A}"/>
            </c:ext>
          </c:extLst>
        </c:ser>
        <c:ser>
          <c:idx val="5"/>
          <c:order val="5"/>
          <c:tx>
            <c:strRef>
              <c:f>his_dur_summary!$K$1</c:f>
              <c:strCache>
                <c:ptCount val="1"/>
                <c:pt idx="0">
                  <c:v>F. Age Pension</c:v>
                </c:pt>
              </c:strCache>
            </c:strRef>
          </c:tx>
          <c:spPr>
            <a:solidFill>
              <a:srgbClr val="C0504D"/>
            </a:solidFill>
            <a:ln>
              <a:noFill/>
            </a:ln>
            <a:effectLst/>
          </c:spPr>
          <c:invertIfNegative val="0"/>
          <c:dLbls>
            <c:delete val="1"/>
          </c:dLbls>
          <c:cat>
            <c:strRef>
              <c:f>his_dur_summary!$B$3:$B$8</c:f>
              <c:strCache>
                <c:ptCount val="6"/>
                <c:pt idx="0">
                  <c:v>60-69</c:v>
                </c:pt>
                <c:pt idx="1">
                  <c:v>50-59</c:v>
                </c:pt>
                <c:pt idx="2">
                  <c:v>40-49</c:v>
                </c:pt>
                <c:pt idx="3">
                  <c:v>30-39</c:v>
                </c:pt>
                <c:pt idx="4">
                  <c:v>20-29</c:v>
                </c:pt>
                <c:pt idx="5">
                  <c:v>Below 20</c:v>
                </c:pt>
              </c:strCache>
            </c:strRef>
          </c:cat>
          <c:val>
            <c:numRef>
              <c:f>his_dur_summary!$K$3:$K$8</c:f>
              <c:numCache>
                <c:formatCode>General</c:formatCode>
                <c:ptCount val="6"/>
                <c:pt idx="0">
                  <c:v>9.0093418436577987E-3</c:v>
                </c:pt>
                <c:pt idx="1">
                  <c:v>0</c:v>
                </c:pt>
                <c:pt idx="2">
                  <c:v>0</c:v>
                </c:pt>
                <c:pt idx="3">
                  <c:v>0</c:v>
                </c:pt>
                <c:pt idx="4">
                  <c:v>0</c:v>
                </c:pt>
                <c:pt idx="5">
                  <c:v>0</c:v>
                </c:pt>
              </c:numCache>
            </c:numRef>
          </c:val>
          <c:extLst>
            <c:ext xmlns:c16="http://schemas.microsoft.com/office/drawing/2014/chart" uri="{C3380CC4-5D6E-409C-BE32-E72D297353CC}">
              <c16:uniqueId val="{0000000B-9B43-4075-97C9-3EC6473CB65A}"/>
            </c:ext>
          </c:extLst>
        </c:ser>
        <c:dLbls>
          <c:dLblPos val="inEnd"/>
          <c:showLegendKey val="0"/>
          <c:showVal val="1"/>
          <c:showCatName val="0"/>
          <c:showSerName val="0"/>
          <c:showPercent val="0"/>
          <c:showBubbleSize val="0"/>
        </c:dLbls>
        <c:gapWidth val="150"/>
        <c:overlap val="100"/>
        <c:axId val="905312392"/>
        <c:axId val="905306816"/>
      </c:barChart>
      <c:catAx>
        <c:axId val="90531239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b="1"/>
                  <a:t>Age group</a:t>
                </a:r>
              </a:p>
            </c:rich>
          </c:tx>
          <c:layout>
            <c:manualLayout>
              <c:xMode val="edge"/>
              <c:yMode val="edge"/>
              <c:x val="2.886002886002886E-3"/>
              <c:y val="0.2106989915734217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5306816"/>
        <c:crosses val="autoZero"/>
        <c:auto val="1"/>
        <c:lblAlgn val="ctr"/>
        <c:lblOffset val="100"/>
        <c:noMultiLvlLbl val="0"/>
      </c:catAx>
      <c:valAx>
        <c:axId val="905306816"/>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b="1"/>
                  <a:t>Years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5312392"/>
        <c:crosses val="autoZero"/>
        <c:crossBetween val="between"/>
        <c:majorUnit val="1"/>
      </c:valAx>
      <c:spPr>
        <a:noFill/>
        <a:ln>
          <a:noFill/>
        </a:ln>
        <a:effectLst/>
      </c:spPr>
    </c:plotArea>
    <c:legend>
      <c:legendPos val="b"/>
      <c:layout>
        <c:manualLayout>
          <c:xMode val="edge"/>
          <c:yMode val="edge"/>
          <c:x val="0"/>
          <c:y val="0.86672230664149441"/>
          <c:w val="0.99613593755326035"/>
          <c:h val="0.133277693358505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chemeClr val="tx1"/>
          </a:solidFill>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12666829478888"/>
          <c:y val="9.017132551848512E-3"/>
          <c:w val="0.79387694868289926"/>
          <c:h val="0.71269569662674037"/>
        </c:manualLayout>
      </c:layout>
      <c:barChart>
        <c:barDir val="bar"/>
        <c:grouping val="stacked"/>
        <c:varyColors val="0"/>
        <c:ser>
          <c:idx val="3"/>
          <c:order val="0"/>
          <c:tx>
            <c:v>A. Carer Payment</c:v>
          </c:tx>
          <c:spPr>
            <a:solidFill>
              <a:srgbClr val="E18BD7"/>
            </a:solidFill>
            <a:ln>
              <a:solidFill>
                <a:srgbClr val="E18BD7"/>
              </a:solidFill>
            </a:ln>
            <a:effectLst/>
          </c:spPr>
          <c:invertIfNegative val="0"/>
          <c:dLbls>
            <c:dLbl>
              <c:idx val="0"/>
              <c:layout>
                <c:manualLayout>
                  <c:x val="0.17246335153779821"/>
                  <c:y val="-4.7339768394595402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r>
                      <a:rPr lang="en-US" sz="800" b="0" i="0" u="none" strike="noStrike" kern="1200" baseline="0">
                        <a:solidFill>
                          <a:sysClr val="windowText" lastClr="000000"/>
                        </a:solidFill>
                        <a:latin typeface="Arial" panose="020B0604020202020204" pitchFamily="34" charset="0"/>
                      </a:rPr>
                      <a:t>A                                                  B CDE      F</a:t>
                    </a: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solidFill>
                      </a:defRPr>
                    </a:pPr>
                    <a:endParaRPr lang="en-US"/>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54134820169611597"/>
                      <c:h val="6.1249050361040294E-2"/>
                    </c:manualLayout>
                  </c15:layout>
                  <c15:showDataLabelsRange val="0"/>
                </c:ext>
                <c:ext xmlns:c16="http://schemas.microsoft.com/office/drawing/2014/chart" uri="{C3380CC4-5D6E-409C-BE32-E72D297353CC}">
                  <c16:uniqueId val="{00000005-E51A-476D-9663-6C92C680BB8F}"/>
                </c:ext>
              </c:extLst>
            </c:dLbl>
            <c:dLbl>
              <c:idx val="1"/>
              <c:layout>
                <c:manualLayout>
                  <c:x val="0.16384018396090824"/>
                  <c:y val="-4.5085485256633272E-2"/>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r>
                      <a:rPr lang="en-US" sz="800" b="0" i="0" u="none" strike="noStrike" kern="1200" baseline="0">
                        <a:solidFill>
                          <a:sysClr val="windowText" lastClr="000000"/>
                        </a:solidFill>
                        <a:latin typeface="Arial" panose="020B0604020202020204" pitchFamily="34" charset="0"/>
                      </a:rPr>
                      <a:t>A                                                          B   C   D-F</a:t>
                    </a: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solidFill>
                      </a:defRPr>
                    </a:pPr>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56661385636654571"/>
                      <c:h val="5.4982143237505582E-2"/>
                    </c:manualLayout>
                  </c15:layout>
                  <c15:showDataLabelsRange val="0"/>
                </c:ext>
                <c:ext xmlns:c16="http://schemas.microsoft.com/office/drawing/2014/chart" uri="{C3380CC4-5D6E-409C-BE32-E72D297353CC}">
                  <c16:uniqueId val="{00000004-E51A-476D-9663-6C92C680BB8F}"/>
                </c:ext>
              </c:extLst>
            </c:dLbl>
            <c:dLbl>
              <c:idx val="2"/>
              <c:layout>
                <c:manualLayout>
                  <c:x val="0.15809151874124386"/>
                  <c:y val="-4.9594229035166817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r>
                      <a:rPr lang="en-US" sz="800" b="0" i="0" u="none" strike="noStrike" kern="1200" baseline="0">
                        <a:solidFill>
                          <a:sysClr val="windowText" lastClr="000000"/>
                        </a:solidFill>
                        <a:latin typeface="Arial" panose="020B0604020202020204" pitchFamily="34" charset="0"/>
                      </a:rPr>
                      <a:t>A                                                          B  C  D-F</a:t>
                    </a: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solidFill>
                      </a:defRPr>
                    </a:pPr>
                    <a:endParaRPr lang="en-US"/>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63272480778936824"/>
                      <c:h val="4.596501068565708E-2"/>
                    </c:manualLayout>
                  </c15:layout>
                  <c15:showDataLabelsRange val="0"/>
                </c:ext>
                <c:ext xmlns:c16="http://schemas.microsoft.com/office/drawing/2014/chart" uri="{C3380CC4-5D6E-409C-BE32-E72D297353CC}">
                  <c16:uniqueId val="{00000003-E51A-476D-9663-6C92C680BB8F}"/>
                </c:ext>
              </c:extLst>
            </c:dLbl>
            <c:dLbl>
              <c:idx val="3"/>
              <c:layout>
                <c:manualLayout>
                  <c:x val="0.15378004811772775"/>
                  <c:y val="-4.5085485256633272E-2"/>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r>
                      <a:rPr lang="en-US" sz="800" b="0" i="0" u="none" strike="noStrike" kern="1200" baseline="0">
                        <a:solidFill>
                          <a:sysClr val="windowText" lastClr="000000"/>
                        </a:solidFill>
                        <a:latin typeface="Arial" panose="020B0604020202020204" pitchFamily="34" charset="0"/>
                      </a:rPr>
                      <a:t>A                                                         B C  D-F</a:t>
                    </a: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solidFill>
                      </a:defRPr>
                    </a:pPr>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52637240767439286"/>
                      <c:h val="5.4982143237505582E-2"/>
                    </c:manualLayout>
                  </c15:layout>
                  <c15:showDataLabelsRange val="0"/>
                </c:ext>
                <c:ext xmlns:c16="http://schemas.microsoft.com/office/drawing/2014/chart" uri="{C3380CC4-5D6E-409C-BE32-E72D297353CC}">
                  <c16:uniqueId val="{00000002-E51A-476D-9663-6C92C680BB8F}"/>
                </c:ext>
              </c:extLst>
            </c:dLbl>
            <c:dLbl>
              <c:idx val="4"/>
              <c:layout>
                <c:manualLayout>
                  <c:x val="0.15952860017246334"/>
                  <c:y val="-4.9594051532557526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r>
                      <a:rPr lang="en-US" sz="800" b="0" i="0" u="none" strike="noStrike" kern="1200" baseline="0">
                        <a:solidFill>
                          <a:sysClr val="windowText" lastClr="000000"/>
                        </a:solidFill>
                        <a:latin typeface="Arial" panose="020B0604020202020204" pitchFamily="34" charset="0"/>
                      </a:rPr>
                      <a:t>A                                               B C    D-F</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52062362928979955"/>
                      <c:h val="4.5965010685657066E-2"/>
                    </c:manualLayout>
                  </c15:layout>
                  <c15:showDataLabelsRange val="0"/>
                </c:ext>
                <c:ext xmlns:c16="http://schemas.microsoft.com/office/drawing/2014/chart" uri="{C3380CC4-5D6E-409C-BE32-E72D297353CC}">
                  <c16:uniqueId val="{00000001-E51A-476D-9663-6C92C680BB8F}"/>
                </c:ext>
              </c:extLst>
            </c:dLbl>
            <c:dLbl>
              <c:idx val="5"/>
              <c:layout>
                <c:manualLayout>
                  <c:x val="0.16958907551043037"/>
                  <c:y val="-4.0576918980709017E-2"/>
                </c:manualLayout>
              </c:layout>
              <c:tx>
                <c:rich>
                  <a:bodyPr/>
                  <a:lstStyle/>
                  <a:p>
                    <a:r>
                      <a:rPr lang="en-US"/>
                      <a:t>A                                   B   C   DEF</a:t>
                    </a:r>
                  </a:p>
                </c:rich>
              </c:tx>
              <c:showLegendKey val="0"/>
              <c:showVal val="1"/>
              <c:showCatName val="0"/>
              <c:showSerName val="0"/>
              <c:showPercent val="0"/>
              <c:showBubbleSize val="0"/>
              <c:extLst>
                <c:ext xmlns:c15="http://schemas.microsoft.com/office/drawing/2012/chart" uri="{CE6537A1-D6FC-4f65-9D91-7224C49458BB}">
                  <c15:layout>
                    <c:manualLayout>
                      <c:w val="0.44876389948238354"/>
                      <c:h val="5.4982143237505582E-2"/>
                    </c:manualLayout>
                  </c15:layout>
                  <c15:showDataLabelsRange val="0"/>
                </c:ext>
                <c:ext xmlns:c16="http://schemas.microsoft.com/office/drawing/2014/chart" uri="{C3380CC4-5D6E-409C-BE32-E72D297353CC}">
                  <c16:uniqueId val="{00000000-E51A-476D-9663-6C92C680BB8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duration_5_yrs_age!$B$24:$B$29</c:f>
              <c:strCache>
                <c:ptCount val="6"/>
                <c:pt idx="0">
                  <c:v>60-69</c:v>
                </c:pt>
                <c:pt idx="1">
                  <c:v>50-59</c:v>
                </c:pt>
                <c:pt idx="2">
                  <c:v>40-49</c:v>
                </c:pt>
                <c:pt idx="3">
                  <c:v>30-39</c:v>
                </c:pt>
                <c:pt idx="4">
                  <c:v>20-29</c:v>
                </c:pt>
                <c:pt idx="5">
                  <c:v>Below 20</c:v>
                </c:pt>
              </c:strCache>
            </c:strRef>
          </c:cat>
          <c:val>
            <c:numRef>
              <c:f>'[Chart in Microsoft Word]duration_5_yrs_age'!$F$17:$F$22</c:f>
              <c:numCache>
                <c:formatCode>0.0</c:formatCode>
                <c:ptCount val="6"/>
                <c:pt idx="0">
                  <c:v>3.6263166911289288</c:v>
                </c:pt>
                <c:pt idx="1">
                  <c:v>3.9419682490426897</c:v>
                </c:pt>
                <c:pt idx="2">
                  <c:v>3.9233606174139015</c:v>
                </c:pt>
                <c:pt idx="3">
                  <c:v>3.8529786548639406</c:v>
                </c:pt>
                <c:pt idx="4">
                  <c:v>3.4161736095790172</c:v>
                </c:pt>
                <c:pt idx="5">
                  <c:v>2.8962761643835635</c:v>
                </c:pt>
              </c:numCache>
            </c:numRef>
          </c:val>
          <c:extLst>
            <c:ext xmlns:c16="http://schemas.microsoft.com/office/drawing/2014/chart" uri="{C3380CC4-5D6E-409C-BE32-E72D297353CC}">
              <c16:uniqueId val="{00000000-F080-4E7D-B97B-EF6CD36F374D}"/>
            </c:ext>
          </c:extLst>
        </c:ser>
        <c:ser>
          <c:idx val="0"/>
          <c:order val="1"/>
          <c:tx>
            <c:v>B. Studying payments</c:v>
          </c:tx>
          <c:spPr>
            <a:solidFill>
              <a:srgbClr val="1F497D"/>
            </a:solidFill>
            <a:ln>
              <a:solidFill>
                <a:srgbClr val="1F497D"/>
              </a:solidFill>
            </a:ln>
            <a:effectLst/>
          </c:spPr>
          <c:invertIfNegative val="0"/>
          <c:dLbls>
            <c:delete val="1"/>
          </c:dLbls>
          <c:cat>
            <c:strRef>
              <c:f>duration_5_yrs_age!$B$24:$B$29</c:f>
              <c:strCache>
                <c:ptCount val="6"/>
                <c:pt idx="0">
                  <c:v>60-69</c:v>
                </c:pt>
                <c:pt idx="1">
                  <c:v>50-59</c:v>
                </c:pt>
                <c:pt idx="2">
                  <c:v>40-49</c:v>
                </c:pt>
                <c:pt idx="3">
                  <c:v>30-39</c:v>
                </c:pt>
                <c:pt idx="4">
                  <c:v>20-29</c:v>
                </c:pt>
                <c:pt idx="5">
                  <c:v>Below 20</c:v>
                </c:pt>
              </c:strCache>
            </c:strRef>
          </c:cat>
          <c:val>
            <c:numRef>
              <c:f>'[Chart in Microsoft Word]duration_5_yrs_age'!$C$17:$C$22</c:f>
              <c:numCache>
                <c:formatCode>0.0</c:formatCode>
                <c:ptCount val="6"/>
                <c:pt idx="0">
                  <c:v>8.7887325534025649E-4</c:v>
                </c:pt>
                <c:pt idx="1">
                  <c:v>2.8221096214251433E-3</c:v>
                </c:pt>
                <c:pt idx="2">
                  <c:v>5.1316526508923734E-3</c:v>
                </c:pt>
                <c:pt idx="3">
                  <c:v>7.8925502603935105E-3</c:v>
                </c:pt>
                <c:pt idx="4">
                  <c:v>2.5269259311257789E-2</c:v>
                </c:pt>
                <c:pt idx="5">
                  <c:v>0.1082213698630137</c:v>
                </c:pt>
              </c:numCache>
            </c:numRef>
          </c:val>
          <c:extLst>
            <c:ext xmlns:c16="http://schemas.microsoft.com/office/drawing/2014/chart" uri="{C3380CC4-5D6E-409C-BE32-E72D297353CC}">
              <c16:uniqueId val="{00000001-F080-4E7D-B97B-EF6CD36F374D}"/>
            </c:ext>
          </c:extLst>
        </c:ser>
        <c:ser>
          <c:idx val="1"/>
          <c:order val="2"/>
          <c:tx>
            <c:v>C. Working age payments</c:v>
          </c:tx>
          <c:spPr>
            <a:solidFill>
              <a:srgbClr val="009644"/>
            </a:solidFill>
            <a:ln>
              <a:solidFill>
                <a:srgbClr val="009644"/>
              </a:solidFill>
            </a:ln>
            <a:effectLst/>
          </c:spPr>
          <c:invertIfNegative val="0"/>
          <c:dLbls>
            <c:delete val="1"/>
          </c:dLbls>
          <c:cat>
            <c:strRef>
              <c:f>duration_5_yrs_age!$B$24:$B$29</c:f>
              <c:strCache>
                <c:ptCount val="6"/>
                <c:pt idx="0">
                  <c:v>60-69</c:v>
                </c:pt>
                <c:pt idx="1">
                  <c:v>50-59</c:v>
                </c:pt>
                <c:pt idx="2">
                  <c:v>40-49</c:v>
                </c:pt>
                <c:pt idx="3">
                  <c:v>30-39</c:v>
                </c:pt>
                <c:pt idx="4">
                  <c:v>20-29</c:v>
                </c:pt>
                <c:pt idx="5">
                  <c:v>Below 20</c:v>
                </c:pt>
              </c:strCache>
            </c:strRef>
          </c:cat>
          <c:val>
            <c:numRef>
              <c:f>'[Chart in Microsoft Word]duration_5_yrs_age'!$D$17:$D$22</c:f>
              <c:numCache>
                <c:formatCode>0.0</c:formatCode>
                <c:ptCount val="6"/>
                <c:pt idx="0">
                  <c:v>0.23640384979442997</c:v>
                </c:pt>
                <c:pt idx="1">
                  <c:v>0.46563470687365632</c:v>
                </c:pt>
                <c:pt idx="2">
                  <c:v>0.37506207461300045</c:v>
                </c:pt>
                <c:pt idx="3">
                  <c:v>0.29555433737839609</c:v>
                </c:pt>
                <c:pt idx="4">
                  <c:v>0.29202273488157987</c:v>
                </c:pt>
                <c:pt idx="5">
                  <c:v>0.36022356164383557</c:v>
                </c:pt>
              </c:numCache>
            </c:numRef>
          </c:val>
          <c:extLst>
            <c:ext xmlns:c16="http://schemas.microsoft.com/office/drawing/2014/chart" uri="{C3380CC4-5D6E-409C-BE32-E72D297353CC}">
              <c16:uniqueId val="{00000002-F080-4E7D-B97B-EF6CD36F374D}"/>
            </c:ext>
          </c:extLst>
        </c:ser>
        <c:ser>
          <c:idx val="2"/>
          <c:order val="3"/>
          <c:tx>
            <c:v>D. Parenting Payment</c:v>
          </c:tx>
          <c:spPr>
            <a:solidFill>
              <a:srgbClr val="E26B0A"/>
            </a:solidFill>
            <a:ln>
              <a:solidFill>
                <a:srgbClr val="E26B0A"/>
              </a:solidFill>
            </a:ln>
            <a:effectLst/>
          </c:spPr>
          <c:invertIfNegative val="0"/>
          <c:dLbls>
            <c:delete val="1"/>
          </c:dLbls>
          <c:cat>
            <c:strRef>
              <c:f>duration_5_yrs_age!$B$24:$B$29</c:f>
              <c:strCache>
                <c:ptCount val="6"/>
                <c:pt idx="0">
                  <c:v>60-69</c:v>
                </c:pt>
                <c:pt idx="1">
                  <c:v>50-59</c:v>
                </c:pt>
                <c:pt idx="2">
                  <c:v>40-49</c:v>
                </c:pt>
                <c:pt idx="3">
                  <c:v>30-39</c:v>
                </c:pt>
                <c:pt idx="4">
                  <c:v>20-29</c:v>
                </c:pt>
                <c:pt idx="5">
                  <c:v>Below 20</c:v>
                </c:pt>
              </c:strCache>
            </c:strRef>
          </c:cat>
          <c:val>
            <c:numRef>
              <c:f>'[Chart in Microsoft Word]duration_5_yrs_age'!$E$17:$E$22</c:f>
              <c:numCache>
                <c:formatCode>0.0</c:formatCode>
                <c:ptCount val="6"/>
                <c:pt idx="0">
                  <c:v>1.2699148667619745E-3</c:v>
                </c:pt>
                <c:pt idx="1">
                  <c:v>5.8975621395606585E-3</c:v>
                </c:pt>
                <c:pt idx="2">
                  <c:v>2.4328482056691917E-2</c:v>
                </c:pt>
                <c:pt idx="3">
                  <c:v>0.10800501993217949</c:v>
                </c:pt>
                <c:pt idx="4">
                  <c:v>0.18309586881158699</c:v>
                </c:pt>
                <c:pt idx="5">
                  <c:v>0.19493260273972604</c:v>
                </c:pt>
              </c:numCache>
            </c:numRef>
          </c:val>
          <c:extLst>
            <c:ext xmlns:c16="http://schemas.microsoft.com/office/drawing/2014/chart" uri="{C3380CC4-5D6E-409C-BE32-E72D297353CC}">
              <c16:uniqueId val="{00000003-F080-4E7D-B97B-EF6CD36F374D}"/>
            </c:ext>
          </c:extLst>
        </c:ser>
        <c:ser>
          <c:idx val="4"/>
          <c:order val="4"/>
          <c:tx>
            <c:v>E. DSP</c:v>
          </c:tx>
          <c:spPr>
            <a:solidFill>
              <a:srgbClr val="8064A2"/>
            </a:solidFill>
            <a:ln>
              <a:solidFill>
                <a:srgbClr val="8064A2"/>
              </a:solidFill>
            </a:ln>
            <a:effectLst/>
          </c:spPr>
          <c:invertIfNegative val="0"/>
          <c:dLbls>
            <c:delete val="1"/>
          </c:dLbls>
          <c:cat>
            <c:strRef>
              <c:f>duration_5_yrs_age!$B$24:$B$29</c:f>
              <c:strCache>
                <c:ptCount val="6"/>
                <c:pt idx="0">
                  <c:v>60-69</c:v>
                </c:pt>
                <c:pt idx="1">
                  <c:v>50-59</c:v>
                </c:pt>
                <c:pt idx="2">
                  <c:v>40-49</c:v>
                </c:pt>
                <c:pt idx="3">
                  <c:v>30-39</c:v>
                </c:pt>
                <c:pt idx="4">
                  <c:v>20-29</c:v>
                </c:pt>
                <c:pt idx="5">
                  <c:v>Below 20</c:v>
                </c:pt>
              </c:strCache>
            </c:strRef>
          </c:cat>
          <c:val>
            <c:numRef>
              <c:f>'[Chart in Microsoft Word]duration_5_yrs_age'!$G$17:$G$22</c:f>
              <c:numCache>
                <c:formatCode>0.0</c:formatCode>
                <c:ptCount val="6"/>
                <c:pt idx="0">
                  <c:v>3.8592264313359763E-2</c:v>
                </c:pt>
                <c:pt idx="1">
                  <c:v>7.1829027886045935E-2</c:v>
                </c:pt>
                <c:pt idx="2">
                  <c:v>4.4150415298452941E-2</c:v>
                </c:pt>
                <c:pt idx="3">
                  <c:v>2.6812665524706999E-2</c:v>
                </c:pt>
                <c:pt idx="4">
                  <c:v>2.3673837143822509E-2</c:v>
                </c:pt>
                <c:pt idx="5">
                  <c:v>2.2143561643835616E-2</c:v>
                </c:pt>
              </c:numCache>
            </c:numRef>
          </c:val>
          <c:extLst>
            <c:ext xmlns:c16="http://schemas.microsoft.com/office/drawing/2014/chart" uri="{C3380CC4-5D6E-409C-BE32-E72D297353CC}">
              <c16:uniqueId val="{00000004-F080-4E7D-B97B-EF6CD36F374D}"/>
            </c:ext>
          </c:extLst>
        </c:ser>
        <c:ser>
          <c:idx val="5"/>
          <c:order val="5"/>
          <c:tx>
            <c:v>F. Age Pension</c:v>
          </c:tx>
          <c:spPr>
            <a:solidFill>
              <a:srgbClr val="C0504D"/>
            </a:solidFill>
            <a:ln>
              <a:solidFill>
                <a:srgbClr val="C0504D"/>
              </a:solidFill>
            </a:ln>
            <a:effectLst/>
          </c:spPr>
          <c:invertIfNegative val="0"/>
          <c:dLbls>
            <c:dLbl>
              <c:idx val="0"/>
              <c:layout>
                <c:manualLayout>
                  <c:x val="9.1275167785234701E-2"/>
                  <c:y val="0"/>
                </c:manualLayout>
              </c:layout>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080-4E7D-B97B-EF6CD36F374D}"/>
                </c:ext>
              </c:extLst>
            </c:dLbl>
            <c:dLbl>
              <c:idx val="1"/>
              <c:layout>
                <c:manualLayout>
                  <c:x val="2.4161073825503258E-2"/>
                  <c:y val="0"/>
                </c:manualLayout>
              </c:layout>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080-4E7D-B97B-EF6CD36F374D}"/>
                </c:ext>
              </c:extLst>
            </c:dLbl>
            <c:dLbl>
              <c:idx val="2"/>
              <c:layout>
                <c:manualLayout>
                  <c:x val="2.684563758389252E-2"/>
                  <c:y val="-4.0740270105663978E-17"/>
                </c:manualLayout>
              </c:layout>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080-4E7D-B97B-EF6CD36F374D}"/>
                </c:ext>
              </c:extLst>
            </c:dLbl>
            <c:dLbl>
              <c:idx val="3"/>
              <c:layout>
                <c:manualLayout>
                  <c:x val="2.9530201342281879E-2"/>
                  <c:y val="-4.0740270105663978E-17"/>
                </c:manualLayout>
              </c:layout>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080-4E7D-B97B-EF6CD36F374D}"/>
                </c:ext>
              </c:extLst>
            </c:dLbl>
            <c:dLbl>
              <c:idx val="4"/>
              <c:layout>
                <c:manualLayout>
                  <c:x val="2.9530201342281681E-2"/>
                  <c:y val="0"/>
                </c:manualLayout>
              </c:layout>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080-4E7D-B97B-EF6CD36F374D}"/>
                </c:ext>
              </c:extLst>
            </c:dLbl>
            <c:dLbl>
              <c:idx val="5"/>
              <c:layout>
                <c:manualLayout>
                  <c:x val="2.684563758389252E-2"/>
                  <c:y val="0"/>
                </c:manualLayout>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080-4E7D-B97B-EF6CD36F374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duration_5_yrs_age!$B$24:$B$29</c:f>
              <c:strCache>
                <c:ptCount val="6"/>
                <c:pt idx="0">
                  <c:v>60-69</c:v>
                </c:pt>
                <c:pt idx="1">
                  <c:v>50-59</c:v>
                </c:pt>
                <c:pt idx="2">
                  <c:v>40-49</c:v>
                </c:pt>
                <c:pt idx="3">
                  <c:v>30-39</c:v>
                </c:pt>
                <c:pt idx="4">
                  <c:v>20-29</c:v>
                </c:pt>
                <c:pt idx="5">
                  <c:v>Below 20</c:v>
                </c:pt>
              </c:strCache>
            </c:strRef>
          </c:cat>
          <c:val>
            <c:numRef>
              <c:f>'[Chart in Microsoft Word]duration_5_yrs_age'!$H$17:$H$22</c:f>
              <c:numCache>
                <c:formatCode>0.0</c:formatCode>
                <c:ptCount val="6"/>
                <c:pt idx="0">
                  <c:v>0.73607612925968013</c:v>
                </c:pt>
                <c:pt idx="1">
                  <c:v>0</c:v>
                </c:pt>
                <c:pt idx="2">
                  <c:v>0</c:v>
                </c:pt>
                <c:pt idx="3">
                  <c:v>0</c:v>
                </c:pt>
                <c:pt idx="4">
                  <c:v>0</c:v>
                </c:pt>
                <c:pt idx="5">
                  <c:v>0</c:v>
                </c:pt>
              </c:numCache>
            </c:numRef>
          </c:val>
          <c:extLst>
            <c:ext xmlns:c16="http://schemas.microsoft.com/office/drawing/2014/chart" uri="{C3380CC4-5D6E-409C-BE32-E72D297353CC}">
              <c16:uniqueId val="{0000000B-F080-4E7D-B97B-EF6CD36F374D}"/>
            </c:ext>
          </c:extLst>
        </c:ser>
        <c:dLbls>
          <c:showLegendKey val="0"/>
          <c:showVal val="1"/>
          <c:showCatName val="0"/>
          <c:showSerName val="0"/>
          <c:showPercent val="0"/>
          <c:showBubbleSize val="0"/>
        </c:dLbls>
        <c:gapWidth val="150"/>
        <c:overlap val="100"/>
        <c:axId val="560349184"/>
        <c:axId val="560347216"/>
        <c:extLst/>
      </c:barChart>
      <c:catAx>
        <c:axId val="56034918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Age group</a:t>
                </a:r>
              </a:p>
            </c:rich>
          </c:tx>
          <c:layout>
            <c:manualLayout>
              <c:xMode val="edge"/>
              <c:yMode val="edge"/>
              <c:x val="0"/>
              <c:y val="0.2430713631490382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60347216"/>
        <c:crosses val="autoZero"/>
        <c:auto val="1"/>
        <c:lblAlgn val="ctr"/>
        <c:lblOffset val="100"/>
        <c:noMultiLvlLbl val="0"/>
      </c:catAx>
      <c:valAx>
        <c:axId val="560347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Years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60349184"/>
        <c:crosses val="autoZero"/>
        <c:crossBetween val="between"/>
        <c:majorUnit val="1"/>
      </c:valAx>
      <c:spPr>
        <a:noFill/>
        <a:ln>
          <a:noFill/>
        </a:ln>
        <a:effectLst/>
      </c:spPr>
    </c:plotArea>
    <c:legend>
      <c:legendPos val="b"/>
      <c:layout>
        <c:manualLayout>
          <c:xMode val="edge"/>
          <c:yMode val="edge"/>
          <c:x val="3.3776205726746313E-3"/>
          <c:y val="0.87219421625497906"/>
          <c:w val="0.99662237942732534"/>
          <c:h val="0.125890175585581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chemeClr val="tx1"/>
          </a:solidFill>
          <a:latin typeface="Arial" panose="020B0604020202020204" pitchFamily="34" charset="0"/>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26546185622137"/>
          <c:y val="4.217813384680609E-4"/>
          <c:w val="0.83317688699172787"/>
          <c:h val="0.88318903368519996"/>
        </c:manualLayout>
      </c:layout>
      <c:barChart>
        <c:barDir val="bar"/>
        <c:grouping val="clustered"/>
        <c:varyColors val="0"/>
        <c:ser>
          <c:idx val="1"/>
          <c:order val="0"/>
          <c:tx>
            <c:v>Carer Payment</c:v>
          </c:tx>
          <c:spPr>
            <a:solidFill>
              <a:srgbClr val="E18BD7"/>
            </a:solidFill>
            <a:ln>
              <a:noFill/>
            </a:ln>
            <a:effectLst/>
          </c:spPr>
          <c:invertIfNegative val="0"/>
          <c:dLbls>
            <c:dLbl>
              <c:idx val="2"/>
              <c:layout>
                <c:manualLayout>
                  <c:x val="-0.51859664330949462"/>
                  <c:y val="5.658369472882640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D0-4651-B34B-0926663B8BDD}"/>
                </c:ext>
              </c:extLst>
            </c:dLbl>
            <c:dLbl>
              <c:idx val="3"/>
              <c:layout>
                <c:manualLayout>
                  <c:x val="-0.4601278142984420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D0-4651-B34B-0926663B8BDD}"/>
                </c:ext>
              </c:extLst>
            </c:dLbl>
            <c:dLbl>
              <c:idx val="4"/>
              <c:layout>
                <c:manualLayout>
                  <c:x val="-0.35929456524356479"/>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D0-4651-B34B-0926663B8BD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3 in Microsoft Word]LTC_pay_all'!$B$14:$B$19</c:f>
              <c:strCache>
                <c:ptCount val="6"/>
                <c:pt idx="0">
                  <c:v>Below 20</c:v>
                </c:pt>
                <c:pt idx="1">
                  <c:v>20-29</c:v>
                </c:pt>
                <c:pt idx="2">
                  <c:v>30-39</c:v>
                </c:pt>
                <c:pt idx="3">
                  <c:v>40-49</c:v>
                </c:pt>
                <c:pt idx="4">
                  <c:v>50-59</c:v>
                </c:pt>
                <c:pt idx="5">
                  <c:v>60-69</c:v>
                </c:pt>
              </c:strCache>
            </c:strRef>
          </c:cat>
          <c:val>
            <c:numRef>
              <c:f>'[Chart 3 in Microsoft Word]LTC_pay_all'!$F$8:$F$13</c:f>
              <c:numCache>
                <c:formatCode>_-"$"* #,##0_-;\-"$"* #,##0_-;_-"$"* "-"??_-;_-@_-</c:formatCode>
                <c:ptCount val="6"/>
                <c:pt idx="0">
                  <c:v>571000</c:v>
                </c:pt>
                <c:pt idx="1">
                  <c:v>733000</c:v>
                </c:pt>
                <c:pt idx="2">
                  <c:v>808000</c:v>
                </c:pt>
                <c:pt idx="3">
                  <c:v>704000</c:v>
                </c:pt>
                <c:pt idx="4">
                  <c:v>582000</c:v>
                </c:pt>
                <c:pt idx="5">
                  <c:v>468000</c:v>
                </c:pt>
              </c:numCache>
            </c:numRef>
          </c:val>
          <c:extLst>
            <c:ext xmlns:c16="http://schemas.microsoft.com/office/drawing/2014/chart" uri="{C3380CC4-5D6E-409C-BE32-E72D297353CC}">
              <c16:uniqueId val="{00000003-B0D0-4651-B34B-0926663B8BDD}"/>
            </c:ext>
          </c:extLst>
        </c:ser>
        <c:ser>
          <c:idx val="0"/>
          <c:order val="1"/>
          <c:tx>
            <c:v>Supplementary carer payments only</c:v>
          </c:tx>
          <c:spPr>
            <a:solidFill>
              <a:srgbClr val="C3D69B"/>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B0D0-4651-B34B-0926663B8BDD}"/>
                </c:ext>
              </c:extLst>
            </c:dLbl>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3 in Microsoft Word]LTC_pay_all'!$B$14:$B$19</c:f>
              <c:strCache>
                <c:ptCount val="6"/>
                <c:pt idx="0">
                  <c:v>Below 20</c:v>
                </c:pt>
                <c:pt idx="1">
                  <c:v>20-29</c:v>
                </c:pt>
                <c:pt idx="2">
                  <c:v>30-39</c:v>
                </c:pt>
                <c:pt idx="3">
                  <c:v>40-49</c:v>
                </c:pt>
                <c:pt idx="4">
                  <c:v>50-59</c:v>
                </c:pt>
                <c:pt idx="5">
                  <c:v>60-69</c:v>
                </c:pt>
              </c:strCache>
            </c:strRef>
          </c:cat>
          <c:val>
            <c:numRef>
              <c:f>'[Chart 3 in Microsoft Word]LTC_pay_all'!$F$2:$F$7</c:f>
              <c:numCache>
                <c:formatCode>_-"$"* #,##0_-;\-"$"* #,##0_-;_-"$"* "-"??_-;_-@_-</c:formatCode>
                <c:ptCount val="6"/>
                <c:pt idx="0" formatCode="General">
                  <c:v>0</c:v>
                </c:pt>
                <c:pt idx="1">
                  <c:v>613000</c:v>
                </c:pt>
                <c:pt idx="2">
                  <c:v>454000</c:v>
                </c:pt>
                <c:pt idx="3">
                  <c:v>349000</c:v>
                </c:pt>
                <c:pt idx="4">
                  <c:v>321000</c:v>
                </c:pt>
                <c:pt idx="5">
                  <c:v>302000</c:v>
                </c:pt>
              </c:numCache>
            </c:numRef>
          </c:val>
          <c:extLst>
            <c:ext xmlns:c16="http://schemas.microsoft.com/office/drawing/2014/chart" uri="{C3380CC4-5D6E-409C-BE32-E72D297353CC}">
              <c16:uniqueId val="{00000004-B0D0-4651-B34B-0926663B8BDD}"/>
            </c:ext>
          </c:extLst>
        </c:ser>
        <c:ser>
          <c:idx val="2"/>
          <c:order val="2"/>
          <c:tx>
            <c:v>All Australians in age group</c:v>
          </c:tx>
          <c:spPr>
            <a:solidFill>
              <a:srgbClr val="7F7F7F"/>
            </a:solidFill>
            <a:ln>
              <a:noFill/>
            </a:ln>
            <a:effectLst/>
          </c:spPr>
          <c:invertIfNegative val="0"/>
          <c:dLbls>
            <c:dLbl>
              <c:idx val="0"/>
              <c:layout>
                <c:manualLayout>
                  <c:x val="-0.16414141414141417"/>
                  <c:y val="7.29075532225138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D0-4651-B34B-0926663B8BDD}"/>
                </c:ext>
              </c:extLst>
            </c:dLbl>
            <c:dLbl>
              <c:idx val="1"/>
              <c:layout>
                <c:manualLayout>
                  <c:x val="-0.18837920489296636"/>
                  <c:y val="-3.08641900300889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D0-4651-B34B-0926663B8BDD}"/>
                </c:ext>
              </c:extLst>
            </c:dLbl>
            <c:dLbl>
              <c:idx val="2"/>
              <c:layout>
                <c:manualLayout>
                  <c:x val="-0.19082568807339451"/>
                  <c:y val="1.13167389457652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D0-4651-B34B-0926663B8BDD}"/>
                </c:ext>
              </c:extLst>
            </c:dLbl>
            <c:dLbl>
              <c:idx val="3"/>
              <c:layout>
                <c:manualLayout>
                  <c:x val="-0.1834862385321101"/>
                  <c:y val="3.0864190030090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D0-4651-B34B-0926663B8BDD}"/>
                </c:ext>
              </c:extLst>
            </c:dLbl>
            <c:dLbl>
              <c:idx val="4"/>
              <c:layout>
                <c:manualLayout>
                  <c:x val="-0.1859327217125382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D0-4651-B34B-0926663B8BDD}"/>
                </c:ext>
              </c:extLst>
            </c:dLbl>
            <c:dLbl>
              <c:idx val="5"/>
              <c:layout>
                <c:manualLayout>
                  <c:x val="-0.1932721712538226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0D0-4651-B34B-0926663B8BD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3 in Microsoft Word]LTC_pay_all'!$B$14:$B$19</c:f>
              <c:strCache>
                <c:ptCount val="6"/>
                <c:pt idx="0">
                  <c:v>Below 20</c:v>
                </c:pt>
                <c:pt idx="1">
                  <c:v>20-29</c:v>
                </c:pt>
                <c:pt idx="2">
                  <c:v>30-39</c:v>
                </c:pt>
                <c:pt idx="3">
                  <c:v>40-49</c:v>
                </c:pt>
                <c:pt idx="4">
                  <c:v>50-59</c:v>
                </c:pt>
                <c:pt idx="5">
                  <c:v>60-69</c:v>
                </c:pt>
              </c:strCache>
            </c:strRef>
          </c:cat>
          <c:val>
            <c:numRef>
              <c:f>'[Chart 3 in Microsoft Word]LTC_pay_all'!$F$14:$F$19</c:f>
              <c:numCache>
                <c:formatCode>_-"$"* #,##0_-;\-"$"* #,##0_-;_-"$"* "-"??_-;_-@_-</c:formatCode>
                <c:ptCount val="6"/>
                <c:pt idx="0">
                  <c:v>202000</c:v>
                </c:pt>
                <c:pt idx="1">
                  <c:v>234000</c:v>
                </c:pt>
                <c:pt idx="2">
                  <c:v>234000</c:v>
                </c:pt>
                <c:pt idx="3">
                  <c:v>225000</c:v>
                </c:pt>
                <c:pt idx="4">
                  <c:v>220000</c:v>
                </c:pt>
                <c:pt idx="5">
                  <c:v>222000</c:v>
                </c:pt>
              </c:numCache>
            </c:numRef>
          </c:val>
          <c:extLst>
            <c:ext xmlns:c16="http://schemas.microsoft.com/office/drawing/2014/chart" uri="{C3380CC4-5D6E-409C-BE32-E72D297353CC}">
              <c16:uniqueId val="{0000000B-B0D0-4651-B34B-0926663B8BDD}"/>
            </c:ext>
          </c:extLst>
        </c:ser>
        <c:dLbls>
          <c:showLegendKey val="0"/>
          <c:showVal val="0"/>
          <c:showCatName val="0"/>
          <c:showSerName val="0"/>
          <c:showPercent val="0"/>
          <c:showBubbleSize val="0"/>
        </c:dLbls>
        <c:gapWidth val="100"/>
        <c:axId val="706412192"/>
        <c:axId val="706407928"/>
      </c:barChart>
      <c:catAx>
        <c:axId val="706412192"/>
        <c:scaling>
          <c:orientation val="maxMin"/>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Age group</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706407928"/>
        <c:crosses val="autoZero"/>
        <c:auto val="1"/>
        <c:lblAlgn val="ctr"/>
        <c:lblOffset val="100"/>
        <c:noMultiLvlLbl val="0"/>
      </c:catAx>
      <c:valAx>
        <c:axId val="706407928"/>
        <c:scaling>
          <c:orientation val="minMax"/>
        </c:scaling>
        <c:delete val="1"/>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Lifetime Cost ($)</a:t>
                </a:r>
              </a:p>
            </c:rich>
          </c:tx>
          <c:layout>
            <c:manualLayout>
              <c:xMode val="edge"/>
              <c:yMode val="edge"/>
              <c:x val="0.40690262981833147"/>
              <c:y val="0.8802097212509147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0" sourceLinked="0"/>
        <c:majorTickMark val="none"/>
        <c:minorTickMark val="none"/>
        <c:tickLblPos val="nextTo"/>
        <c:crossAx val="706412192"/>
        <c:crosses val="autoZero"/>
        <c:crossBetween val="between"/>
      </c:valAx>
      <c:spPr>
        <a:noFill/>
        <a:ln>
          <a:noFill/>
        </a:ln>
        <a:effectLst/>
      </c:spPr>
    </c:plotArea>
    <c:legend>
      <c:legendPos val="b"/>
      <c:layout>
        <c:manualLayout>
          <c:xMode val="edge"/>
          <c:yMode val="edge"/>
          <c:x val="4.4820430078902082E-3"/>
          <c:y val="0.92774146981627292"/>
          <c:w val="0.99551795699210976"/>
          <c:h val="7.22585301837270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showDLblsOverMax val="0"/>
  </c:chart>
  <c:spPr>
    <a:noFill/>
    <a:ln w="6350" cap="flat" cmpd="sng" algn="ctr">
      <a:noFill/>
      <a:round/>
    </a:ln>
    <a:effectLst/>
  </c:spPr>
  <c:txPr>
    <a:bodyPr/>
    <a:lstStyle/>
    <a:p>
      <a:pPr>
        <a:defRPr sz="900" baseline="0">
          <a:solidFill>
            <a:schemeClr val="tx1"/>
          </a:solidFill>
          <a:latin typeface="Arial" panose="020B0604020202020204" pitchFamily="34" charset="0"/>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87946728992655E-3"/>
          <c:y val="7.7294685990338161E-2"/>
          <c:w val="0.96103895819313678"/>
          <c:h val="0.86473429951690817"/>
        </c:manualLayout>
      </c:layout>
      <c:barChart>
        <c:barDir val="bar"/>
        <c:grouping val="stacked"/>
        <c:varyColors val="0"/>
        <c:ser>
          <c:idx val="0"/>
          <c:order val="0"/>
          <c:spPr>
            <a:solidFill>
              <a:srgbClr val="74000E"/>
            </a:solidFill>
            <a:ln>
              <a:solidFill>
                <a:sysClr val="windowText" lastClr="000000"/>
              </a:solidFill>
            </a:ln>
            <a:effectLst/>
          </c:spPr>
          <c:invertIfNegative val="0"/>
          <c:dLbls>
            <c:dLbl>
              <c:idx val="0"/>
              <c:tx>
                <c:rich>
                  <a:bodyPr/>
                  <a:lstStyle/>
                  <a:p>
                    <a:r>
                      <a:rPr lang="en-US">
                        <a:solidFill>
                          <a:schemeClr val="bg1"/>
                        </a:solidFill>
                      </a:rPr>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F41-46DF-8126-BA0EF8F7B9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Sheet1!$P$10</c:f>
              <c:numCache>
                <c:formatCode>0%</c:formatCode>
                <c:ptCount val="1"/>
                <c:pt idx="0">
                  <c:v>3.7499999999999999E-2</c:v>
                </c:pt>
              </c:numCache>
            </c:numRef>
          </c:val>
          <c:extLst>
            <c:ext xmlns:c16="http://schemas.microsoft.com/office/drawing/2014/chart" uri="{C3380CC4-5D6E-409C-BE32-E72D297353CC}">
              <c16:uniqueId val="{00000001-BF41-46DF-8126-BA0EF8F7B9DA}"/>
            </c:ext>
          </c:extLst>
        </c:ser>
        <c:ser>
          <c:idx val="1"/>
          <c:order val="1"/>
          <c:spPr>
            <a:solidFill>
              <a:schemeClr val="accent2"/>
            </a:solidFill>
            <a:ln>
              <a:solidFill>
                <a:schemeClr val="tx1"/>
              </a:solidFill>
            </a:ln>
            <a:effectLst/>
          </c:spPr>
          <c:invertIfNegative val="0"/>
          <c:dPt>
            <c:idx val="0"/>
            <c:invertIfNegative val="0"/>
            <c:bubble3D val="0"/>
            <c:spPr>
              <a:solidFill>
                <a:srgbClr val="D9D9D9"/>
              </a:solidFill>
              <a:ln>
                <a:solidFill>
                  <a:schemeClr val="tx1"/>
                </a:solidFill>
              </a:ln>
              <a:effectLst/>
            </c:spPr>
            <c:extLst>
              <c:ext xmlns:c16="http://schemas.microsoft.com/office/drawing/2014/chart" uri="{C3380CC4-5D6E-409C-BE32-E72D297353CC}">
                <c16:uniqueId val="{00000003-BF41-46DF-8126-BA0EF8F7B9DA}"/>
              </c:ext>
            </c:extLst>
          </c:dPt>
          <c:val>
            <c:numRef>
              <c:f>Sheet1!$Q$10</c:f>
              <c:numCache>
                <c:formatCode>0%</c:formatCode>
                <c:ptCount val="1"/>
                <c:pt idx="0">
                  <c:v>0.96250000000000002</c:v>
                </c:pt>
              </c:numCache>
            </c:numRef>
          </c:val>
          <c:extLst>
            <c:ext xmlns:c16="http://schemas.microsoft.com/office/drawing/2014/chart" uri="{C3380CC4-5D6E-409C-BE32-E72D297353CC}">
              <c16:uniqueId val="{00000004-BF41-46DF-8126-BA0EF8F7B9DA}"/>
            </c:ext>
          </c:extLst>
        </c:ser>
        <c:dLbls>
          <c:showLegendKey val="0"/>
          <c:showVal val="0"/>
          <c:showCatName val="0"/>
          <c:showSerName val="0"/>
          <c:showPercent val="0"/>
          <c:showBubbleSize val="0"/>
        </c:dLbls>
        <c:gapWidth val="0"/>
        <c:overlap val="100"/>
        <c:axId val="701237368"/>
        <c:axId val="701239992"/>
      </c:barChart>
      <c:catAx>
        <c:axId val="701237368"/>
        <c:scaling>
          <c:orientation val="minMax"/>
        </c:scaling>
        <c:delete val="1"/>
        <c:axPos val="l"/>
        <c:numFmt formatCode="0%" sourceLinked="1"/>
        <c:majorTickMark val="none"/>
        <c:minorTickMark val="none"/>
        <c:tickLblPos val="nextTo"/>
        <c:crossAx val="701239992"/>
        <c:crosses val="autoZero"/>
        <c:auto val="1"/>
        <c:lblAlgn val="ctr"/>
        <c:lblOffset val="100"/>
        <c:noMultiLvlLbl val="0"/>
      </c:catAx>
      <c:valAx>
        <c:axId val="701239992"/>
        <c:scaling>
          <c:orientation val="minMax"/>
          <c:max val="1"/>
        </c:scaling>
        <c:delete val="1"/>
        <c:axPos val="b"/>
        <c:numFmt formatCode="0%" sourceLinked="1"/>
        <c:majorTickMark val="none"/>
        <c:minorTickMark val="none"/>
        <c:tickLblPos val="nextTo"/>
        <c:crossAx val="701237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64288103557833"/>
          <c:y val="0"/>
          <c:w val="0.47950105384261926"/>
          <c:h val="1"/>
        </c:manualLayout>
      </c:layout>
      <c:pieChart>
        <c:varyColors val="1"/>
        <c:ser>
          <c:idx val="0"/>
          <c:order val="0"/>
          <c:dPt>
            <c:idx val="0"/>
            <c:bubble3D val="0"/>
            <c:spPr>
              <a:solidFill>
                <a:srgbClr val="8064A2"/>
              </a:solidFill>
              <a:ln w="19050">
                <a:solidFill>
                  <a:schemeClr val="lt1"/>
                </a:solidFill>
              </a:ln>
              <a:effectLst/>
            </c:spPr>
            <c:extLst>
              <c:ext xmlns:c16="http://schemas.microsoft.com/office/drawing/2014/chart" uri="{C3380CC4-5D6E-409C-BE32-E72D297353CC}">
                <c16:uniqueId val="{00000001-4416-46F8-8F79-E45493E732BB}"/>
              </c:ext>
            </c:extLst>
          </c:dPt>
          <c:dPt>
            <c:idx val="1"/>
            <c:bubble3D val="0"/>
            <c:spPr>
              <a:solidFill>
                <a:srgbClr val="BFEC9E"/>
              </a:solidFill>
              <a:ln w="19050">
                <a:solidFill>
                  <a:schemeClr val="lt1"/>
                </a:solidFill>
              </a:ln>
              <a:effectLst/>
            </c:spPr>
            <c:extLst>
              <c:ext xmlns:c16="http://schemas.microsoft.com/office/drawing/2014/chart" uri="{C3380CC4-5D6E-409C-BE32-E72D297353CC}">
                <c16:uniqueId val="{00000003-4416-46F8-8F79-E45493E732BB}"/>
              </c:ext>
            </c:extLst>
          </c:dPt>
          <c:dLbls>
            <c:dLbl>
              <c:idx val="0"/>
              <c:layout>
                <c:manualLayout>
                  <c:x val="-6.6770218326560424E-2"/>
                  <c:y val="-4.7065702153084574E-2"/>
                </c:manualLayout>
              </c:layout>
              <c:tx>
                <c:rich>
                  <a:bodyPr/>
                  <a:lstStyle/>
                  <a:p>
                    <a:fld id="{074B65A1-C700-4F51-B3E0-2A1822241EAF}" type="CATEGORYNAME">
                      <a:rPr lang="en-US" b="0">
                        <a:solidFill>
                          <a:sysClr val="windowText" lastClr="000000"/>
                        </a:solidFill>
                      </a:rPr>
                      <a:pPr/>
                      <a:t>[CATEGORY NAME]</a:t>
                    </a:fld>
                    <a:endParaRPr lang="en-AU"/>
                  </a:p>
                </c:rich>
              </c:tx>
              <c:showLegendKey val="0"/>
              <c:showVal val="0"/>
              <c:showCatName val="1"/>
              <c:showSerName val="0"/>
              <c:showPercent val="1"/>
              <c:showBubbleSize val="0"/>
              <c:extLst>
                <c:ext xmlns:c15="http://schemas.microsoft.com/office/drawing/2012/chart" uri="{CE6537A1-D6FC-4f65-9D91-7224C49458BB}">
                  <c15:layout>
                    <c:manualLayout>
                      <c:w val="0.25144789063648393"/>
                      <c:h val="0.43774747668736536"/>
                    </c:manualLayout>
                  </c15:layout>
                  <c15:dlblFieldTable/>
                  <c15:showDataLabelsRange val="0"/>
                </c:ext>
                <c:ext xmlns:c16="http://schemas.microsoft.com/office/drawing/2014/chart" uri="{C3380CC4-5D6E-409C-BE32-E72D297353CC}">
                  <c16:uniqueId val="{00000001-4416-46F8-8F79-E45493E732BB}"/>
                </c:ext>
              </c:extLst>
            </c:dLbl>
            <c:dLbl>
              <c:idx val="1"/>
              <c:layout>
                <c:manualLayout>
                  <c:x val="6.29564770521574E-2"/>
                  <c:y val="1.1912169515395891E-2"/>
                </c:manualLayout>
              </c:layout>
              <c:tx>
                <c:rich>
                  <a:bodyPr/>
                  <a:lstStyle/>
                  <a:p>
                    <a:r>
                      <a:rPr lang="en-US"/>
                      <a:t>Not receiving DSP at 30 June 2021, 6%</a:t>
                    </a:r>
                  </a:p>
                </c:rich>
              </c:tx>
              <c:showLegendKey val="0"/>
              <c:showVal val="0"/>
              <c:showCatName val="1"/>
              <c:showSerName val="0"/>
              <c:showPercent val="1"/>
              <c:showBubbleSize val="0"/>
              <c:extLst>
                <c:ext xmlns:c15="http://schemas.microsoft.com/office/drawing/2012/chart" uri="{CE6537A1-D6FC-4f65-9D91-7224C49458BB}">
                  <c15:layout>
                    <c:manualLayout>
                      <c:w val="0.25864674566374718"/>
                      <c:h val="0.4211043865094144"/>
                    </c:manualLayout>
                  </c15:layout>
                  <c15:showDataLabelsRange val="0"/>
                </c:ext>
                <c:ext xmlns:c16="http://schemas.microsoft.com/office/drawing/2014/chart" uri="{C3380CC4-5D6E-409C-BE32-E72D297353CC}">
                  <c16:uniqueId val="{00000003-4416-46F8-8F79-E45493E732BB}"/>
                </c:ext>
              </c:extLst>
            </c:dLbl>
            <c:spPr>
              <a:noFill/>
              <a:ln>
                <a:noFill/>
              </a:ln>
              <a:effectLst/>
            </c:spPr>
            <c:txPr>
              <a:bodyPr rot="0" vert="horz"/>
              <a:lstStyle/>
              <a:p>
                <a:pPr>
                  <a:defRPr>
                    <a:solidFill>
                      <a:sysClr val="windowText" lastClr="000000"/>
                    </a:solidFill>
                  </a:defRPr>
                </a:pPr>
                <a:endParaRPr lang="en-US"/>
              </a:p>
            </c:txPr>
            <c:showLegendKey val="0"/>
            <c:showVal val="0"/>
            <c:showCatName val="1"/>
            <c:showSerName val="0"/>
            <c:showPercent val="1"/>
            <c:showBubbleSize val="0"/>
            <c:showLeaderLines val="1"/>
            <c:leaderLines>
              <c:spPr>
                <a:ln>
                  <a:solidFill>
                    <a:srgbClr val="A6A6A6"/>
                  </a:solidFill>
                </a:ln>
              </c:spPr>
            </c:leaderLines>
            <c:extLst>
              <c:ext xmlns:c15="http://schemas.microsoft.com/office/drawing/2012/chart" uri="{CE6537A1-D6FC-4f65-9D91-7224C49458BB}"/>
            </c:extLst>
          </c:dLbls>
          <c:cat>
            <c:strRef>
              <c:f>'Figure 9-1'!$A$3:$A$4</c:f>
              <c:strCache>
                <c:ptCount val="2"/>
                <c:pt idx="0">
                  <c:v>Receiving DSP at 30 June 2021, 94%</c:v>
                </c:pt>
                <c:pt idx="1">
                  <c:v>New DSP </c:v>
                </c:pt>
              </c:strCache>
            </c:strRef>
          </c:cat>
          <c:val>
            <c:numRef>
              <c:f>'[2]PCW (new)'!$B$13:$B$14</c:f>
              <c:numCache>
                <c:formatCode>General</c:formatCode>
                <c:ptCount val="2"/>
                <c:pt idx="0">
                  <c:v>717984</c:v>
                </c:pt>
                <c:pt idx="1">
                  <c:v>40229</c:v>
                </c:pt>
              </c:numCache>
            </c:numRef>
          </c:val>
          <c:extLst>
            <c:ext xmlns:c16="http://schemas.microsoft.com/office/drawing/2014/chart" uri="{C3380CC4-5D6E-409C-BE32-E72D297353CC}">
              <c16:uniqueId val="{00000004-4416-46F8-8F79-E45493E732BB}"/>
            </c:ext>
          </c:extLst>
        </c:ser>
        <c:dLbls>
          <c:showLegendKey val="0"/>
          <c:showVal val="0"/>
          <c:showCatName val="0"/>
          <c:showSerName val="0"/>
          <c:showPercent val="0"/>
          <c:showBubbleSize val="0"/>
          <c:showLeaderLines val="1"/>
        </c:dLbls>
        <c:firstSliceAng val="100"/>
      </c:pieChart>
    </c:plotArea>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2182658583606249E-2"/>
          <c:w val="1"/>
          <c:h val="0.98781734141639377"/>
        </c:manualLayout>
      </c:layout>
      <c:ofPieChart>
        <c:ofPieType val="bar"/>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FF91-43B2-AD9A-13FD39086B80}"/>
              </c:ext>
            </c:extLst>
          </c:dPt>
          <c:dPt>
            <c:idx val="1"/>
            <c:bubble3D val="0"/>
            <c:spPr>
              <a:solidFill>
                <a:srgbClr val="FFEC8F"/>
              </a:solidFill>
              <a:ln w="19050">
                <a:solidFill>
                  <a:schemeClr val="lt1"/>
                </a:solidFill>
              </a:ln>
              <a:effectLst/>
            </c:spPr>
            <c:extLst>
              <c:ext xmlns:c16="http://schemas.microsoft.com/office/drawing/2014/chart" uri="{C3380CC4-5D6E-409C-BE32-E72D297353CC}">
                <c16:uniqueId val="{00000003-FF91-43B2-AD9A-13FD39086B80}"/>
              </c:ext>
            </c:extLst>
          </c:dPt>
          <c:dPt>
            <c:idx val="2"/>
            <c:bubble3D val="0"/>
            <c:spPr>
              <a:solidFill>
                <a:srgbClr val="E6B9B8"/>
              </a:solidFill>
              <a:ln w="19050">
                <a:solidFill>
                  <a:schemeClr val="lt1"/>
                </a:solidFill>
              </a:ln>
              <a:effectLst/>
            </c:spPr>
            <c:extLst>
              <c:ext xmlns:c16="http://schemas.microsoft.com/office/drawing/2014/chart" uri="{C3380CC4-5D6E-409C-BE32-E72D297353CC}">
                <c16:uniqueId val="{00000005-FF91-43B2-AD9A-13FD39086B80}"/>
              </c:ext>
            </c:extLst>
          </c:dPt>
          <c:dPt>
            <c:idx val="3"/>
            <c:bubble3D val="0"/>
            <c:spPr>
              <a:solidFill>
                <a:srgbClr val="A591BD"/>
              </a:solidFill>
              <a:ln w="19050">
                <a:solidFill>
                  <a:schemeClr val="lt1"/>
                </a:solidFill>
              </a:ln>
              <a:effectLst/>
            </c:spPr>
            <c:extLst>
              <c:ext xmlns:c16="http://schemas.microsoft.com/office/drawing/2014/chart" uri="{C3380CC4-5D6E-409C-BE32-E72D297353CC}">
                <c16:uniqueId val="{00000007-FF91-43B2-AD9A-13FD39086B80}"/>
              </c:ext>
            </c:extLst>
          </c:dPt>
          <c:dPt>
            <c:idx val="4"/>
            <c:bubble3D val="0"/>
            <c:spPr>
              <a:solidFill>
                <a:srgbClr val="009644"/>
              </a:solidFill>
              <a:ln w="19050">
                <a:solidFill>
                  <a:schemeClr val="lt1"/>
                </a:solidFill>
              </a:ln>
              <a:effectLst/>
            </c:spPr>
            <c:extLst>
              <c:ext xmlns:c16="http://schemas.microsoft.com/office/drawing/2014/chart" uri="{C3380CC4-5D6E-409C-BE32-E72D297353CC}">
                <c16:uniqueId val="{00000009-FF91-43B2-AD9A-13FD39086B80}"/>
              </c:ext>
            </c:extLst>
          </c:dPt>
          <c:dLbls>
            <c:dLbl>
              <c:idx val="0"/>
              <c:tx>
                <c:rich>
                  <a:bodyPr/>
                  <a:lstStyle/>
                  <a:p>
                    <a:fld id="{EAF7EE2B-CFC1-4ADC-9FFB-CD39781817C1}" type="CATEGORYNAME">
                      <a:rPr lang="en-US"/>
                      <a:pPr/>
                      <a:t>[CATEGORY NAME]</a:t>
                    </a:fld>
                    <a:r>
                      <a:rPr lang="en-US"/>
                      <a:t>
</a:t>
                    </a:r>
                    <a:fld id="{9D11D23D-71E1-4CE9-9072-E1F8DC19A272}" type="PERCENTAGE">
                      <a:rPr lang="en-US"/>
                      <a:pPr/>
                      <a:t>[PERCENTAGE]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F91-43B2-AD9A-13FD39086B80}"/>
                </c:ext>
              </c:extLst>
            </c:dLbl>
            <c:dLbl>
              <c:idx val="1"/>
              <c:layout>
                <c:manualLayout>
                  <c:x val="7.6782244053978044E-2"/>
                  <c:y val="8.8953618559917694E-2"/>
                </c:manualLayout>
              </c:layout>
              <c:tx>
                <c:rich>
                  <a:bodyPr/>
                  <a:lstStyle/>
                  <a:p>
                    <a:fld id="{E8A6FC90-E747-4B08-B02D-B5A1D6A8590B}" type="CATEGORYNAME">
                      <a:rPr lang="en-US" b="0">
                        <a:solidFill>
                          <a:schemeClr val="tx1"/>
                        </a:solidFill>
                      </a:rPr>
                      <a:pPr/>
                      <a:t>[CATEGORY NAME]</a:t>
                    </a:fld>
                    <a:r>
                      <a:rPr lang="en-US" b="0" baseline="0">
                        <a:solidFill>
                          <a:schemeClr val="tx1"/>
                        </a:solidFill>
                      </a:rPr>
                      <a:t>
</a:t>
                    </a:r>
                    <a:fld id="{BFBB5CDB-93C3-43B0-BE01-9C2F6E6D1BC7}" type="PERCENTAGE">
                      <a:rPr lang="en-US" b="0" baseline="0">
                        <a:solidFill>
                          <a:schemeClr val="tx1"/>
                        </a:solidFill>
                      </a:rPr>
                      <a:pPr/>
                      <a:t>[PERCENTAGE]</a:t>
                    </a:fld>
                    <a:endParaRPr lang="en-US" b="0" baseline="0">
                      <a:solidFill>
                        <a:schemeClr val="tx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F91-43B2-AD9A-13FD39086B80}"/>
                </c:ext>
              </c:extLst>
            </c:dLbl>
            <c:dLbl>
              <c:idx val="2"/>
              <c:layout>
                <c:manualLayout>
                  <c:x val="-3.5003431788430427E-2"/>
                  <c:y val="6.8726024631536441E-3"/>
                </c:manualLayout>
              </c:layout>
              <c:tx>
                <c:rich>
                  <a:bodyPr/>
                  <a:lstStyle/>
                  <a:p>
                    <a:fld id="{1A44CF50-0C41-4D3A-953C-8F437389C567}" type="CATEGORYNAME">
                      <a:rPr lang="en-US" b="0">
                        <a:solidFill>
                          <a:schemeClr val="tx1"/>
                        </a:solidFill>
                      </a:rPr>
                      <a:pPr/>
                      <a:t>[CATEGORY NAME]</a:t>
                    </a:fld>
                    <a:r>
                      <a:rPr lang="en-US" b="0" baseline="0">
                        <a:solidFill>
                          <a:schemeClr val="tx1"/>
                        </a:solidFill>
                      </a:rPr>
                      <a:t>
</a:t>
                    </a:r>
                    <a:fld id="{3C1E2E16-E80F-48C5-8063-59BB2041F533}" type="PERCENTAGE">
                      <a:rPr lang="en-US" b="0" baseline="0">
                        <a:solidFill>
                          <a:schemeClr val="tx1"/>
                        </a:solidFill>
                      </a:rPr>
                      <a:pPr/>
                      <a:t>[PERCENTAGE]</a:t>
                    </a:fld>
                    <a:endParaRPr lang="en-US" b="0" baseline="0">
                      <a:solidFill>
                        <a:schemeClr val="tx1"/>
                      </a:solidFill>
                    </a:endParaRPr>
                  </a:p>
                </c:rich>
              </c:tx>
              <c:showLegendKey val="0"/>
              <c:showVal val="0"/>
              <c:showCatName val="1"/>
              <c:showSerName val="0"/>
              <c:showPercent val="1"/>
              <c:showBubbleSize val="0"/>
              <c:extLst>
                <c:ext xmlns:c15="http://schemas.microsoft.com/office/drawing/2012/chart" uri="{CE6537A1-D6FC-4f65-9D91-7224C49458BB}">
                  <c15:layout>
                    <c:manualLayout>
                      <c:w val="0.20729090107305598"/>
                      <c:h val="0.5150944185074211"/>
                    </c:manualLayout>
                  </c15:layout>
                  <c15:dlblFieldTable/>
                  <c15:showDataLabelsRange val="0"/>
                </c:ext>
                <c:ext xmlns:c16="http://schemas.microsoft.com/office/drawing/2014/chart" uri="{C3380CC4-5D6E-409C-BE32-E72D297353CC}">
                  <c16:uniqueId val="{00000005-FF91-43B2-AD9A-13FD39086B80}"/>
                </c:ext>
              </c:extLst>
            </c:dLbl>
            <c:dLbl>
              <c:idx val="3"/>
              <c:layout>
                <c:manualLayout>
                  <c:x val="-2.5051476826459069E-3"/>
                  <c:y val="2.7335132059541508E-3"/>
                </c:manualLayout>
              </c:layout>
              <c:tx>
                <c:rich>
                  <a:bodyPr/>
                  <a:lstStyle/>
                  <a:p>
                    <a:fld id="{C8283845-9117-4610-8515-5FCD3EB34A2C}" type="CATEGORYNAME">
                      <a:rPr lang="en-US"/>
                      <a:pPr/>
                      <a:t>[CATEGORY NAME]</a:t>
                    </a:fld>
                    <a:r>
                      <a:rPr lang="en-US"/>
                      <a:t> </a:t>
                    </a:r>
                    <a:fld id="{EA059533-C0B7-4D41-9A5D-84DA104B5138}" type="PERCENTAGE">
                      <a:rPr lang="en-US"/>
                      <a:pPr/>
                      <a:t>[PERCENTAGE]</a:t>
                    </a:fld>
                    <a:endParaRPr lang="en-US"/>
                  </a:p>
                </c:rich>
              </c:tx>
              <c:showLegendKey val="0"/>
              <c:showVal val="0"/>
              <c:showCatName val="1"/>
              <c:showSerName val="0"/>
              <c:showPercent val="1"/>
              <c:showBubbleSize val="0"/>
              <c:extLst>
                <c:ext xmlns:c15="http://schemas.microsoft.com/office/drawing/2012/chart" uri="{CE6537A1-D6FC-4f65-9D91-7224C49458BB}">
                  <c15:layout>
                    <c:manualLayout>
                      <c:w val="0.26063536119428554"/>
                      <c:h val="0.22363737718625878"/>
                    </c:manualLayout>
                  </c15:layout>
                  <c15:dlblFieldTable/>
                  <c15:showDataLabelsRange val="0"/>
                </c:ext>
                <c:ext xmlns:c16="http://schemas.microsoft.com/office/drawing/2014/chart" uri="{C3380CC4-5D6E-409C-BE32-E72D297353CC}">
                  <c16:uniqueId val="{00000007-FF91-43B2-AD9A-13FD39086B80}"/>
                </c:ext>
              </c:extLst>
            </c:dLbl>
            <c:dLbl>
              <c:idx val="4"/>
              <c:layout>
                <c:manualLayout>
                  <c:x val="-0.21441466884109719"/>
                  <c:y val="7.4447773674308415E-3"/>
                </c:manualLayout>
              </c:layout>
              <c:tx>
                <c:rich>
                  <a:bodyPr/>
                  <a:lstStyle/>
                  <a:p>
                    <a:r>
                      <a:rPr lang="en-US" sz="900" b="0" i="0" u="none" strike="noStrike" kern="1200" baseline="0">
                        <a:solidFill>
                          <a:schemeClr val="tx1"/>
                        </a:solidFill>
                        <a:latin typeface="+mn-lt"/>
                        <a:ea typeface="+mn-ea"/>
                        <a:cs typeface="+mn-cs"/>
                      </a:rPr>
                      <a:t>JobSeeker Payment</a:t>
                    </a:r>
                    <a:r>
                      <a:rPr lang="en-US" b="0" baseline="0">
                        <a:solidFill>
                          <a:schemeClr val="tx1"/>
                        </a:solidFill>
                      </a:rPr>
                      <a:t>
</a:t>
                    </a:r>
                    <a:fld id="{8498BA13-68E1-429A-A4DB-8D1A21DD5C04}" type="PERCENTAGE">
                      <a:rPr lang="en-US" b="0" baseline="0">
                        <a:solidFill>
                          <a:schemeClr val="tx1"/>
                        </a:solidFill>
                      </a:rPr>
                      <a:pPr/>
                      <a:t>[PERCENTAGE]</a:t>
                    </a:fld>
                    <a:endParaRPr lang="en-US" b="0" baseline="0">
                      <a:solidFill>
                        <a:schemeClr val="tx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F91-43B2-AD9A-13FD39086B80}"/>
                </c:ext>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9-2'!$A$21:$A$24</c:f>
              <c:strCache>
                <c:ptCount val="4"/>
                <c:pt idx="0">
                  <c:v>Other income support</c:v>
                </c:pt>
                <c:pt idx="1">
                  <c:v>No income support</c:v>
                </c:pt>
                <c:pt idx="2">
                  <c:v>JobSeeker Payment
 (with partial capacity to work)</c:v>
                </c:pt>
                <c:pt idx="3">
                  <c:v>JobSeeker Payment
(with full work capacity)</c:v>
                </c:pt>
              </c:strCache>
            </c:strRef>
          </c:cat>
          <c:val>
            <c:numRef>
              <c:f>'Figure 9-2'!$B$21:$B$24</c:f>
              <c:numCache>
                <c:formatCode>_-* #,##0_-;\-* #,##0_-;_-* "-"??_-;_-@_-</c:formatCode>
                <c:ptCount val="4"/>
                <c:pt idx="0">
                  <c:v>3640</c:v>
                </c:pt>
                <c:pt idx="1">
                  <c:v>21626</c:v>
                </c:pt>
                <c:pt idx="2">
                  <c:v>15525</c:v>
                </c:pt>
                <c:pt idx="3">
                  <c:v>4048</c:v>
                </c:pt>
              </c:numCache>
            </c:numRef>
          </c:val>
          <c:extLst>
            <c:ext xmlns:c16="http://schemas.microsoft.com/office/drawing/2014/chart" uri="{C3380CC4-5D6E-409C-BE32-E72D297353CC}">
              <c16:uniqueId val="{0000000A-FF91-43B2-AD9A-13FD39086B80}"/>
            </c:ext>
          </c:extLst>
        </c:ser>
        <c:dLbls>
          <c:showLegendKey val="0"/>
          <c:showVal val="0"/>
          <c:showCatName val="0"/>
          <c:showSerName val="0"/>
          <c:showPercent val="0"/>
          <c:showBubbleSize val="0"/>
          <c:showLeaderLines val="1"/>
        </c:dLbls>
        <c:gapWidth val="100"/>
        <c:splitType val="pos"/>
        <c:splitPos val="2"/>
        <c:secondPieSize val="92"/>
        <c:serLines>
          <c:spPr>
            <a:ln w="9525" cap="flat" cmpd="sng" algn="ctr">
              <a:solidFill>
                <a:srgbClr val="A6A6A6"/>
              </a:solidFill>
              <a:round/>
            </a:ln>
            <a:effectLst/>
          </c:spPr>
        </c:serLines>
      </c:ofPieChart>
    </c:plotArea>
    <c:plotVisOnly val="1"/>
    <c:dispBlanksAs val="gap"/>
    <c:showDLblsOverMax val="0"/>
  </c:chart>
  <c:spPr>
    <a:solidFill>
      <a:schemeClr val="bg1"/>
    </a:solidFill>
    <a:ln w="9525" cap="flat" cmpd="sng" algn="ctr">
      <a:noFill/>
      <a:round/>
    </a:ln>
    <a:effectLst/>
  </c:spPr>
  <c:txPr>
    <a:bodyPr/>
    <a:lstStyle/>
    <a:p>
      <a:pPr>
        <a:defRPr sz="900" baseline="0">
          <a:latin typeface="Arial" panose="020B0604020202020204" pitchFamily="34" charset="0"/>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05463893303211"/>
          <c:y val="9.1071562548695577E-3"/>
          <c:w val="0.52194897804465623"/>
          <c:h val="0.69637195057434331"/>
        </c:manualLayout>
      </c:layout>
      <c:barChart>
        <c:barDir val="bar"/>
        <c:grouping val="stacked"/>
        <c:varyColors val="0"/>
        <c:ser>
          <c:idx val="0"/>
          <c:order val="0"/>
          <c:tx>
            <c:strRef>
              <c:f>'Model Dur New'!$K$2</c:f>
              <c:strCache>
                <c:ptCount val="1"/>
                <c:pt idx="0">
                  <c:v>A. Studying payments</c:v>
                </c:pt>
              </c:strCache>
            </c:strRef>
          </c:tx>
          <c:spPr>
            <a:solidFill>
              <a:srgbClr val="1F497D"/>
            </a:solidFill>
            <a:ln>
              <a:noFill/>
            </a:ln>
            <a:effectLst/>
          </c:spPr>
          <c:invertIfNegative val="0"/>
          <c:dLbls>
            <c:delete val="1"/>
          </c:dLbls>
          <c:cat>
            <c:strRef>
              <c:f>'Model Dur New'!$J$3:$J$5</c:f>
              <c:strCache>
                <c:ptCount val="3"/>
                <c:pt idx="0">
                  <c:v>JobSeeker Payment
 (with full work capacity)</c:v>
                </c:pt>
                <c:pt idx="1">
                  <c:v>JobSeeker Payment
(with partial capacity to work)</c:v>
                </c:pt>
                <c:pt idx="2">
                  <c:v>DSP (existing recipients)</c:v>
                </c:pt>
              </c:strCache>
            </c:strRef>
          </c:cat>
          <c:val>
            <c:numRef>
              <c:f>'Model Dur New'!$K$3:$K$5</c:f>
              <c:numCache>
                <c:formatCode>General</c:formatCode>
                <c:ptCount val="3"/>
                <c:pt idx="0">
                  <c:v>5.5922085699999999E-2</c:v>
                </c:pt>
                <c:pt idx="1">
                  <c:v>3.2029470800000001E-2</c:v>
                </c:pt>
                <c:pt idx="2">
                  <c:v>4.0072967999999999E-3</c:v>
                </c:pt>
              </c:numCache>
            </c:numRef>
          </c:val>
          <c:extLst>
            <c:ext xmlns:c16="http://schemas.microsoft.com/office/drawing/2014/chart" uri="{C3380CC4-5D6E-409C-BE32-E72D297353CC}">
              <c16:uniqueId val="{00000000-0535-49E7-9DB6-79A53973F99B}"/>
            </c:ext>
          </c:extLst>
        </c:ser>
        <c:ser>
          <c:idx val="1"/>
          <c:order val="1"/>
          <c:tx>
            <c:strRef>
              <c:f>'Model Dur New'!$L$2</c:f>
              <c:strCache>
                <c:ptCount val="1"/>
                <c:pt idx="0">
                  <c:v>B. Working age payments</c:v>
                </c:pt>
              </c:strCache>
            </c:strRef>
          </c:tx>
          <c:spPr>
            <a:solidFill>
              <a:srgbClr val="009644"/>
            </a:solidFill>
            <a:ln>
              <a:noFill/>
            </a:ln>
            <a:effectLst/>
          </c:spPr>
          <c:invertIfNegative val="0"/>
          <c:dLbls>
            <c:dLbl>
              <c:idx val="0"/>
              <c:layout>
                <c:manualLayout>
                  <c:x val="2.9398794649419375E-2"/>
                  <c:y val="-7.0852482921677298E-2"/>
                </c:manualLayout>
              </c:layout>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mn-cs"/>
                      </a:defRPr>
                    </a:pPr>
                    <a:r>
                      <a:rPr lang="en-US"/>
                      <a:t>A</a:t>
                    </a:r>
                    <a:r>
                      <a:rPr lang="en-US" baseline="0"/>
                      <a:t>               B               CD  E</a:t>
                    </a:r>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34733217512885123"/>
                      <c:h val="4.0996823845590023E-2"/>
                    </c:manualLayout>
                  </c15:layout>
                  <c15:showDataLabelsRange val="0"/>
                </c:ext>
                <c:ext xmlns:c16="http://schemas.microsoft.com/office/drawing/2014/chart" uri="{C3380CC4-5D6E-409C-BE32-E72D297353CC}">
                  <c16:uniqueId val="{00000002-F4A5-4271-ADB0-98ACC14855D2}"/>
                </c:ext>
              </c:extLst>
            </c:dLbl>
            <c:dLbl>
              <c:idx val="1"/>
              <c:layout>
                <c:manualLayout>
                  <c:x val="2.3519035719535446E-2"/>
                  <c:y val="-7.0852867676905643E-2"/>
                </c:manualLayout>
              </c:layout>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mn-cs"/>
                      </a:defRPr>
                    </a:pPr>
                    <a:r>
                      <a:rPr lang="en-US"/>
                      <a:t>A</a:t>
                    </a:r>
                    <a:r>
                      <a:rPr lang="en-US" baseline="0"/>
                      <a:t>                       B                       CD E</a:t>
                    </a:r>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46529472291636043"/>
                      <c:h val="6.0542389445394564E-2"/>
                    </c:manualLayout>
                  </c15:layout>
                  <c15:showDataLabelsRange val="0"/>
                </c:ext>
                <c:ext xmlns:c16="http://schemas.microsoft.com/office/drawing/2014/chart" uri="{C3380CC4-5D6E-409C-BE32-E72D297353CC}">
                  <c16:uniqueId val="{00000001-F4A5-4271-ADB0-98ACC14855D2}"/>
                </c:ext>
              </c:extLst>
            </c:dLbl>
            <c:dLbl>
              <c:idx val="2"/>
              <c:layout>
                <c:manualLayout>
                  <c:x val="0.12788498821154631"/>
                  <c:y val="-6.8409287221701739E-2"/>
                </c:manualLayout>
              </c:layout>
              <c:tx>
                <c:rich>
                  <a:bodyPr/>
                  <a:lstStyle/>
                  <a:p>
                    <a:r>
                      <a:rPr lang="en-US"/>
                      <a:t>A-D                                E  </a:t>
                    </a:r>
                  </a:p>
                </c:rich>
              </c:tx>
              <c:dLblPos val="ctr"/>
              <c:showLegendKey val="0"/>
              <c:showVal val="1"/>
              <c:showCatName val="0"/>
              <c:showSerName val="0"/>
              <c:showPercent val="0"/>
              <c:showBubbleSize val="0"/>
              <c:extLst>
                <c:ext xmlns:c15="http://schemas.microsoft.com/office/drawing/2012/chart" uri="{CE6537A1-D6FC-4f65-9D91-7224C49458BB}">
                  <c15:layout>
                    <c:manualLayout>
                      <c:w val="0.36682334449484422"/>
                      <c:h val="5.9589735500018268E-2"/>
                    </c:manualLayout>
                  </c15:layout>
                  <c15:showDataLabelsRange val="0"/>
                </c:ext>
                <c:ext xmlns:c16="http://schemas.microsoft.com/office/drawing/2014/chart" uri="{C3380CC4-5D6E-409C-BE32-E72D297353CC}">
                  <c16:uniqueId val="{00000000-F4A5-4271-ADB0-98ACC14855D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'Model Dur New'!$J$3:$J$5</c:f>
              <c:strCache>
                <c:ptCount val="3"/>
                <c:pt idx="0">
                  <c:v>JobSeeker Payment
 (with full work capacity)</c:v>
                </c:pt>
                <c:pt idx="1">
                  <c:v>JobSeeker Payment
(with partial capacity to work)</c:v>
                </c:pt>
                <c:pt idx="2">
                  <c:v>DSP (existing recipients)</c:v>
                </c:pt>
              </c:strCache>
            </c:strRef>
          </c:cat>
          <c:val>
            <c:numRef>
              <c:f>'Model Dur New'!$L$3:$L$5</c:f>
              <c:numCache>
                <c:formatCode>General</c:formatCode>
                <c:ptCount val="3"/>
                <c:pt idx="0">
                  <c:v>2.2131835779000002</c:v>
                </c:pt>
                <c:pt idx="1">
                  <c:v>3.2773176273</c:v>
                </c:pt>
                <c:pt idx="2">
                  <c:v>0.14398747049999999</c:v>
                </c:pt>
              </c:numCache>
            </c:numRef>
          </c:val>
          <c:extLst>
            <c:ext xmlns:c16="http://schemas.microsoft.com/office/drawing/2014/chart" uri="{C3380CC4-5D6E-409C-BE32-E72D297353CC}">
              <c16:uniqueId val="{00000001-0535-49E7-9DB6-79A53973F99B}"/>
            </c:ext>
          </c:extLst>
        </c:ser>
        <c:ser>
          <c:idx val="2"/>
          <c:order val="2"/>
          <c:tx>
            <c:strRef>
              <c:f>'Model Dur New'!$M$2</c:f>
              <c:strCache>
                <c:ptCount val="1"/>
                <c:pt idx="0">
                  <c:v>C. Parenting Payment</c:v>
                </c:pt>
              </c:strCache>
            </c:strRef>
          </c:tx>
          <c:spPr>
            <a:solidFill>
              <a:srgbClr val="E26B0A"/>
            </a:solidFill>
            <a:ln>
              <a:noFill/>
            </a:ln>
            <a:effectLst/>
          </c:spPr>
          <c:invertIfNegative val="0"/>
          <c:dLbls>
            <c:delete val="1"/>
          </c:dLbls>
          <c:cat>
            <c:strRef>
              <c:f>'Model Dur New'!$J$3:$J$5</c:f>
              <c:strCache>
                <c:ptCount val="3"/>
                <c:pt idx="0">
                  <c:v>JobSeeker Payment
 (with full work capacity)</c:v>
                </c:pt>
                <c:pt idx="1">
                  <c:v>JobSeeker Payment
(with partial capacity to work)</c:v>
                </c:pt>
                <c:pt idx="2">
                  <c:v>DSP (existing recipients)</c:v>
                </c:pt>
              </c:strCache>
            </c:strRef>
          </c:cat>
          <c:val>
            <c:numRef>
              <c:f>'Model Dur New'!$M$3:$M$5</c:f>
              <c:numCache>
                <c:formatCode>General</c:formatCode>
                <c:ptCount val="3"/>
                <c:pt idx="0">
                  <c:v>9.9874790199999994E-2</c:v>
                </c:pt>
                <c:pt idx="1">
                  <c:v>6.4551651099999996E-2</c:v>
                </c:pt>
                <c:pt idx="2">
                  <c:v>7.7229216E-3</c:v>
                </c:pt>
              </c:numCache>
            </c:numRef>
          </c:val>
          <c:extLst>
            <c:ext xmlns:c16="http://schemas.microsoft.com/office/drawing/2014/chart" uri="{C3380CC4-5D6E-409C-BE32-E72D297353CC}">
              <c16:uniqueId val="{00000002-0535-49E7-9DB6-79A53973F99B}"/>
            </c:ext>
          </c:extLst>
        </c:ser>
        <c:ser>
          <c:idx val="3"/>
          <c:order val="3"/>
          <c:tx>
            <c:strRef>
              <c:f>'Model Dur New'!$N$2</c:f>
              <c:strCache>
                <c:ptCount val="1"/>
                <c:pt idx="0">
                  <c:v>D. Carer Payment</c:v>
                </c:pt>
              </c:strCache>
            </c:strRef>
          </c:tx>
          <c:spPr>
            <a:solidFill>
              <a:srgbClr val="E18BD7"/>
            </a:solidFill>
            <a:ln>
              <a:noFill/>
            </a:ln>
            <a:effectLst/>
          </c:spPr>
          <c:invertIfNegative val="0"/>
          <c:dLbls>
            <c:delete val="1"/>
          </c:dLbls>
          <c:cat>
            <c:strRef>
              <c:f>'Model Dur New'!$J$3:$J$5</c:f>
              <c:strCache>
                <c:ptCount val="3"/>
                <c:pt idx="0">
                  <c:v>JobSeeker Payment
 (with full work capacity)</c:v>
                </c:pt>
                <c:pt idx="1">
                  <c:v>JobSeeker Payment
(with partial capacity to work)</c:v>
                </c:pt>
                <c:pt idx="2">
                  <c:v>DSP (existing recipients)</c:v>
                </c:pt>
              </c:strCache>
            </c:strRef>
          </c:cat>
          <c:val>
            <c:numRef>
              <c:f>'Model Dur New'!$N$3:$N$5</c:f>
              <c:numCache>
                <c:formatCode>General</c:formatCode>
                <c:ptCount val="3"/>
                <c:pt idx="0">
                  <c:v>0.14668566250000001</c:v>
                </c:pt>
                <c:pt idx="1">
                  <c:v>0.1017235127</c:v>
                </c:pt>
                <c:pt idx="2">
                  <c:v>1.00200164E-2</c:v>
                </c:pt>
              </c:numCache>
            </c:numRef>
          </c:val>
          <c:extLst>
            <c:ext xmlns:c16="http://schemas.microsoft.com/office/drawing/2014/chart" uri="{C3380CC4-5D6E-409C-BE32-E72D297353CC}">
              <c16:uniqueId val="{00000003-0535-49E7-9DB6-79A53973F99B}"/>
            </c:ext>
          </c:extLst>
        </c:ser>
        <c:ser>
          <c:idx val="4"/>
          <c:order val="4"/>
          <c:tx>
            <c:strRef>
              <c:f>'Model Dur New'!$O$2</c:f>
              <c:strCache>
                <c:ptCount val="1"/>
                <c:pt idx="0">
                  <c:v>E. DSP</c:v>
                </c:pt>
              </c:strCache>
            </c:strRef>
          </c:tx>
          <c:spPr>
            <a:solidFill>
              <a:srgbClr val="8064A2"/>
            </a:solidFill>
            <a:ln>
              <a:noFill/>
            </a:ln>
            <a:effectLst/>
          </c:spPr>
          <c:invertIfNegative val="0"/>
          <c:dLbls>
            <c:dLbl>
              <c:idx val="0"/>
              <c:layout>
                <c:manualLayout>
                  <c:x val="5.3841350314058845E-2"/>
                  <c:y val="0"/>
                </c:manualLayout>
              </c:layout>
              <c:tx>
                <c:rich>
                  <a:bodyPr/>
                  <a:lstStyle/>
                  <a:p>
                    <a:r>
                      <a:rPr lang="en-US"/>
                      <a:t>3.0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535-49E7-9DB6-79A53973F99B}"/>
                </c:ext>
              </c:extLst>
            </c:dLbl>
            <c:dLbl>
              <c:idx val="1"/>
              <c:layout>
                <c:manualLayout>
                  <c:x val="4.7858978056941191E-2"/>
                  <c:y val="0"/>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535-49E7-9DB6-79A53973F99B}"/>
                </c:ext>
              </c:extLst>
            </c:dLbl>
            <c:dLbl>
              <c:idx val="2"/>
              <c:layout>
                <c:manualLayout>
                  <c:x val="0.29114211651305877"/>
                  <c:y val="-8.8740971741590683E-3"/>
                </c:manualLayout>
              </c:layout>
              <c:tx>
                <c:rich>
                  <a:bodyPr/>
                  <a:lstStyle/>
                  <a:p>
                    <a:r>
                      <a:rPr lang="en-US"/>
                      <a:t>4.8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535-49E7-9DB6-79A53973F99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'Model Dur New'!$J$3:$J$5</c:f>
              <c:strCache>
                <c:ptCount val="3"/>
                <c:pt idx="0">
                  <c:v>JobSeeker Payment
 (with full work capacity)</c:v>
                </c:pt>
                <c:pt idx="1">
                  <c:v>JobSeeker Payment
(with partial capacity to work)</c:v>
                </c:pt>
                <c:pt idx="2">
                  <c:v>DSP (existing recipients)</c:v>
                </c:pt>
              </c:strCache>
            </c:strRef>
          </c:cat>
          <c:val>
            <c:numRef>
              <c:f>'Model Dur New'!$O$3:$O$5</c:f>
              <c:numCache>
                <c:formatCode>General</c:formatCode>
                <c:ptCount val="3"/>
                <c:pt idx="0">
                  <c:v>0.50635185989999998</c:v>
                </c:pt>
                <c:pt idx="1">
                  <c:v>0.53963443850000004</c:v>
                </c:pt>
                <c:pt idx="2">
                  <c:v>4.6234231033000004</c:v>
                </c:pt>
              </c:numCache>
            </c:numRef>
          </c:val>
          <c:extLst>
            <c:ext xmlns:c16="http://schemas.microsoft.com/office/drawing/2014/chart" uri="{C3380CC4-5D6E-409C-BE32-E72D297353CC}">
              <c16:uniqueId val="{00000007-0535-49E7-9DB6-79A53973F99B}"/>
            </c:ext>
          </c:extLst>
        </c:ser>
        <c:dLbls>
          <c:dLblPos val="ctr"/>
          <c:showLegendKey val="0"/>
          <c:showVal val="1"/>
          <c:showCatName val="0"/>
          <c:showSerName val="0"/>
          <c:showPercent val="0"/>
          <c:showBubbleSize val="0"/>
        </c:dLbls>
        <c:gapWidth val="150"/>
        <c:overlap val="100"/>
        <c:axId val="565754128"/>
        <c:axId val="565753144"/>
      </c:barChart>
      <c:catAx>
        <c:axId val="56575412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Income support received</a:t>
                </a:r>
              </a:p>
              <a:p>
                <a:pPr>
                  <a:defRPr b="1"/>
                </a:pPr>
                <a:r>
                  <a:rPr lang="en-AU" b="1"/>
                  <a:t>at 30 June 2021 (1 year earlier)</a:t>
                </a:r>
              </a:p>
            </c:rich>
          </c:tx>
          <c:layout>
            <c:manualLayout>
              <c:xMode val="edge"/>
              <c:yMode val="edge"/>
              <c:x val="9.2636296400036566E-3"/>
              <c:y val="2.3638206963684873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5753144"/>
        <c:crosses val="autoZero"/>
        <c:auto val="1"/>
        <c:lblAlgn val="ctr"/>
        <c:lblOffset val="100"/>
        <c:noMultiLvlLbl val="0"/>
      </c:catAx>
      <c:valAx>
        <c:axId val="565753144"/>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5754128"/>
        <c:crosses val="autoZero"/>
        <c:crossBetween val="between"/>
        <c:majorUnit val="1"/>
      </c:valAx>
      <c:spPr>
        <a:noFill/>
        <a:ln>
          <a:noFill/>
        </a:ln>
        <a:effectLst/>
      </c:spPr>
    </c:plotArea>
    <c:legend>
      <c:legendPos val="b"/>
      <c:layout>
        <c:manualLayout>
          <c:xMode val="edge"/>
          <c:yMode val="edge"/>
          <c:x val="0"/>
          <c:y val="0.86123110130412772"/>
          <c:w val="1"/>
          <c:h val="0.1387688986958721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62440309620124E-2"/>
          <c:y val="7.6656522229199872E-2"/>
          <c:w val="0.9643755969037987"/>
          <c:h val="0.87797626523678407"/>
        </c:manualLayout>
      </c:layout>
      <c:ofPieChart>
        <c:ofPieType val="bar"/>
        <c:varyColors val="1"/>
        <c:ser>
          <c:idx val="0"/>
          <c:order val="0"/>
          <c:tx>
            <c:v>Ages 18-21 Composition 2022</c:v>
          </c:tx>
          <c:dPt>
            <c:idx val="0"/>
            <c:bubble3D val="0"/>
            <c:spPr>
              <a:solidFill>
                <a:srgbClr val="1F497D"/>
              </a:solidFill>
              <a:ln w="19050">
                <a:solidFill>
                  <a:schemeClr val="lt1"/>
                </a:solidFill>
              </a:ln>
              <a:effectLst/>
            </c:spPr>
            <c:extLst>
              <c:ext xmlns:c16="http://schemas.microsoft.com/office/drawing/2014/chart" uri="{C3380CC4-5D6E-409C-BE32-E72D297353CC}">
                <c16:uniqueId val="{00000001-F2F4-477D-8279-317BBC972562}"/>
              </c:ext>
            </c:extLst>
          </c:dPt>
          <c:dPt>
            <c:idx val="1"/>
            <c:bubble3D val="0"/>
            <c:spPr>
              <a:solidFill>
                <a:srgbClr val="009644"/>
              </a:solidFill>
              <a:ln w="19050">
                <a:solidFill>
                  <a:schemeClr val="lt1"/>
                </a:solidFill>
              </a:ln>
              <a:effectLst/>
            </c:spPr>
            <c:extLst>
              <c:ext xmlns:c16="http://schemas.microsoft.com/office/drawing/2014/chart" uri="{C3380CC4-5D6E-409C-BE32-E72D297353CC}">
                <c16:uniqueId val="{00000003-F2F4-477D-8279-317BBC972562}"/>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F2F4-477D-8279-317BBC972562}"/>
              </c:ext>
            </c:extLst>
          </c:dPt>
          <c:dPt>
            <c:idx val="3"/>
            <c:bubble3D val="0"/>
            <c:spPr>
              <a:solidFill>
                <a:srgbClr val="FFEC8F"/>
              </a:solidFill>
              <a:ln w="19050">
                <a:solidFill>
                  <a:schemeClr val="lt1"/>
                </a:solidFill>
              </a:ln>
              <a:effectLst/>
            </c:spPr>
            <c:extLst>
              <c:ext xmlns:c16="http://schemas.microsoft.com/office/drawing/2014/chart" uri="{C3380CC4-5D6E-409C-BE32-E72D297353CC}">
                <c16:uniqueId val="{00000007-F2F4-477D-8279-317BBC972562}"/>
              </c:ext>
            </c:extLst>
          </c:dPt>
          <c:dPt>
            <c:idx val="4"/>
            <c:bubble3D val="0"/>
            <c:spPr>
              <a:solidFill>
                <a:srgbClr val="CC706E"/>
              </a:solidFill>
              <a:ln w="19050">
                <a:solidFill>
                  <a:schemeClr val="lt1"/>
                </a:solidFill>
              </a:ln>
              <a:effectLst/>
            </c:spPr>
            <c:extLst>
              <c:ext xmlns:c16="http://schemas.microsoft.com/office/drawing/2014/chart" uri="{C3380CC4-5D6E-409C-BE32-E72D297353CC}">
                <c16:uniqueId val="{00000009-F2F4-477D-8279-317BBC97256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2F4-477D-8279-317BBC972562}"/>
              </c:ext>
            </c:extLst>
          </c:dPt>
          <c:dPt>
            <c:idx val="6"/>
            <c:bubble3D val="0"/>
            <c:spPr>
              <a:solidFill>
                <a:srgbClr val="FFD966"/>
              </a:solidFill>
              <a:ln w="19050">
                <a:solidFill>
                  <a:schemeClr val="lt1"/>
                </a:solidFill>
              </a:ln>
              <a:effectLst/>
            </c:spPr>
            <c:extLst>
              <c:ext xmlns:c16="http://schemas.microsoft.com/office/drawing/2014/chart" uri="{C3380CC4-5D6E-409C-BE32-E72D297353CC}">
                <c16:uniqueId val="{0000000D-F2F4-477D-8279-317BBC972562}"/>
              </c:ext>
            </c:extLst>
          </c:dPt>
          <c:dLbls>
            <c:dLbl>
              <c:idx val="0"/>
              <c:tx>
                <c:rich>
                  <a:bodyPr rot="0" spcFirstLastPara="1" vertOverflow="overflow" horzOverflow="overflow"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fld id="{FFB273A1-91C9-4B68-96FE-2C86E1C2BDA5}" type="CATEGORYNAME">
                      <a:rPr lang="en-US" sz="900"/>
                      <a:pPr>
                        <a:defRPr sz="800">
                          <a:solidFill>
                            <a:schemeClr val="bg1"/>
                          </a:solidFill>
                        </a:defRPr>
                      </a:pPr>
                      <a:t>[CATEGORY NAME]</a:t>
                    </a:fld>
                    <a:r>
                      <a:rPr lang="en-US" sz="900"/>
                      <a:t>s</a:t>
                    </a:r>
                    <a:r>
                      <a:rPr lang="en-US" sz="900" baseline="0"/>
                      <a:t> </a:t>
                    </a:r>
                    <a:fld id="{512F903F-547F-4CBD-9B32-1490CBCA8578}" type="VALUE">
                      <a:rPr lang="en-US" sz="900" baseline="0"/>
                      <a:pPr>
                        <a:defRPr sz="800">
                          <a:solidFill>
                            <a:schemeClr val="bg1"/>
                          </a:solidFill>
                        </a:defRPr>
                      </a:pPr>
                      <a:t>[VALUE]</a:t>
                    </a:fld>
                    <a:endParaRPr lang="en-US" sz="900" baseline="0"/>
                  </a:p>
                </c:rich>
              </c:tx>
              <c:numFmt formatCode="0%" sourceLinked="0"/>
              <c:spPr>
                <a:noFill/>
                <a:ln>
                  <a:noFill/>
                </a:ln>
                <a:effectLst/>
              </c:spPr>
              <c:txPr>
                <a:bodyPr rot="0" spcFirstLastPara="1" vertOverflow="overflow" horzOverflow="overflow"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2F4-477D-8279-317BBC972562}"/>
                </c:ext>
              </c:extLst>
            </c:dLbl>
            <c:dLbl>
              <c:idx val="1"/>
              <c:tx>
                <c:rich>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fld id="{A33587D1-2765-4722-A96E-8098CD45C681}" type="CATEGORYNAME">
                      <a:rPr lang="en-US" sz="900">
                        <a:solidFill>
                          <a:schemeClr val="tx1"/>
                        </a:solidFill>
                      </a:rPr>
                      <a:pPr>
                        <a:defRPr sz="800">
                          <a:solidFill>
                            <a:schemeClr val="bg1"/>
                          </a:solidFill>
                        </a:defRPr>
                      </a:pPr>
                      <a:t>[CATEGORY NAME]</a:t>
                    </a:fld>
                    <a:r>
                      <a:rPr lang="en-US" sz="900">
                        <a:solidFill>
                          <a:schemeClr val="tx1"/>
                        </a:solidFill>
                      </a:rPr>
                      <a:t>s</a:t>
                    </a:r>
                  </a:p>
                  <a:p>
                    <a:pPr>
                      <a:defRPr sz="800">
                        <a:solidFill>
                          <a:schemeClr val="bg1"/>
                        </a:solidFill>
                      </a:defRPr>
                    </a:pPr>
                    <a:fld id="{CC25B05D-E22B-4600-9ED1-C5A3C7F6DED9}" type="VALUE">
                      <a:rPr lang="en-US" sz="900" baseline="0">
                        <a:solidFill>
                          <a:schemeClr val="tx1"/>
                        </a:solidFill>
                      </a:rPr>
                      <a:pPr>
                        <a:defRPr sz="800">
                          <a:solidFill>
                            <a:schemeClr val="bg1"/>
                          </a:solidFill>
                        </a:defRPr>
                      </a:pPr>
                      <a:t>[VALUE]</a:t>
                    </a:fld>
                    <a:endParaRPr lang="en-AU"/>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2F4-477D-8279-317BBC972562}"/>
                </c:ext>
              </c:extLst>
            </c:dLbl>
            <c:dLbl>
              <c:idx val="2"/>
              <c:tx>
                <c:rich>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fld id="{085BBE42-EFCC-494A-AF2A-4362993FB5CB}" type="CATEGORYNAME">
                      <a:rPr lang="en-US" sz="900"/>
                      <a:pPr>
                        <a:defRPr sz="800">
                          <a:solidFill>
                            <a:schemeClr val="tx1"/>
                          </a:solidFill>
                        </a:defRPr>
                      </a:pPr>
                      <a:t>[CATEGORY NAME]</a:t>
                    </a:fld>
                    <a:r>
                      <a:rPr lang="en-US" sz="900" baseline="0"/>
                      <a:t> </a:t>
                    </a:r>
                    <a:fld id="{D2BE91B0-191B-4575-9AE6-F1C2E005A8D8}" type="VALUE">
                      <a:rPr lang="en-US" sz="900" baseline="0"/>
                      <a:pPr>
                        <a:defRPr sz="800">
                          <a:solidFill>
                            <a:schemeClr val="tx1"/>
                          </a:solidFill>
                        </a:defRPr>
                      </a:pPr>
                      <a:t>[VALUE]</a:t>
                    </a:fld>
                    <a:endParaRPr lang="en-US" sz="900" baseline="0"/>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2F4-477D-8279-317BBC972562}"/>
                </c:ext>
              </c:extLst>
            </c:dLbl>
            <c:dLbl>
              <c:idx val="3"/>
              <c:layout>
                <c:manualLayout>
                  <c:x val="0.13810697225980664"/>
                  <c:y val="1.97138677337463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fld id="{D2519476-7010-4C02-BE83-896E867707ED}" type="CATEGORYNAME">
                      <a:rPr lang="en-US" sz="900"/>
                      <a:pPr>
                        <a:defRPr sz="800">
                          <a:solidFill>
                            <a:schemeClr val="tx1"/>
                          </a:solidFill>
                        </a:defRPr>
                      </a:pPr>
                      <a:t>[CATEGORY NAME]</a:t>
                    </a:fld>
                    <a:endParaRPr lang="en-US" sz="900"/>
                  </a:p>
                  <a:p>
                    <a:pPr>
                      <a:defRPr sz="800">
                        <a:solidFill>
                          <a:schemeClr val="tx1"/>
                        </a:solidFill>
                      </a:defRPr>
                    </a:pPr>
                    <a:r>
                      <a:rPr lang="en-US" sz="900" baseline="0"/>
                      <a:t> </a:t>
                    </a:r>
                    <a:fld id="{1C403D99-3DE4-4158-9566-70C29C9C719F}" type="VALUE">
                      <a:rPr lang="en-US" sz="900" baseline="0"/>
                      <a:pPr>
                        <a:defRPr sz="800">
                          <a:solidFill>
                            <a:schemeClr val="tx1"/>
                          </a:solidFill>
                        </a:defRPr>
                      </a:pPr>
                      <a:t>[VALUE]</a:t>
                    </a:fld>
                    <a:endParaRPr lang="en-US" sz="900" baseline="0"/>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9258062387946032"/>
                      <c:h val="0.29608364528204467"/>
                    </c:manualLayout>
                  </c15:layout>
                  <c15:dlblFieldTable/>
                  <c15:showDataLabelsRange val="0"/>
                </c:ext>
                <c:ext xmlns:c16="http://schemas.microsoft.com/office/drawing/2014/chart" uri="{C3380CC4-5D6E-409C-BE32-E72D297353CC}">
                  <c16:uniqueId val="{00000007-F2F4-477D-8279-317BBC972562}"/>
                </c:ext>
              </c:extLst>
            </c:dLbl>
            <c:dLbl>
              <c:idx val="4"/>
              <c:layout>
                <c:manualLayout>
                  <c:x val="-0.15454066698226002"/>
                  <c:y val="2.4056624069531793E-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mn-lt"/>
                        <a:ea typeface="+mn-ea"/>
                        <a:cs typeface="+mn-cs"/>
                      </a:defRPr>
                    </a:pPr>
                    <a:r>
                      <a:rPr lang="en-US" sz="900">
                        <a:solidFill>
                          <a:schemeClr val="tx1"/>
                        </a:solidFill>
                      </a:rPr>
                      <a:t>Income support</a:t>
                    </a:r>
                    <a:r>
                      <a:rPr lang="en-US" sz="900" baseline="0">
                        <a:solidFill>
                          <a:schemeClr val="tx1"/>
                        </a:solidFill>
                      </a:rPr>
                      <a:t> </a:t>
                    </a:r>
                    <a:fld id="{3120671F-0137-4EB6-BEDA-0FF40BAEA13B}" type="VALUE">
                      <a:rPr lang="en-US" sz="900" baseline="0">
                        <a:solidFill>
                          <a:schemeClr val="tx1"/>
                        </a:solidFill>
                      </a:rPr>
                      <a:pPr>
                        <a:defRPr sz="800">
                          <a:solidFill>
                            <a:schemeClr val="bg1"/>
                          </a:solidFill>
                        </a:defRPr>
                      </a:pPr>
                      <a:t>[VALUE]</a:t>
                    </a:fld>
                    <a:endParaRPr lang="en-US" sz="900" baseline="0">
                      <a:solidFill>
                        <a:schemeClr val="tx1"/>
                      </a:solidFill>
                    </a:endParaRPr>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2354855025747094"/>
                      <c:h val="0.22140198511166254"/>
                    </c:manualLayout>
                  </c15:layout>
                  <c15:dlblFieldTable/>
                  <c15:showDataLabelsRange val="0"/>
                </c:ext>
                <c:ext xmlns:c16="http://schemas.microsoft.com/office/drawing/2014/chart" uri="{C3380CC4-5D6E-409C-BE32-E72D297353CC}">
                  <c16:uniqueId val="{00000009-F2F4-477D-8279-317BBC97256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'2022 Mix'!$K$3:$K$6</c:f>
              <c:strCache>
                <c:ptCount val="4"/>
                <c:pt idx="0">
                  <c:v>Studying payment</c:v>
                </c:pt>
                <c:pt idx="1">
                  <c:v>Working age payment</c:v>
                </c:pt>
                <c:pt idx="2">
                  <c:v>Other income support</c:v>
                </c:pt>
                <c:pt idx="3">
                  <c:v>Not on income support</c:v>
                </c:pt>
              </c:strCache>
            </c:strRef>
          </c:cat>
          <c:val>
            <c:numRef>
              <c:f>'2022 Mix'!$M$3:$M$6</c:f>
              <c:numCache>
                <c:formatCode>0.00%</c:formatCode>
                <c:ptCount val="4"/>
                <c:pt idx="0">
                  <c:v>7.5600000000000001E-2</c:v>
                </c:pt>
                <c:pt idx="1">
                  <c:v>5.5199999999999999E-2</c:v>
                </c:pt>
                <c:pt idx="2">
                  <c:v>3.2800000000000003E-2</c:v>
                </c:pt>
                <c:pt idx="3">
                  <c:v>0.83630000000000004</c:v>
                </c:pt>
              </c:numCache>
            </c:numRef>
          </c:val>
          <c:extLst>
            <c:ext xmlns:c16="http://schemas.microsoft.com/office/drawing/2014/chart" uri="{C3380CC4-5D6E-409C-BE32-E72D297353CC}">
              <c16:uniqueId val="{0000000E-F2F4-477D-8279-317BBC972562}"/>
            </c:ext>
          </c:extLst>
        </c:ser>
        <c:dLbls>
          <c:dLblPos val="bestFit"/>
          <c:showLegendKey val="0"/>
          <c:showVal val="1"/>
          <c:showCatName val="0"/>
          <c:showSerName val="0"/>
          <c:showPercent val="0"/>
          <c:showBubbleSize val="0"/>
          <c:showLeaderLines val="1"/>
        </c:dLbls>
        <c:gapWidth val="100"/>
        <c:splitType val="val"/>
        <c:splitPos val="0.83000000000000007"/>
        <c:secondPieSize val="100"/>
        <c:serLines>
          <c:spPr>
            <a:ln w="9525" cap="flat" cmpd="sng" algn="ctr">
              <a:solidFill>
                <a:schemeClr val="bg1">
                  <a:lumMod val="50000"/>
                </a:schemeClr>
              </a:solidFill>
              <a:round/>
            </a:ln>
            <a:effectLst/>
          </c:spPr>
        </c:serLines>
      </c:ofPieChart>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451216325232081"/>
          <c:y val="6.0113247423644496E-2"/>
          <c:w val="0.50996792045276618"/>
          <c:h val="0.51074055411715147"/>
        </c:manualLayout>
      </c:layout>
      <c:barChart>
        <c:barDir val="bar"/>
        <c:grouping val="stacked"/>
        <c:varyColors val="0"/>
        <c:ser>
          <c:idx val="0"/>
          <c:order val="0"/>
          <c:tx>
            <c:strRef>
              <c:f>Proj!$B$12</c:f>
              <c:strCache>
                <c:ptCount val="1"/>
                <c:pt idx="0">
                  <c:v>A. Studying payments</c:v>
                </c:pt>
              </c:strCache>
            </c:strRef>
          </c:tx>
          <c:spPr>
            <a:solidFill>
              <a:srgbClr val="1F497D"/>
            </a:solidFill>
            <a:ln>
              <a:noFill/>
            </a:ln>
            <a:effectLst/>
          </c:spPr>
          <c:invertIfNegative val="0"/>
          <c:cat>
            <c:strRef>
              <c:f>Proj!$A$13:$A$14</c:f>
              <c:strCache>
                <c:ptCount val="2"/>
                <c:pt idx="0">
                  <c:v>JobSeeker Payment recipients
(with partial capacity to work)</c:v>
                </c:pt>
                <c:pt idx="1">
                  <c:v>DSP Recipents </c:v>
                </c:pt>
              </c:strCache>
            </c:strRef>
          </c:cat>
          <c:val>
            <c:numRef>
              <c:f>Proj!$B$13:$B$14</c:f>
              <c:numCache>
                <c:formatCode>General</c:formatCode>
                <c:ptCount val="2"/>
                <c:pt idx="0">
                  <c:v>2.14057959E-2</c:v>
                </c:pt>
                <c:pt idx="1">
                  <c:v>1.6592009999999999E-4</c:v>
                </c:pt>
              </c:numCache>
            </c:numRef>
          </c:val>
          <c:extLst>
            <c:ext xmlns:c16="http://schemas.microsoft.com/office/drawing/2014/chart" uri="{C3380CC4-5D6E-409C-BE32-E72D297353CC}">
              <c16:uniqueId val="{00000000-1384-487C-8E46-8B6CC3EA1CBA}"/>
            </c:ext>
          </c:extLst>
        </c:ser>
        <c:ser>
          <c:idx val="1"/>
          <c:order val="1"/>
          <c:tx>
            <c:strRef>
              <c:f>Proj!$C$12</c:f>
              <c:strCache>
                <c:ptCount val="1"/>
                <c:pt idx="0">
                  <c:v>B. Working age payments</c:v>
                </c:pt>
              </c:strCache>
            </c:strRef>
          </c:tx>
          <c:spPr>
            <a:solidFill>
              <a:srgbClr val="009644"/>
            </a:solidFill>
            <a:ln>
              <a:noFill/>
            </a:ln>
            <a:effectLst/>
          </c:spPr>
          <c:invertIfNegative val="0"/>
          <c:cat>
            <c:strRef>
              <c:f>Proj!$A$13:$A$14</c:f>
              <c:strCache>
                <c:ptCount val="2"/>
                <c:pt idx="0">
                  <c:v>JobSeeker Payment recipients
(with partial capacity to work)</c:v>
                </c:pt>
                <c:pt idx="1">
                  <c:v>DSP Recipents </c:v>
                </c:pt>
              </c:strCache>
            </c:strRef>
          </c:cat>
          <c:val>
            <c:numRef>
              <c:f>Proj!$C$13:$C$14</c:f>
              <c:numCache>
                <c:formatCode>General</c:formatCode>
                <c:ptCount val="2"/>
                <c:pt idx="0">
                  <c:v>2.9379192675999999</c:v>
                </c:pt>
                <c:pt idx="1">
                  <c:v>5.9049189000000002E-3</c:v>
                </c:pt>
              </c:numCache>
            </c:numRef>
          </c:val>
          <c:extLst>
            <c:ext xmlns:c16="http://schemas.microsoft.com/office/drawing/2014/chart" uri="{C3380CC4-5D6E-409C-BE32-E72D297353CC}">
              <c16:uniqueId val="{00000001-1384-487C-8E46-8B6CC3EA1CBA}"/>
            </c:ext>
          </c:extLst>
        </c:ser>
        <c:ser>
          <c:idx val="2"/>
          <c:order val="2"/>
          <c:tx>
            <c:strRef>
              <c:f>Proj!$D$12</c:f>
              <c:strCache>
                <c:ptCount val="1"/>
                <c:pt idx="0">
                  <c:v>C. Parenting Payment</c:v>
                </c:pt>
              </c:strCache>
            </c:strRef>
          </c:tx>
          <c:spPr>
            <a:solidFill>
              <a:srgbClr val="E26B0A"/>
            </a:solidFill>
            <a:ln>
              <a:noFill/>
            </a:ln>
            <a:effectLst/>
          </c:spPr>
          <c:invertIfNegative val="0"/>
          <c:cat>
            <c:strRef>
              <c:f>Proj!$A$13:$A$14</c:f>
              <c:strCache>
                <c:ptCount val="2"/>
                <c:pt idx="0">
                  <c:v>JobSeeker Payment recipients
(with partial capacity to work)</c:v>
                </c:pt>
                <c:pt idx="1">
                  <c:v>DSP Recipents </c:v>
                </c:pt>
              </c:strCache>
            </c:strRef>
          </c:cat>
          <c:val>
            <c:numRef>
              <c:f>Proj!$D$13:$D$14</c:f>
              <c:numCache>
                <c:formatCode>General</c:formatCode>
                <c:ptCount val="2"/>
                <c:pt idx="0">
                  <c:v>6.5076157999999995E-2</c:v>
                </c:pt>
                <c:pt idx="1">
                  <c:v>4.1840989999999999E-4</c:v>
                </c:pt>
              </c:numCache>
            </c:numRef>
          </c:val>
          <c:extLst>
            <c:ext xmlns:c16="http://schemas.microsoft.com/office/drawing/2014/chart" uri="{C3380CC4-5D6E-409C-BE32-E72D297353CC}">
              <c16:uniqueId val="{00000002-1384-487C-8E46-8B6CC3EA1CBA}"/>
            </c:ext>
          </c:extLst>
        </c:ser>
        <c:ser>
          <c:idx val="3"/>
          <c:order val="3"/>
          <c:tx>
            <c:strRef>
              <c:f>Proj!$E$12</c:f>
              <c:strCache>
                <c:ptCount val="1"/>
                <c:pt idx="0">
                  <c:v>D. Carer Payment</c:v>
                </c:pt>
              </c:strCache>
            </c:strRef>
          </c:tx>
          <c:spPr>
            <a:solidFill>
              <a:srgbClr val="E18BD7"/>
            </a:solidFill>
            <a:ln>
              <a:noFill/>
            </a:ln>
            <a:effectLst/>
          </c:spPr>
          <c:invertIfNegative val="0"/>
          <c:cat>
            <c:strRef>
              <c:f>Proj!$A$13:$A$14</c:f>
              <c:strCache>
                <c:ptCount val="2"/>
                <c:pt idx="0">
                  <c:v>JobSeeker Payment recipients
(with partial capacity to work)</c:v>
                </c:pt>
                <c:pt idx="1">
                  <c:v>DSP Recipents </c:v>
                </c:pt>
              </c:strCache>
            </c:strRef>
          </c:cat>
          <c:val>
            <c:numRef>
              <c:f>Proj!$E$13:$E$14</c:f>
              <c:numCache>
                <c:formatCode>General</c:formatCode>
                <c:ptCount val="2"/>
                <c:pt idx="0">
                  <c:v>0.12871898800000001</c:v>
                </c:pt>
                <c:pt idx="1">
                  <c:v>2.1238329999999999E-3</c:v>
                </c:pt>
              </c:numCache>
            </c:numRef>
          </c:val>
          <c:extLst>
            <c:ext xmlns:c16="http://schemas.microsoft.com/office/drawing/2014/chart" uri="{C3380CC4-5D6E-409C-BE32-E72D297353CC}">
              <c16:uniqueId val="{00000003-1384-487C-8E46-8B6CC3EA1CBA}"/>
            </c:ext>
          </c:extLst>
        </c:ser>
        <c:ser>
          <c:idx val="4"/>
          <c:order val="4"/>
          <c:tx>
            <c:strRef>
              <c:f>Proj!$F$12</c:f>
              <c:strCache>
                <c:ptCount val="1"/>
                <c:pt idx="0">
                  <c:v>E. DSP</c:v>
                </c:pt>
              </c:strCache>
            </c:strRef>
          </c:tx>
          <c:spPr>
            <a:solidFill>
              <a:srgbClr val="8064A2"/>
            </a:solidFill>
            <a:ln>
              <a:noFill/>
            </a:ln>
            <a:effectLst/>
          </c:spPr>
          <c:invertIfNegative val="0"/>
          <c:dLbls>
            <c:dLbl>
              <c:idx val="0"/>
              <c:layout>
                <c:manualLayout>
                  <c:x val="9.0108162767875241E-2"/>
                  <c:y val="-5.0093750692005211E-17"/>
                </c:manualLayout>
              </c:layout>
              <c:tx>
                <c:rich>
                  <a:bodyPr/>
                  <a:lstStyle/>
                  <a:p>
                    <a:r>
                      <a:rPr lang="en-US"/>
                      <a:t>3.8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384-487C-8E46-8B6CC3EA1CBA}"/>
                </c:ext>
              </c:extLst>
            </c:dLbl>
            <c:dLbl>
              <c:idx val="1"/>
              <c:layout>
                <c:manualLayout>
                  <c:x val="0.29325983675269601"/>
                  <c:y val="-5.547884226375044E-3"/>
                </c:manualLayout>
              </c:layout>
              <c:tx>
                <c:rich>
                  <a:bodyPr/>
                  <a:lstStyle/>
                  <a:p>
                    <a:r>
                      <a:rPr lang="en-US"/>
                      <a:t>4.7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384-487C-8E46-8B6CC3EA1CB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Proj!$A$13:$A$14</c:f>
              <c:strCache>
                <c:ptCount val="2"/>
                <c:pt idx="0">
                  <c:v>JobSeeker Payment recipients
(with partial capacity to work)</c:v>
                </c:pt>
                <c:pt idx="1">
                  <c:v>DSP Recipents </c:v>
                </c:pt>
              </c:strCache>
            </c:strRef>
          </c:cat>
          <c:val>
            <c:numRef>
              <c:f>Proj!$F$13:$F$14</c:f>
              <c:numCache>
                <c:formatCode>General</c:formatCode>
                <c:ptCount val="2"/>
                <c:pt idx="0">
                  <c:v>0.25921913520000001</c:v>
                </c:pt>
                <c:pt idx="1">
                  <c:v>4.3847075682999996</c:v>
                </c:pt>
              </c:numCache>
            </c:numRef>
          </c:val>
          <c:extLst>
            <c:ext xmlns:c16="http://schemas.microsoft.com/office/drawing/2014/chart" uri="{C3380CC4-5D6E-409C-BE32-E72D297353CC}">
              <c16:uniqueId val="{00000006-1384-487C-8E46-8B6CC3EA1CBA}"/>
            </c:ext>
          </c:extLst>
        </c:ser>
        <c:ser>
          <c:idx val="5"/>
          <c:order val="5"/>
          <c:tx>
            <c:strRef>
              <c:f>Proj!$G$12</c:f>
              <c:strCache>
                <c:ptCount val="1"/>
                <c:pt idx="0">
                  <c:v>F. Age Pension</c:v>
                </c:pt>
              </c:strCache>
            </c:strRef>
          </c:tx>
          <c:spPr>
            <a:solidFill>
              <a:srgbClr val="C0504D"/>
            </a:solidFill>
            <a:ln>
              <a:noFill/>
            </a:ln>
            <a:effectLst/>
          </c:spPr>
          <c:invertIfNegative val="0"/>
          <c:cat>
            <c:strRef>
              <c:f>Proj!$A$13:$A$14</c:f>
              <c:strCache>
                <c:ptCount val="2"/>
                <c:pt idx="0">
                  <c:v>JobSeeker Payment recipients
(with partial capacity to work)</c:v>
                </c:pt>
                <c:pt idx="1">
                  <c:v>DSP Recipents </c:v>
                </c:pt>
              </c:strCache>
            </c:strRef>
          </c:cat>
          <c:val>
            <c:numRef>
              <c:f>Proj!$G$13:$G$14</c:f>
              <c:numCache>
                <c:formatCode>General</c:formatCode>
                <c:ptCount val="2"/>
                <c:pt idx="0">
                  <c:v>0.40879542190000001</c:v>
                </c:pt>
                <c:pt idx="1">
                  <c:v>0.26996963969999999</c:v>
                </c:pt>
              </c:numCache>
            </c:numRef>
          </c:val>
          <c:extLst>
            <c:ext xmlns:c16="http://schemas.microsoft.com/office/drawing/2014/chart" uri="{C3380CC4-5D6E-409C-BE32-E72D297353CC}">
              <c16:uniqueId val="{00000007-1384-487C-8E46-8B6CC3EA1CBA}"/>
            </c:ext>
          </c:extLst>
        </c:ser>
        <c:dLbls>
          <c:showLegendKey val="0"/>
          <c:showVal val="0"/>
          <c:showCatName val="0"/>
          <c:showSerName val="0"/>
          <c:showPercent val="0"/>
          <c:showBubbleSize val="0"/>
        </c:dLbls>
        <c:gapWidth val="150"/>
        <c:overlap val="100"/>
        <c:axId val="699589640"/>
        <c:axId val="699591608"/>
      </c:barChart>
      <c:catAx>
        <c:axId val="69958964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Income support received</a:t>
                </a:r>
              </a:p>
              <a:p>
                <a:pPr>
                  <a:defRPr b="1"/>
                </a:pPr>
                <a:r>
                  <a:rPr lang="en-AU" b="1">
                    <a:solidFill>
                      <a:sysClr val="windowText" lastClr="000000"/>
                    </a:solidFill>
                  </a:rPr>
                  <a:t> at 30 June 2022</a:t>
                </a:r>
              </a:p>
            </c:rich>
          </c:tx>
          <c:layout>
            <c:manualLayout>
              <c:xMode val="edge"/>
              <c:yMode val="edge"/>
              <c:x val="1.1357671200190884E-2"/>
              <c:y val="6.9925842108216271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9591608"/>
        <c:crosses val="autoZero"/>
        <c:auto val="1"/>
        <c:lblAlgn val="ctr"/>
        <c:lblOffset val="100"/>
        <c:noMultiLvlLbl val="0"/>
      </c:catAx>
      <c:valAx>
        <c:axId val="699591608"/>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b="1">
                    <a:latin typeface="Arial" panose="020B0604020202020204" pitchFamily="34" charset="0"/>
                    <a:cs typeface="Arial" panose="020B0604020202020204" pitchFamily="34" charset="0"/>
                  </a:rPr>
                  <a:t>Years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9589640"/>
        <c:crosses val="autoZero"/>
        <c:crossBetween val="between"/>
        <c:majorUnit val="1"/>
      </c:valAx>
      <c:spPr>
        <a:noFill/>
        <a:ln>
          <a:noFill/>
        </a:ln>
        <a:effectLst/>
      </c:spPr>
    </c:plotArea>
    <c:legend>
      <c:legendPos val="b"/>
      <c:layout>
        <c:manualLayout>
          <c:xMode val="edge"/>
          <c:yMode val="edge"/>
          <c:x val="9.595845973798733E-3"/>
          <c:y val="0.79400892139076429"/>
          <c:w val="0.98122848280328601"/>
          <c:h val="0.1843085454579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6630932856162"/>
          <c:y val="7.246376811594203E-3"/>
          <c:w val="0.49933690671438374"/>
          <c:h val="0.85981855528928464"/>
        </c:manualLayout>
      </c:layout>
      <c:barChart>
        <c:barDir val="bar"/>
        <c:grouping val="clustered"/>
        <c:varyColors val="0"/>
        <c:ser>
          <c:idx val="0"/>
          <c:order val="0"/>
          <c:spPr>
            <a:solidFill>
              <a:srgbClr val="C00000"/>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640C-44B8-8BB8-B9A05DD78F54}"/>
              </c:ext>
            </c:extLst>
          </c:dPt>
          <c:dLbls>
            <c:dLbl>
              <c:idx val="0"/>
              <c:tx>
                <c:rich>
                  <a:bodyPr/>
                  <a:lstStyle/>
                  <a:p>
                    <a:fld id="{B4D05823-16A0-4F68-B985-3D1C465F9D6A}"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0C-44B8-8BB8-B9A05DD78F54}"/>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'Lifetime Cost'!$A$2:$A$3</c:f>
              <c:strCache>
                <c:ptCount val="2"/>
                <c:pt idx="0">
                  <c:v>JobSeeker Payment 
(with partial capacity to work)</c:v>
                </c:pt>
                <c:pt idx="1">
                  <c:v>DSP </c:v>
                </c:pt>
              </c:strCache>
            </c:strRef>
          </c:cat>
          <c:val>
            <c:numRef>
              <c:f>'Lifetime Cost'!$B$2:$B$3</c:f>
              <c:numCache>
                <c:formatCode>"$"#,##0</c:formatCode>
                <c:ptCount val="2"/>
                <c:pt idx="0">
                  <c:v>439000</c:v>
                </c:pt>
                <c:pt idx="1">
                  <c:v>529000</c:v>
                </c:pt>
              </c:numCache>
            </c:numRef>
          </c:val>
          <c:extLst>
            <c:ext xmlns:c16="http://schemas.microsoft.com/office/drawing/2014/chart" uri="{C3380CC4-5D6E-409C-BE32-E72D297353CC}">
              <c16:uniqueId val="{00000000-640C-44B8-8BB8-B9A05DD78F54}"/>
            </c:ext>
          </c:extLst>
        </c:ser>
        <c:dLbls>
          <c:dLblPos val="ctr"/>
          <c:showLegendKey val="0"/>
          <c:showVal val="1"/>
          <c:showCatName val="0"/>
          <c:showSerName val="0"/>
          <c:showPercent val="0"/>
          <c:showBubbleSize val="0"/>
        </c:dLbls>
        <c:gapWidth val="150"/>
        <c:axId val="555882616"/>
        <c:axId val="556713440"/>
      </c:barChart>
      <c:catAx>
        <c:axId val="5558826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Income support received at </a:t>
                </a:r>
                <a:br>
                  <a:rPr lang="en-AU" b="1"/>
                </a:br>
                <a:r>
                  <a:rPr lang="en-AU" b="1"/>
                  <a:t>30 June 2022</a:t>
                </a:r>
              </a:p>
            </c:rich>
          </c:tx>
          <c:layout>
            <c:manualLayout>
              <c:xMode val="edge"/>
              <c:yMode val="edge"/>
              <c:x val="5.0135361773001961E-3"/>
              <c:y val="8.9571212924809254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56713440"/>
        <c:crosses val="autoZero"/>
        <c:auto val="1"/>
        <c:lblAlgn val="ctr"/>
        <c:lblOffset val="100"/>
        <c:noMultiLvlLbl val="0"/>
      </c:catAx>
      <c:valAx>
        <c:axId val="556713440"/>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r>
                  <a:rPr lang="en-AU" b="1"/>
                  <a:t>Lifetime Cost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mn-cs"/>
                </a:defRPr>
              </a:pPr>
              <a:endParaRPr lang="en-US"/>
            </a:p>
          </c:txPr>
        </c:title>
        <c:numFmt formatCode="&quot;$&quot;#,##0" sourceLinked="1"/>
        <c:majorTickMark val="none"/>
        <c:minorTickMark val="none"/>
        <c:tickLblPos val="nextTo"/>
        <c:crossAx val="555882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solidFill>
            <a:schemeClr val="tx1"/>
          </a:solidFill>
          <a:latin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53478542454922"/>
          <c:y val="5.9024178269107087E-2"/>
          <c:w val="0.59461294610900906"/>
          <c:h val="0.6274367877928303"/>
        </c:manualLayout>
      </c:layout>
      <c:barChart>
        <c:barDir val="bar"/>
        <c:grouping val="percentStacked"/>
        <c:varyColors val="0"/>
        <c:ser>
          <c:idx val="1"/>
          <c:order val="0"/>
          <c:tx>
            <c:strRef>
              <c:f>'Historical starting age'!$D$19</c:f>
              <c:strCache>
                <c:ptCount val="1"/>
                <c:pt idx="0">
                  <c:v>A. Have used income support</c:v>
                </c:pt>
              </c:strCache>
            </c:strRef>
          </c:tx>
          <c:spPr>
            <a:solidFill>
              <a:srgbClr val="CC706E"/>
            </a:solidFill>
            <a:ln>
              <a:noFill/>
            </a:ln>
            <a:effectLst/>
          </c:spPr>
          <c:invertIfNegative val="0"/>
          <c:dLbls>
            <c:dLbl>
              <c:idx val="0"/>
              <c:layout>
                <c:manualLayout>
                  <c:x val="0"/>
                  <c:y val="-4.6583850931677016E-2"/>
                </c:manualLayout>
              </c:layout>
              <c:tx>
                <c:rich>
                  <a:bodyPr/>
                  <a:lstStyle/>
                  <a:p>
                    <a:r>
                      <a:rPr lang="en-US"/>
                      <a:t>A</a:t>
                    </a:r>
                  </a:p>
                  <a:p>
                    <a:endParaRPr lang="en-US" sz="600"/>
                  </a:p>
                  <a:p>
                    <a:fld id="{5671CF59-1782-414C-9C33-D7FEB0C97A38}"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5F2-48A4-A8ED-BD7935A3C395}"/>
                </c:ext>
              </c:extLst>
            </c:dLbl>
            <c:dLbl>
              <c:idx val="1"/>
              <c:layout>
                <c:manualLayout>
                  <c:x val="2.886002886002886E-3"/>
                  <c:y val="-4.6583850931677065E-2"/>
                </c:manualLayout>
              </c:layout>
              <c:tx>
                <c:rich>
                  <a:bodyPr/>
                  <a:lstStyle/>
                  <a:p>
                    <a:r>
                      <a:rPr lang="en-US"/>
                      <a:t>A</a:t>
                    </a:r>
                  </a:p>
                  <a:p>
                    <a:endParaRPr lang="en-US" sz="600"/>
                  </a:p>
                  <a:p>
                    <a:fld id="{BAD6E66C-26D6-4295-AF9E-5CEED26718C9}"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5F2-48A4-A8ED-BD7935A3C395}"/>
                </c:ext>
              </c:extLst>
            </c:dLbl>
            <c:dLbl>
              <c:idx val="2"/>
              <c:layout>
                <c:manualLayout>
                  <c:x val="0"/>
                  <c:y val="-5.1759834368530024E-2"/>
                </c:manualLayout>
              </c:layout>
              <c:tx>
                <c:rich>
                  <a:bodyPr/>
                  <a:lstStyle/>
                  <a:p>
                    <a:r>
                      <a:rPr lang="en-US"/>
                      <a:t>A</a:t>
                    </a:r>
                  </a:p>
                  <a:p>
                    <a:endParaRPr lang="en-US" sz="600"/>
                  </a:p>
                  <a:p>
                    <a:fld id="{11234F47-B48D-4317-93CD-6E01526CE7A4}"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5F2-48A4-A8ED-BD7935A3C395}"/>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'Historical starting age'!$B$20:$B$22</c:f>
              <c:strCache>
                <c:ptCount val="3"/>
                <c:pt idx="0">
                  <c:v>Not at all</c:v>
                </c:pt>
                <c:pt idx="1">
                  <c:v>Under 50%</c:v>
                </c:pt>
                <c:pt idx="2">
                  <c:v>50% to 100%</c:v>
                </c:pt>
              </c:strCache>
            </c:strRef>
          </c:cat>
          <c:val>
            <c:numRef>
              <c:f>'Historical starting age'!$D$20:$D$22</c:f>
              <c:numCache>
                <c:formatCode>0.00%</c:formatCode>
                <c:ptCount val="3"/>
                <c:pt idx="0">
                  <c:v>0.14380000000000001</c:v>
                </c:pt>
                <c:pt idx="1">
                  <c:v>0.40259999999999996</c:v>
                </c:pt>
                <c:pt idx="2">
                  <c:v>0.67589999999999995</c:v>
                </c:pt>
              </c:numCache>
            </c:numRef>
          </c:val>
          <c:extLst>
            <c:ext xmlns:c16="http://schemas.microsoft.com/office/drawing/2014/chart" uri="{C3380CC4-5D6E-409C-BE32-E72D297353CC}">
              <c16:uniqueId val="{00000000-6306-4604-B405-0570BEB596D3}"/>
            </c:ext>
          </c:extLst>
        </c:ser>
        <c:ser>
          <c:idx val="0"/>
          <c:order val="1"/>
          <c:tx>
            <c:strRef>
              <c:f>'Historical starting age'!$C$19</c:f>
              <c:strCache>
                <c:ptCount val="1"/>
                <c:pt idx="0">
                  <c:v>B. Not yet used income support</c:v>
                </c:pt>
              </c:strCache>
            </c:strRef>
          </c:tx>
          <c:spPr>
            <a:solidFill>
              <a:srgbClr val="FFEC8F"/>
            </a:solidFill>
            <a:ln>
              <a:noFill/>
            </a:ln>
            <a:effectLst/>
          </c:spPr>
          <c:invertIfNegative val="0"/>
          <c:dLbls>
            <c:dLbl>
              <c:idx val="0"/>
              <c:layout>
                <c:manualLayout>
                  <c:x val="0"/>
                  <c:y val="-4.6583850931677016E-2"/>
                </c:manualLayout>
              </c:layout>
              <c:tx>
                <c:rich>
                  <a:bodyPr/>
                  <a:lstStyle/>
                  <a:p>
                    <a:r>
                      <a:rPr lang="en-US"/>
                      <a:t>B</a:t>
                    </a:r>
                  </a:p>
                  <a:p>
                    <a:endParaRPr lang="en-US" sz="600"/>
                  </a:p>
                  <a:p>
                    <a:fld id="{BBDD3B59-1DBD-436C-91BD-147214973620}"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5F2-48A4-A8ED-BD7935A3C395}"/>
                </c:ext>
              </c:extLst>
            </c:dLbl>
            <c:dLbl>
              <c:idx val="1"/>
              <c:layout>
                <c:manualLayout>
                  <c:x val="5.772005772005772E-3"/>
                  <c:y val="-4.6583850931677065E-2"/>
                </c:manualLayout>
              </c:layout>
              <c:tx>
                <c:rich>
                  <a:bodyPr/>
                  <a:lstStyle/>
                  <a:p>
                    <a:r>
                      <a:rPr lang="en-US"/>
                      <a:t>B</a:t>
                    </a:r>
                  </a:p>
                  <a:p>
                    <a:endParaRPr lang="en-US" sz="600"/>
                  </a:p>
                  <a:p>
                    <a:fld id="{BDA63EF7-565E-4D54-8E7B-BFBF361599F3}"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5F2-48A4-A8ED-BD7935A3C395}"/>
                </c:ext>
              </c:extLst>
            </c:dLbl>
            <c:dLbl>
              <c:idx val="2"/>
              <c:layout>
                <c:manualLayout>
                  <c:x val="2.886002886002886E-3"/>
                  <c:y val="-5.1759834368530024E-2"/>
                </c:manualLayout>
              </c:layout>
              <c:tx>
                <c:rich>
                  <a:bodyPr/>
                  <a:lstStyle/>
                  <a:p>
                    <a:r>
                      <a:rPr lang="en-US"/>
                      <a:t>B</a:t>
                    </a:r>
                  </a:p>
                  <a:p>
                    <a:endParaRPr lang="en-US" sz="600"/>
                  </a:p>
                  <a:p>
                    <a:fld id="{745AECE1-CC74-4491-893A-37E60952572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F2-48A4-A8ED-BD7935A3C395}"/>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'Historical starting age'!$B$20:$B$22</c:f>
              <c:strCache>
                <c:ptCount val="3"/>
                <c:pt idx="0">
                  <c:v>Not at all</c:v>
                </c:pt>
                <c:pt idx="1">
                  <c:v>Under 50%</c:v>
                </c:pt>
                <c:pt idx="2">
                  <c:v>50% to 100%</c:v>
                </c:pt>
              </c:strCache>
            </c:strRef>
          </c:cat>
          <c:val>
            <c:numRef>
              <c:f>'Historical starting age'!$C$20:$C$22</c:f>
              <c:numCache>
                <c:formatCode>0.00%</c:formatCode>
                <c:ptCount val="3"/>
                <c:pt idx="0">
                  <c:v>0.85629999999999995</c:v>
                </c:pt>
                <c:pt idx="1">
                  <c:v>0.59740000000000004</c:v>
                </c:pt>
                <c:pt idx="2">
                  <c:v>0.32400000000000001</c:v>
                </c:pt>
              </c:numCache>
            </c:numRef>
          </c:val>
          <c:extLst>
            <c:ext xmlns:c16="http://schemas.microsoft.com/office/drawing/2014/chart" uri="{C3380CC4-5D6E-409C-BE32-E72D297353CC}">
              <c16:uniqueId val="{00000001-6306-4604-B405-0570BEB596D3}"/>
            </c:ext>
          </c:extLst>
        </c:ser>
        <c:dLbls>
          <c:showLegendKey val="0"/>
          <c:showVal val="1"/>
          <c:showCatName val="0"/>
          <c:showSerName val="0"/>
          <c:showPercent val="0"/>
          <c:showBubbleSize val="0"/>
        </c:dLbls>
        <c:gapWidth val="75"/>
        <c:overlap val="100"/>
        <c:axId val="633100056"/>
        <c:axId val="633100712"/>
      </c:barChart>
      <c:catAx>
        <c:axId val="63310005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33100712"/>
        <c:crosses val="autoZero"/>
        <c:auto val="1"/>
        <c:lblAlgn val="ctr"/>
        <c:lblOffset val="100"/>
        <c:noMultiLvlLbl val="0"/>
      </c:catAx>
      <c:valAx>
        <c:axId val="6331007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t>Proportion of people in group</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33100056"/>
        <c:crosses val="autoZero"/>
        <c:crossBetween val="between"/>
      </c:valAx>
      <c:spPr>
        <a:noFill/>
        <a:ln>
          <a:noFill/>
        </a:ln>
        <a:effectLst/>
      </c:spPr>
    </c:plotArea>
    <c:legend>
      <c:legendPos val="r"/>
      <c:layout>
        <c:manualLayout>
          <c:xMode val="edge"/>
          <c:yMode val="edge"/>
          <c:x val="0.10109486314210724"/>
          <c:y val="0.88599478698380685"/>
          <c:w val="0.81232505027780622"/>
          <c:h val="0.108850166292390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round/>
    </a:ln>
    <a:effectLst/>
  </c:spPr>
  <c:txPr>
    <a:bodyPr/>
    <a:lstStyle/>
    <a:p>
      <a:pPr>
        <a:defRPr sz="900" baseline="0">
          <a:solidFill>
            <a:schemeClr val="tx1"/>
          </a:solidFill>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570642382905284"/>
          <c:y val="2.5445292620865138E-2"/>
          <c:w val="0.46951211395864939"/>
          <c:h val="0.70547616127423329"/>
        </c:manualLayout>
      </c:layout>
      <c:barChart>
        <c:barDir val="bar"/>
        <c:grouping val="stacked"/>
        <c:varyColors val="0"/>
        <c:ser>
          <c:idx val="0"/>
          <c:order val="0"/>
          <c:tx>
            <c:v>A. Working age payments</c:v>
          </c:tx>
          <c:spPr>
            <a:solidFill>
              <a:srgbClr val="009644"/>
            </a:solidFill>
            <a:ln>
              <a:solidFill>
                <a:srgbClr val="009644"/>
              </a:solidFill>
            </a:ln>
            <a:effectLst/>
          </c:spPr>
          <c:invertIfNegative val="0"/>
          <c:dLbls>
            <c:dLbl>
              <c:idx val="0"/>
              <c:layout>
                <c:manualLayout>
                  <c:x val="5.5377440979306324E-2"/>
                  <c:y val="7.2094995759117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46-47B5-A194-7ACD8BCE0DFC}"/>
                </c:ext>
              </c:extLst>
            </c:dLbl>
            <c:dLbl>
              <c:idx val="1"/>
              <c:layout>
                <c:manualLayout>
                  <c:x val="6.1206645292917514E-2"/>
                  <c:y val="6.3613231552162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46-47B5-A194-7ACD8BCE0DFC}"/>
                </c:ext>
              </c:extLst>
            </c:dLbl>
            <c:dLbl>
              <c:idx val="2"/>
              <c:layout>
                <c:manualLayout>
                  <c:x val="0"/>
                  <c:y val="-2.9686174724342703E-2"/>
                </c:manualLayout>
              </c:layout>
              <c:tx>
                <c:rich>
                  <a:bodyPr/>
                  <a:lstStyle/>
                  <a:p>
                    <a:r>
                      <a:rPr lang="en-US" sz="800"/>
                      <a:t>A</a:t>
                    </a:r>
                  </a:p>
                  <a:p>
                    <a:endParaRPr lang="en-US" sz="300"/>
                  </a:p>
                  <a:p>
                    <a:fld id="{F47B06A6-9BE2-4B03-8CB7-4ECF734FF908}"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A83-4BFB-8B76-EF19E8CE3B03}"/>
                </c:ext>
              </c:extLst>
            </c:dLbl>
            <c:dLbl>
              <c:idx val="3"/>
              <c:layout>
                <c:manualLayout>
                  <c:x val="0"/>
                  <c:y val="-2.9686174724342682E-2"/>
                </c:manualLayout>
              </c:layout>
              <c:tx>
                <c:rich>
                  <a:bodyPr/>
                  <a:lstStyle/>
                  <a:p>
                    <a:r>
                      <a:rPr lang="en-US" sz="800"/>
                      <a:t>A</a:t>
                    </a:r>
                  </a:p>
                  <a:p>
                    <a:endParaRPr lang="en-US" sz="200"/>
                  </a:p>
                  <a:p>
                    <a:fld id="{4CBBDAD6-F4CF-4B57-9316-EFB31A8BDE43}"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A83-4BFB-8B76-EF19E8CE3B03}"/>
                </c:ext>
              </c:extLst>
            </c:dLbl>
            <c:dLbl>
              <c:idx val="4"/>
              <c:layout>
                <c:manualLayout>
                  <c:x val="2.9146021568054892E-3"/>
                  <c:y val="-3.3927056827820185E-2"/>
                </c:manualLayout>
              </c:layout>
              <c:tx>
                <c:rich>
                  <a:bodyPr/>
                  <a:lstStyle/>
                  <a:p>
                    <a:r>
                      <a:rPr lang="en-US" sz="800"/>
                      <a:t>A</a:t>
                    </a:r>
                  </a:p>
                  <a:p>
                    <a:endParaRPr lang="en-US" sz="300"/>
                  </a:p>
                  <a:p>
                    <a:fld id="{26800970-4855-4037-8A31-04F0CE39B514}"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A83-4BFB-8B76-EF19E8CE3B0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Word]Dur'!$J$2:$J$6</c:f>
              <c:strCache>
                <c:ptCount val="5"/>
                <c:pt idx="0">
                  <c:v>Not on income support</c:v>
                </c:pt>
                <c:pt idx="1">
                  <c:v>Studying payments - Higher Ed</c:v>
                </c:pt>
                <c:pt idx="2">
                  <c:v>Studying payments - VET</c:v>
                </c:pt>
                <c:pt idx="3">
                  <c:v>Studying payments - School</c:v>
                </c:pt>
                <c:pt idx="4">
                  <c:v>Working age payments</c:v>
                </c:pt>
              </c:strCache>
            </c:strRef>
          </c:cat>
          <c:val>
            <c:numRef>
              <c:f>'[Chart in Microsoft Word]Dur'!$L$2:$L$6</c:f>
              <c:numCache>
                <c:formatCode>General</c:formatCode>
                <c:ptCount val="5"/>
                <c:pt idx="0">
                  <c:v>8.5330006900000005E-2</c:v>
                </c:pt>
                <c:pt idx="1">
                  <c:v>0.27499659949999999</c:v>
                </c:pt>
                <c:pt idx="2">
                  <c:v>0.61905637440000005</c:v>
                </c:pt>
                <c:pt idx="3">
                  <c:v>0.95136614340000003</c:v>
                </c:pt>
                <c:pt idx="4">
                  <c:v>1.9488740789000001</c:v>
                </c:pt>
              </c:numCache>
            </c:numRef>
          </c:val>
          <c:extLst>
            <c:ext xmlns:c16="http://schemas.microsoft.com/office/drawing/2014/chart" uri="{C3380CC4-5D6E-409C-BE32-E72D297353CC}">
              <c16:uniqueId val="{00000002-0246-47B5-A194-7ACD8BCE0DFC}"/>
            </c:ext>
          </c:extLst>
        </c:ser>
        <c:ser>
          <c:idx val="1"/>
          <c:order val="1"/>
          <c:tx>
            <c:v>B. Studying payments</c:v>
          </c:tx>
          <c:spPr>
            <a:solidFill>
              <a:srgbClr val="1F497D"/>
            </a:solidFill>
            <a:ln>
              <a:solidFill>
                <a:srgbClr val="1F497D"/>
              </a:solidFill>
            </a:ln>
            <a:effectLst/>
          </c:spPr>
          <c:invertIfNegative val="0"/>
          <c:dLbls>
            <c:dLbl>
              <c:idx val="0"/>
              <c:layout>
                <c:manualLayout>
                  <c:x val="2.9146021568055959E-3"/>
                  <c:y val="-5.9372349448685406E-2"/>
                </c:manualLayout>
              </c:layout>
              <c:tx>
                <c:rich>
                  <a:bodyPr/>
                  <a:lstStyle/>
                  <a:p>
                    <a:r>
                      <a:rPr lang="en-US" sz="800"/>
                      <a:t>A-E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A83-4BFB-8B76-EF19E8CE3B03}"/>
                </c:ext>
              </c:extLst>
            </c:dLbl>
            <c:dLbl>
              <c:idx val="1"/>
              <c:layout>
                <c:manualLayout>
                  <c:x val="2.9148316530384156E-3"/>
                  <c:y val="-5.937234944868533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r>
                      <a:rPr lang="en-US" sz="800"/>
                      <a:t>A           B         C-E</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650527726587367"/>
                      <c:h val="8.2230703986429191E-2"/>
                    </c:manualLayout>
                  </c15:layout>
                  <c15:showDataLabelsRange val="0"/>
                </c:ext>
                <c:ext xmlns:c16="http://schemas.microsoft.com/office/drawing/2014/chart" uri="{C3380CC4-5D6E-409C-BE32-E72D297353CC}">
                  <c16:uniqueId val="{00000006-3A83-4BFB-8B76-EF19E8CE3B03}"/>
                </c:ext>
              </c:extLst>
            </c:dLbl>
            <c:dLbl>
              <c:idx val="2"/>
              <c:layout>
                <c:manualLayout>
                  <c:x val="3.7889828038472746E-2"/>
                  <c:y val="-5.9372349448685365E-2"/>
                </c:manualLayout>
              </c:layout>
              <c:tx>
                <c:rich>
                  <a:bodyPr/>
                  <a:lstStyle/>
                  <a:p>
                    <a:r>
                      <a:rPr lang="en-US" sz="800"/>
                      <a:t>B</a:t>
                    </a:r>
                    <a:r>
                      <a:rPr lang="en-US" sz="800" baseline="0"/>
                      <a:t>    CDE</a:t>
                    </a:r>
                    <a:endParaRPr lang="en-US" sz="80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A83-4BFB-8B76-EF19E8CE3B03}"/>
                </c:ext>
              </c:extLst>
            </c:dLbl>
            <c:dLbl>
              <c:idx val="3"/>
              <c:layout>
                <c:manualLayout>
                  <c:x val="4.6633634508889535E-2"/>
                  <c:y val="-5.5131467345207824E-2"/>
                </c:manualLayout>
              </c:layout>
              <c:tx>
                <c:rich>
                  <a:bodyPr/>
                  <a:lstStyle/>
                  <a:p>
                    <a:r>
                      <a:rPr lang="en-US" sz="800"/>
                      <a:t>B      CDE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A83-4BFB-8B76-EF19E8CE3B03}"/>
                </c:ext>
              </c:extLst>
            </c:dLbl>
            <c:dLbl>
              <c:idx val="4"/>
              <c:layout>
                <c:manualLayout>
                  <c:x val="2.331681725444466E-2"/>
                  <c:y val="-6.3612897624438169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r>
                      <a:rPr lang="en-US" sz="800"/>
                      <a:t>BCDE</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2101428155056834"/>
                      <c:h val="5.8057675996607293E-2"/>
                    </c:manualLayout>
                  </c15:layout>
                  <c15:showDataLabelsRange val="0"/>
                </c:ext>
                <c:ext xmlns:c16="http://schemas.microsoft.com/office/drawing/2014/chart" uri="{C3380CC4-5D6E-409C-BE32-E72D297353CC}">
                  <c16:uniqueId val="{00000001-3A83-4BFB-8B76-EF19E8CE3B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Word]Dur'!$J$2:$J$6</c:f>
              <c:strCache>
                <c:ptCount val="5"/>
                <c:pt idx="0">
                  <c:v>Not on income support</c:v>
                </c:pt>
                <c:pt idx="1">
                  <c:v>Studying payments - Higher Ed</c:v>
                </c:pt>
                <c:pt idx="2">
                  <c:v>Studying payments - VET</c:v>
                </c:pt>
                <c:pt idx="3">
                  <c:v>Studying payments - School</c:v>
                </c:pt>
                <c:pt idx="4">
                  <c:v>Working age payments</c:v>
                </c:pt>
              </c:strCache>
            </c:strRef>
          </c:cat>
          <c:val>
            <c:numRef>
              <c:f>'[Chart in Microsoft Word]Dur'!$K$2:$K$6</c:f>
              <c:numCache>
                <c:formatCode>General</c:formatCode>
                <c:ptCount val="5"/>
                <c:pt idx="0">
                  <c:v>0.16893694379999999</c:v>
                </c:pt>
                <c:pt idx="1">
                  <c:v>1.6229739459999999</c:v>
                </c:pt>
                <c:pt idx="2">
                  <c:v>1.1744587111</c:v>
                </c:pt>
                <c:pt idx="3">
                  <c:v>1.2760523715000001</c:v>
                </c:pt>
                <c:pt idx="4">
                  <c:v>0.15356421379999999</c:v>
                </c:pt>
              </c:numCache>
            </c:numRef>
          </c:val>
          <c:extLst>
            <c:ext xmlns:c16="http://schemas.microsoft.com/office/drawing/2014/chart" uri="{C3380CC4-5D6E-409C-BE32-E72D297353CC}">
              <c16:uniqueId val="{00000003-0246-47B5-A194-7ACD8BCE0DFC}"/>
            </c:ext>
          </c:extLst>
        </c:ser>
        <c:ser>
          <c:idx val="2"/>
          <c:order val="2"/>
          <c:tx>
            <c:v>C. Parenting Payment</c:v>
          </c:tx>
          <c:spPr>
            <a:solidFill>
              <a:srgbClr val="E26B0A"/>
            </a:solidFill>
            <a:ln>
              <a:solidFill>
                <a:srgbClr val="E26B0A"/>
              </a:solidFill>
            </a:ln>
            <a:effectLst/>
          </c:spPr>
          <c:invertIfNegative val="0"/>
          <c:cat>
            <c:strRef>
              <c:f>'[Chart in Microsoft Word]Dur'!$J$2:$J$6</c:f>
              <c:strCache>
                <c:ptCount val="5"/>
                <c:pt idx="0">
                  <c:v>Not on income support</c:v>
                </c:pt>
                <c:pt idx="1">
                  <c:v>Studying payments - Higher Ed</c:v>
                </c:pt>
                <c:pt idx="2">
                  <c:v>Studying payments - VET</c:v>
                </c:pt>
                <c:pt idx="3">
                  <c:v>Studying payments - School</c:v>
                </c:pt>
                <c:pt idx="4">
                  <c:v>Working age payments</c:v>
                </c:pt>
              </c:strCache>
            </c:strRef>
          </c:cat>
          <c:val>
            <c:numRef>
              <c:f>'[Chart in Microsoft Word]Dur'!$M$2:$M$6</c:f>
              <c:numCache>
                <c:formatCode>General</c:formatCode>
                <c:ptCount val="5"/>
                <c:pt idx="0">
                  <c:v>3.43099953E-2</c:v>
                </c:pt>
                <c:pt idx="1">
                  <c:v>4.0659010400000001E-2</c:v>
                </c:pt>
                <c:pt idx="2">
                  <c:v>0.1081698879</c:v>
                </c:pt>
                <c:pt idx="3">
                  <c:v>0.1440141556</c:v>
                </c:pt>
                <c:pt idx="4">
                  <c:v>0.3119671275</c:v>
                </c:pt>
              </c:numCache>
            </c:numRef>
          </c:val>
          <c:extLst>
            <c:ext xmlns:c16="http://schemas.microsoft.com/office/drawing/2014/chart" uri="{C3380CC4-5D6E-409C-BE32-E72D297353CC}">
              <c16:uniqueId val="{00000004-0246-47B5-A194-7ACD8BCE0DFC}"/>
            </c:ext>
          </c:extLst>
        </c:ser>
        <c:ser>
          <c:idx val="3"/>
          <c:order val="3"/>
          <c:tx>
            <c:v>D. Carer Payment</c:v>
          </c:tx>
          <c:spPr>
            <a:solidFill>
              <a:srgbClr val="E18BD7"/>
            </a:solidFill>
            <a:ln>
              <a:solidFill>
                <a:srgbClr val="E18BD7"/>
              </a:solidFill>
            </a:ln>
            <a:effectLst/>
          </c:spPr>
          <c:invertIfNegative val="0"/>
          <c:cat>
            <c:strRef>
              <c:f>'[Chart in Microsoft Word]Dur'!$J$2:$J$6</c:f>
              <c:strCache>
                <c:ptCount val="5"/>
                <c:pt idx="0">
                  <c:v>Not on income support</c:v>
                </c:pt>
                <c:pt idx="1">
                  <c:v>Studying payments - Higher Ed</c:v>
                </c:pt>
                <c:pt idx="2">
                  <c:v>Studying payments - VET</c:v>
                </c:pt>
                <c:pt idx="3">
                  <c:v>Studying payments - School</c:v>
                </c:pt>
                <c:pt idx="4">
                  <c:v>Working age payments</c:v>
                </c:pt>
              </c:strCache>
            </c:strRef>
          </c:cat>
          <c:val>
            <c:numRef>
              <c:f>'[Chart in Microsoft Word]Dur'!$N$2:$N$6</c:f>
              <c:numCache>
                <c:formatCode>General</c:formatCode>
                <c:ptCount val="5"/>
                <c:pt idx="0">
                  <c:v>5.5859886999999999E-3</c:v>
                </c:pt>
                <c:pt idx="1">
                  <c:v>1.24749248E-2</c:v>
                </c:pt>
                <c:pt idx="2">
                  <c:v>3.1864600799999997E-2</c:v>
                </c:pt>
                <c:pt idx="3">
                  <c:v>5.1351265200000003E-2</c:v>
                </c:pt>
                <c:pt idx="4">
                  <c:v>4.3426962E-2</c:v>
                </c:pt>
              </c:numCache>
            </c:numRef>
          </c:val>
          <c:extLst>
            <c:ext xmlns:c16="http://schemas.microsoft.com/office/drawing/2014/chart" uri="{C3380CC4-5D6E-409C-BE32-E72D297353CC}">
              <c16:uniqueId val="{00000005-0246-47B5-A194-7ACD8BCE0DFC}"/>
            </c:ext>
          </c:extLst>
        </c:ser>
        <c:ser>
          <c:idx val="4"/>
          <c:order val="4"/>
          <c:tx>
            <c:v>E. DSP</c:v>
          </c:tx>
          <c:spPr>
            <a:solidFill>
              <a:srgbClr val="8064A2"/>
            </a:solidFill>
            <a:ln>
              <a:solidFill>
                <a:srgbClr val="8064A2"/>
              </a:solidFill>
            </a:ln>
            <a:effectLst/>
          </c:spPr>
          <c:invertIfNegative val="0"/>
          <c:dLbls>
            <c:dLbl>
              <c:idx val="0"/>
              <c:layout>
                <c:manualLayout>
                  <c:x val="4.3046263512362966E-2"/>
                  <c:y val="0"/>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246-47B5-A194-7ACD8BCE0DFC}"/>
                </c:ext>
              </c:extLst>
            </c:dLbl>
            <c:dLbl>
              <c:idx val="1"/>
              <c:layout>
                <c:manualLayout>
                  <c:x val="2.7162477173574669E-2"/>
                  <c:y val="0"/>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246-47B5-A194-7ACD8BCE0DFC}"/>
                </c:ext>
              </c:extLst>
            </c:dLbl>
            <c:dLbl>
              <c:idx val="2"/>
              <c:layout>
                <c:manualLayout>
                  <c:x val="3.0145325794007184E-2"/>
                  <c:y val="0"/>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246-47B5-A194-7ACD8BCE0DFC}"/>
                </c:ext>
              </c:extLst>
            </c:dLbl>
            <c:dLbl>
              <c:idx val="3"/>
              <c:layout>
                <c:manualLayout>
                  <c:x val="3.6650343005228014E-2"/>
                  <c:y val="-3.8075018790340163E-17"/>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246-47B5-A194-7ACD8BCE0DFC}"/>
                </c:ext>
              </c:extLst>
            </c:dLbl>
            <c:dLbl>
              <c:idx val="4"/>
              <c:layout>
                <c:manualLayout>
                  <c:x val="3.6445245902398317E-2"/>
                  <c:y val="4.7593773487925203E-18"/>
                </c:manualLayout>
              </c:layout>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246-47B5-A194-7ACD8BCE0DFC}"/>
                </c:ext>
              </c:extLst>
            </c:dLbl>
            <c:dLbl>
              <c:idx val="5"/>
              <c:layout>
                <c:manualLayout>
                  <c:x val="3.0555555555555555E-2"/>
                  <c:y val="-4.2437781360066642E-17"/>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246-47B5-A194-7ACD8BCE0DFC}"/>
                </c:ext>
              </c:extLst>
            </c:dLbl>
            <c:numFmt formatCode="#,##0.0" sourceLinked="0"/>
            <c:spPr>
              <a:noFill/>
              <a:ln>
                <a:noFill/>
              </a:ln>
              <a:effectLst/>
            </c:spPr>
            <c:txPr>
              <a:bodyPr rot="0" spcFirstLastPara="1" vertOverflow="overflow" horzOverflow="overflow" vert="horz" wrap="square"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Word]Dur'!$J$2:$J$6</c:f>
              <c:strCache>
                <c:ptCount val="5"/>
                <c:pt idx="0">
                  <c:v>Not on income support</c:v>
                </c:pt>
                <c:pt idx="1">
                  <c:v>Studying payments - Higher Ed</c:v>
                </c:pt>
                <c:pt idx="2">
                  <c:v>Studying payments - VET</c:v>
                </c:pt>
                <c:pt idx="3">
                  <c:v>Studying payments - School</c:v>
                </c:pt>
                <c:pt idx="4">
                  <c:v>Working age payments</c:v>
                </c:pt>
              </c:strCache>
            </c:strRef>
          </c:cat>
          <c:val>
            <c:numRef>
              <c:f>'[Chart in Microsoft Word]Dur'!$O$2:$O$6</c:f>
              <c:numCache>
                <c:formatCode>General</c:formatCode>
                <c:ptCount val="5"/>
                <c:pt idx="0">
                  <c:v>1.2448312099999999E-2</c:v>
                </c:pt>
                <c:pt idx="1">
                  <c:v>7.2028489999999999E-3</c:v>
                </c:pt>
                <c:pt idx="2">
                  <c:v>2.1632185200000001E-2</c:v>
                </c:pt>
                <c:pt idx="3">
                  <c:v>6.2376058700000001E-2</c:v>
                </c:pt>
                <c:pt idx="4">
                  <c:v>0.1019120007</c:v>
                </c:pt>
              </c:numCache>
            </c:numRef>
          </c:val>
          <c:extLst>
            <c:ext xmlns:c16="http://schemas.microsoft.com/office/drawing/2014/chart" uri="{C3380CC4-5D6E-409C-BE32-E72D297353CC}">
              <c16:uniqueId val="{0000000C-0246-47B5-A194-7ACD8BCE0DFC}"/>
            </c:ext>
          </c:extLst>
        </c:ser>
        <c:ser>
          <c:idx val="5"/>
          <c:order val="5"/>
          <c:tx>
            <c:v>F. Age Pension</c:v>
          </c:tx>
          <c:spPr>
            <a:solidFill>
              <a:srgbClr val="C0504D"/>
            </a:solidFill>
            <a:ln>
              <a:solidFill>
                <a:srgbClr val="C00000"/>
              </a:solidFill>
            </a:ln>
            <a:effectLst/>
          </c:spPr>
          <c:invertIfNegative val="0"/>
          <c:cat>
            <c:strRef>
              <c:f>'[Chart in Microsoft Word]Dur'!$J$2:$J$6</c:f>
              <c:strCache>
                <c:ptCount val="5"/>
                <c:pt idx="0">
                  <c:v>Not on income support</c:v>
                </c:pt>
                <c:pt idx="1">
                  <c:v>Studying payments - Higher Ed</c:v>
                </c:pt>
                <c:pt idx="2">
                  <c:v>Studying payments - VET</c:v>
                </c:pt>
                <c:pt idx="3">
                  <c:v>Studying payments - School</c:v>
                </c:pt>
                <c:pt idx="4">
                  <c:v>Working age payments</c:v>
                </c:pt>
              </c:strCache>
            </c:strRef>
          </c:cat>
          <c:val>
            <c:numRef>
              <c:f>'[Chart in Microsoft Word]Dur'!$P$2:$P$6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D-0246-47B5-A194-7ACD8BCE0DFC}"/>
            </c:ext>
          </c:extLst>
        </c:ser>
        <c:dLbls>
          <c:showLegendKey val="0"/>
          <c:showVal val="0"/>
          <c:showCatName val="0"/>
          <c:showSerName val="0"/>
          <c:showPercent val="0"/>
          <c:showBubbleSize val="0"/>
        </c:dLbls>
        <c:gapWidth val="75"/>
        <c:overlap val="100"/>
        <c:axId val="560349184"/>
        <c:axId val="560347216"/>
      </c:barChart>
      <c:catAx>
        <c:axId val="56034918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 Income support received at 30 June 2022 (with education sector for student payments)</a:t>
                </a:r>
              </a:p>
            </c:rich>
          </c:tx>
          <c:layout>
            <c:manualLayout>
              <c:xMode val="edge"/>
              <c:yMode val="edge"/>
              <c:x val="4.5463962749180825E-3"/>
              <c:y val="2.3186299037035087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7216"/>
        <c:crosses val="autoZero"/>
        <c:auto val="1"/>
        <c:lblAlgn val="ctr"/>
        <c:lblOffset val="100"/>
        <c:noMultiLvlLbl val="0"/>
      </c:catAx>
      <c:valAx>
        <c:axId val="560347216"/>
        <c:scaling>
          <c:orientation val="minMax"/>
          <c:max val="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9184"/>
        <c:crosses val="autoZero"/>
        <c:crossBetween val="between"/>
        <c:majorUnit val="1"/>
      </c:valAx>
      <c:spPr>
        <a:noFill/>
        <a:ln>
          <a:noFill/>
        </a:ln>
        <a:effectLst/>
      </c:spPr>
    </c:plotArea>
    <c:legend>
      <c:legendPos val="b"/>
      <c:legendEntry>
        <c:idx val="5"/>
        <c:delete val="1"/>
      </c:legendEntry>
      <c:layout>
        <c:manualLayout>
          <c:xMode val="edge"/>
          <c:yMode val="edge"/>
          <c:x val="2.5550045096009753E-2"/>
          <c:y val="0.85176380624177706"/>
          <c:w val="0.95180961440222667"/>
          <c:h val="0.144790639487821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9498692679584386"/>
          <c:y val="8.3340404911099114E-4"/>
          <c:w val="0.36678005650587225"/>
          <c:h val="0.71162547389909581"/>
        </c:manualLayout>
      </c:layout>
      <c:barChart>
        <c:barDir val="bar"/>
        <c:grouping val="stacked"/>
        <c:varyColors val="0"/>
        <c:ser>
          <c:idx val="1"/>
          <c:order val="0"/>
          <c:tx>
            <c:v>A. Working age payments</c:v>
          </c:tx>
          <c:spPr>
            <a:solidFill>
              <a:srgbClr val="009644"/>
            </a:solidFill>
            <a:ln>
              <a:solidFill>
                <a:srgbClr val="009644"/>
              </a:solidFill>
            </a:ln>
            <a:effectLst/>
          </c:spPr>
          <c:invertIfNegative val="0"/>
          <c:dLbls>
            <c:dLbl>
              <c:idx val="0"/>
              <c:layout>
                <c:manualLayout>
                  <c:x val="4.4098191974128953E-2"/>
                  <c:y val="6.4284363773870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BD-4FB7-863A-55917883724A}"/>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'Dur PRERET'!$C$2:$C$6</c:f>
              <c:numCache>
                <c:formatCode>General</c:formatCode>
                <c:ptCount val="5"/>
                <c:pt idx="0">
                  <c:v>0.97204327720000006</c:v>
                </c:pt>
                <c:pt idx="1">
                  <c:v>1.5934790452000001</c:v>
                </c:pt>
                <c:pt idx="2">
                  <c:v>2.6293772521999998</c:v>
                </c:pt>
                <c:pt idx="3">
                  <c:v>3.8201653613</c:v>
                </c:pt>
                <c:pt idx="4">
                  <c:v>6.1874726768999997</c:v>
                </c:pt>
              </c:numCache>
            </c:numRef>
          </c:val>
          <c:extLst>
            <c:ext xmlns:c16="http://schemas.microsoft.com/office/drawing/2014/chart" uri="{C3380CC4-5D6E-409C-BE32-E72D297353CC}">
              <c16:uniqueId val="{00000001-22BD-4FB7-863A-55917883724A}"/>
            </c:ext>
          </c:extLst>
        </c:ser>
        <c:ser>
          <c:idx val="0"/>
          <c:order val="1"/>
          <c:tx>
            <c:v>B. Studying payments</c:v>
          </c:tx>
          <c:spPr>
            <a:solidFill>
              <a:srgbClr val="1F497D"/>
            </a:solidFill>
            <a:ln>
              <a:solidFill>
                <a:srgbClr val="1F497D"/>
              </a:solidFill>
            </a:ln>
            <a:effectLst/>
          </c:spPr>
          <c:invertIfNegative val="0"/>
          <c:cat>
            <c:strRef>
              <c:f>'Dur PRERET'!$A$2:$A$6</c:f>
              <c:strCache>
                <c:ptCount val="5"/>
                <c:pt idx="0">
                  <c:v>Not on income support</c:v>
                </c:pt>
                <c:pt idx="1">
                  <c:v>Studying payments - Higher Education</c:v>
                </c:pt>
                <c:pt idx="2">
                  <c:v>Studying payments - VET</c:v>
                </c:pt>
                <c:pt idx="3">
                  <c:v>Studying payments - School</c:v>
                </c:pt>
                <c:pt idx="4">
                  <c:v>Working age payments</c:v>
                </c:pt>
              </c:strCache>
            </c:strRef>
          </c:cat>
          <c:val>
            <c:numRef>
              <c:f>'Dur PRERET'!$B$2:$B$6</c:f>
              <c:numCache>
                <c:formatCode>General</c:formatCode>
                <c:ptCount val="5"/>
                <c:pt idx="0">
                  <c:v>0.267879545</c:v>
                </c:pt>
                <c:pt idx="1">
                  <c:v>1.7787828524</c:v>
                </c:pt>
                <c:pt idx="2">
                  <c:v>1.3469411885</c:v>
                </c:pt>
                <c:pt idx="3">
                  <c:v>1.4856387557999999</c:v>
                </c:pt>
                <c:pt idx="4">
                  <c:v>0.28577065400000001</c:v>
                </c:pt>
              </c:numCache>
            </c:numRef>
          </c:val>
          <c:extLst>
            <c:ext xmlns:c16="http://schemas.microsoft.com/office/drawing/2014/chart" uri="{C3380CC4-5D6E-409C-BE32-E72D297353CC}">
              <c16:uniqueId val="{00000002-22BD-4FB7-863A-55917883724A}"/>
            </c:ext>
          </c:extLst>
        </c:ser>
        <c:ser>
          <c:idx val="2"/>
          <c:order val="2"/>
          <c:tx>
            <c:v>C. Parenting Payment</c:v>
          </c:tx>
          <c:spPr>
            <a:solidFill>
              <a:srgbClr val="E26B0A"/>
            </a:solidFill>
            <a:ln>
              <a:solidFill>
                <a:srgbClr val="E26B0A"/>
              </a:solidFill>
            </a:ln>
            <a:effectLst/>
          </c:spPr>
          <c:invertIfNegative val="0"/>
          <c:dLbls>
            <c:dLbl>
              <c:idx val="0"/>
              <c:layout>
                <c:manualLayout>
                  <c:x val="0"/>
                  <c:y val="-4.1595764794857389E-2"/>
                </c:manualLayout>
              </c:layout>
              <c:tx>
                <c:rich>
                  <a:bodyPr/>
                  <a:lstStyle/>
                  <a:p>
                    <a:r>
                      <a:rPr lang="en-US" sz="800"/>
                      <a:t>A</a:t>
                    </a:r>
                    <a:r>
                      <a:rPr lang="en-US" sz="800" baseline="0"/>
                      <a:t>B-E</a:t>
                    </a:r>
                    <a:endParaRPr lang="en-US" sz="80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63B-4C09-ABEF-05E95C5327A6}"/>
                </c:ext>
              </c:extLst>
            </c:dLbl>
            <c:dLbl>
              <c:idx val="1"/>
              <c:layout>
                <c:manualLayout>
                  <c:x val="-1.7639276789651624E-2"/>
                  <c:y val="-3.781433163168841E-2"/>
                </c:manualLayout>
              </c:layout>
              <c:tx>
                <c:rich>
                  <a:bodyPr/>
                  <a:lstStyle/>
                  <a:p>
                    <a:r>
                      <a:rPr lang="en-US" sz="800"/>
                      <a:t>A   B  CDE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63B-4C09-ABEF-05E95C5327A6}"/>
                </c:ext>
              </c:extLst>
            </c:dLbl>
            <c:dLbl>
              <c:idx val="2"/>
              <c:layout>
                <c:manualLayout>
                  <c:x val="-1.1759517859767749E-2"/>
                  <c:y val="-4.1595764794857285E-2"/>
                </c:manualLayout>
              </c:layout>
              <c:tx>
                <c:rich>
                  <a:bodyPr/>
                  <a:lstStyle/>
                  <a:p>
                    <a:r>
                      <a:rPr lang="en-US" sz="800"/>
                      <a:t>A     B  C D  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63B-4C09-ABEF-05E95C5327A6}"/>
                </c:ext>
              </c:extLst>
            </c:dLbl>
            <c:dLbl>
              <c:idx val="3"/>
              <c:layout>
                <c:manualLayout>
                  <c:x val="-7.3496986623548437E-3"/>
                  <c:y val="-4.5377049082704728E-2"/>
                </c:manualLayout>
              </c:layout>
              <c:tx>
                <c:rich>
                  <a:bodyPr/>
                  <a:lstStyle/>
                  <a:p>
                    <a:r>
                      <a:rPr lang="en-US" sz="800"/>
                      <a:t>A      B   C   D    E</a:t>
                    </a:r>
                  </a:p>
                </c:rich>
              </c:tx>
              <c:showLegendKey val="0"/>
              <c:showVal val="1"/>
              <c:showCatName val="0"/>
              <c:showSerName val="0"/>
              <c:showPercent val="0"/>
              <c:showBubbleSize val="0"/>
              <c:extLst>
                <c:ext xmlns:c15="http://schemas.microsoft.com/office/drawing/2012/chart" uri="{CE6537A1-D6FC-4f65-9D91-7224C49458BB}">
                  <c15:layout>
                    <c:manualLayout>
                      <c:w val="0.26173746876378068"/>
                      <c:h val="4.6114726300165394E-2"/>
                    </c:manualLayout>
                  </c15:layout>
                  <c15:showDataLabelsRange val="0"/>
                </c:ext>
                <c:ext xmlns:c16="http://schemas.microsoft.com/office/drawing/2014/chart" uri="{C3380CC4-5D6E-409C-BE32-E72D297353CC}">
                  <c16:uniqueId val="{00000001-F63B-4C09-ABEF-05E95C5327A6}"/>
                </c:ext>
              </c:extLst>
            </c:dLbl>
            <c:dLbl>
              <c:idx val="4"/>
              <c:layout>
                <c:manualLayout>
                  <c:x val="-4.4098191974130136E-3"/>
                  <c:y val="-4.5377346833347473E-2"/>
                </c:manualLayout>
              </c:layout>
              <c:tx>
                <c:rich>
                  <a:bodyPr/>
                  <a:lstStyle/>
                  <a:p>
                    <a:r>
                      <a:rPr lang="en-US" sz="800"/>
                      <a:t>A         B </a:t>
                    </a:r>
                    <a:r>
                      <a:rPr lang="en-US" sz="800" baseline="0"/>
                      <a:t> </a:t>
                    </a:r>
                    <a:r>
                      <a:rPr lang="en-US" sz="800"/>
                      <a:t>C   D      E</a:t>
                    </a:r>
                  </a:p>
                </c:rich>
              </c:tx>
              <c:showLegendKey val="0"/>
              <c:showVal val="1"/>
              <c:showCatName val="0"/>
              <c:showSerName val="0"/>
              <c:showPercent val="0"/>
              <c:showBubbleSize val="0"/>
              <c:extLst>
                <c:ext xmlns:c15="http://schemas.microsoft.com/office/drawing/2012/chart" uri="{CE6537A1-D6FC-4f65-9D91-7224C49458BB}">
                  <c15:layout>
                    <c:manualLayout>
                      <c:w val="0.27548152100567025"/>
                      <c:h val="4.6114726300165394E-2"/>
                    </c:manualLayout>
                  </c15:layout>
                  <c15:showDataLabelsRange val="0"/>
                </c:ext>
                <c:ext xmlns:c16="http://schemas.microsoft.com/office/drawing/2014/chart" uri="{C3380CC4-5D6E-409C-BE32-E72D297353CC}">
                  <c16:uniqueId val="{00000000-F63B-4C09-ABEF-05E95C5327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'Dur PRERET'!$D$2:$D$6</c:f>
              <c:numCache>
                <c:formatCode>General</c:formatCode>
                <c:ptCount val="5"/>
                <c:pt idx="0">
                  <c:v>0.32940046420000002</c:v>
                </c:pt>
                <c:pt idx="1">
                  <c:v>0.45037600290000002</c:v>
                </c:pt>
                <c:pt idx="2">
                  <c:v>0.90652235189999997</c:v>
                </c:pt>
                <c:pt idx="3">
                  <c:v>1.2635567553</c:v>
                </c:pt>
                <c:pt idx="4">
                  <c:v>1.7538644405999999</c:v>
                </c:pt>
              </c:numCache>
            </c:numRef>
          </c:val>
          <c:extLst>
            <c:ext xmlns:c16="http://schemas.microsoft.com/office/drawing/2014/chart" uri="{C3380CC4-5D6E-409C-BE32-E72D297353CC}">
              <c16:uniqueId val="{00000003-22BD-4FB7-863A-55917883724A}"/>
            </c:ext>
          </c:extLst>
        </c:ser>
        <c:ser>
          <c:idx val="3"/>
          <c:order val="3"/>
          <c:tx>
            <c:v>D. Carer Payment</c:v>
          </c:tx>
          <c:spPr>
            <a:solidFill>
              <a:srgbClr val="E18BD7"/>
            </a:solidFill>
            <a:ln>
              <a:solidFill>
                <a:srgbClr val="E18BD7"/>
              </a:solidFill>
            </a:ln>
            <a:effectLst/>
          </c:spPr>
          <c:invertIfNegative val="0"/>
          <c:val>
            <c:numRef>
              <c:f>'Dur PRERET'!$E$2:$E$6</c:f>
              <c:numCache>
                <c:formatCode>General</c:formatCode>
                <c:ptCount val="5"/>
                <c:pt idx="0">
                  <c:v>0.40458299440000001</c:v>
                </c:pt>
                <c:pt idx="1">
                  <c:v>0.66738838119999999</c:v>
                </c:pt>
                <c:pt idx="2">
                  <c:v>1.0870702104000001</c:v>
                </c:pt>
                <c:pt idx="3">
                  <c:v>1.4790870060000001</c:v>
                </c:pt>
                <c:pt idx="4">
                  <c:v>1.4001992799</c:v>
                </c:pt>
              </c:numCache>
            </c:numRef>
          </c:val>
          <c:extLst>
            <c:ext xmlns:c16="http://schemas.microsoft.com/office/drawing/2014/chart" uri="{C3380CC4-5D6E-409C-BE32-E72D297353CC}">
              <c16:uniqueId val="{00000004-22BD-4FB7-863A-55917883724A}"/>
            </c:ext>
          </c:extLst>
        </c:ser>
        <c:ser>
          <c:idx val="4"/>
          <c:order val="4"/>
          <c:tx>
            <c:v>E. DSP</c:v>
          </c:tx>
          <c:spPr>
            <a:solidFill>
              <a:srgbClr val="8064A2"/>
            </a:solidFill>
            <a:ln>
              <a:solidFill>
                <a:srgbClr val="8064A2"/>
              </a:solidFill>
            </a:ln>
            <a:effectLst/>
          </c:spPr>
          <c:invertIfNegative val="0"/>
          <c:dLbls>
            <c:dLbl>
              <c:idx val="0"/>
              <c:layout>
                <c:manualLayout>
                  <c:x val="3.8240424268589132E-2"/>
                  <c:y val="4.6297247444182918E-3"/>
                </c:manualLayout>
              </c:layout>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2BD-4FB7-863A-55917883724A}"/>
                </c:ext>
              </c:extLst>
            </c:dLbl>
            <c:dLbl>
              <c:idx val="1"/>
              <c:layout>
                <c:manualLayout>
                  <c:x val="4.8379073150914088E-2"/>
                  <c:y val="2.3147134968877613E-3"/>
                </c:manualLayout>
              </c:layout>
              <c:tx>
                <c:rich>
                  <a:bodyPr rot="0" spcFirstLastPara="1" vertOverflow="overflow" horzOverflow="overflow" vert="horz" wrap="square"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r>
                      <a:rPr lang="en-US"/>
                      <a:t>5.3</a:t>
                    </a:r>
                  </a:p>
                </c:rich>
              </c:tx>
              <c:numFmt formatCode="#,##0.0" sourceLinked="0"/>
              <c:spPr>
                <a:noFill/>
                <a:ln>
                  <a:noFill/>
                </a:ln>
                <a:effectLst/>
              </c:spPr>
              <c:txPr>
                <a:bodyPr rot="0" spcFirstLastPara="1" vertOverflow="overflow" horzOverflow="overflow" vert="horz" wrap="square"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2BD-4FB7-863A-55917883724A}"/>
                </c:ext>
              </c:extLst>
            </c:dLbl>
            <c:dLbl>
              <c:idx val="2"/>
              <c:layout>
                <c:manualLayout>
                  <c:x val="5.1967346504147555E-2"/>
                  <c:y val="0"/>
                </c:manualLayout>
              </c:layout>
              <c:tx>
                <c:rich>
                  <a:bodyPr rot="0" spcFirstLastPara="1" vertOverflow="overflow" horzOverflow="overflow" vert="horz" wrap="square"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r>
                      <a:rPr lang="en-US"/>
                      <a:t>7.2</a:t>
                    </a:r>
                  </a:p>
                </c:rich>
              </c:tx>
              <c:numFmt formatCode="#,##0.0" sourceLinked="0"/>
              <c:spPr>
                <a:noFill/>
                <a:ln>
                  <a:noFill/>
                </a:ln>
                <a:effectLst/>
              </c:spPr>
              <c:txPr>
                <a:bodyPr rot="0" spcFirstLastPara="1" vertOverflow="overflow" horzOverflow="overflow" vert="horz" wrap="square"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2BD-4FB7-863A-55917883724A}"/>
                </c:ext>
              </c:extLst>
            </c:dLbl>
            <c:dLbl>
              <c:idx val="3"/>
              <c:layout>
                <c:manualLayout>
                  <c:x val="6.0138475267395929E-2"/>
                  <c:y val="1.8907165815844206E-3"/>
                </c:manualLayout>
              </c:layout>
              <c:tx>
                <c:rich>
                  <a:bodyPr rot="0" spcFirstLastPara="1" vertOverflow="overflow" horzOverflow="overflow" vert="horz" wrap="square"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r>
                      <a:rPr lang="en-US"/>
                      <a:t>9.9</a:t>
                    </a:r>
                  </a:p>
                </c:rich>
              </c:tx>
              <c:numFmt formatCode="#,##0.0" sourceLinked="0"/>
              <c:spPr>
                <a:noFill/>
                <a:ln>
                  <a:noFill/>
                </a:ln>
                <a:effectLst/>
              </c:spPr>
              <c:txPr>
                <a:bodyPr rot="0" spcFirstLastPara="1" vertOverflow="overflow" horzOverflow="overflow" vert="horz" wrap="square"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2BD-4FB7-863A-55917883724A}"/>
                </c:ext>
              </c:extLst>
            </c:dLbl>
            <c:dLbl>
              <c:idx val="4"/>
              <c:layout>
                <c:manualLayout>
                  <c:x val="6.5694037253133927E-2"/>
                  <c:y val="0"/>
                </c:manualLayout>
              </c:layout>
              <c:tx>
                <c:rich>
                  <a:bodyPr rot="0" spcFirstLastPara="1" vertOverflow="overflow" horzOverflow="overflow" vert="horz" wrap="square"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r>
                      <a:rPr lang="en-US"/>
                      <a:t>12.6</a:t>
                    </a:r>
                  </a:p>
                </c:rich>
              </c:tx>
              <c:numFmt formatCode="#,##0.0" sourceLinked="0"/>
              <c:spPr>
                <a:noFill/>
                <a:ln>
                  <a:noFill/>
                </a:ln>
                <a:effectLst/>
              </c:spPr>
              <c:txPr>
                <a:bodyPr rot="0" spcFirstLastPara="1" vertOverflow="overflow" horzOverflow="overflow" vert="horz" wrap="square"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2BD-4FB7-863A-55917883724A}"/>
                </c:ext>
              </c:extLst>
            </c:dLbl>
            <c:dLbl>
              <c:idx val="5"/>
              <c:layout>
                <c:manualLayout>
                  <c:x val="3.0555555555555555E-2"/>
                  <c:y val="-4.2437781360066642E-17"/>
                </c:manualLayout>
              </c:layout>
              <c:tx>
                <c:rich>
                  <a:bodyPr/>
                  <a:lstStyle/>
                  <a:p>
                    <a:r>
                      <a:rPr lang="en-AU"/>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2BD-4FB7-863A-55917883724A}"/>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'Dur PRERET'!$F$2:$F$6</c:f>
              <c:numCache>
                <c:formatCode>General</c:formatCode>
                <c:ptCount val="5"/>
                <c:pt idx="0">
                  <c:v>0.61968372429999996</c:v>
                </c:pt>
                <c:pt idx="1">
                  <c:v>0.82121525689999997</c:v>
                </c:pt>
                <c:pt idx="2">
                  <c:v>1.2720423347000001</c:v>
                </c:pt>
                <c:pt idx="3">
                  <c:v>1.8719544724999999</c:v>
                </c:pt>
                <c:pt idx="4">
                  <c:v>2.9227417932000002</c:v>
                </c:pt>
              </c:numCache>
            </c:numRef>
          </c:val>
          <c:extLst>
            <c:ext xmlns:c16="http://schemas.microsoft.com/office/drawing/2014/chart" uri="{C3380CC4-5D6E-409C-BE32-E72D297353CC}">
              <c16:uniqueId val="{0000000B-22BD-4FB7-863A-55917883724A}"/>
            </c:ext>
          </c:extLst>
        </c:ser>
        <c:dLbls>
          <c:showLegendKey val="0"/>
          <c:showVal val="0"/>
          <c:showCatName val="0"/>
          <c:showSerName val="0"/>
          <c:showPercent val="0"/>
          <c:showBubbleSize val="0"/>
        </c:dLbls>
        <c:gapWidth val="200"/>
        <c:overlap val="100"/>
        <c:axId val="560349184"/>
        <c:axId val="560347216"/>
      </c:barChart>
      <c:catAx>
        <c:axId val="56034918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Income support received at 30 June 2022 (with education sector for student payments)</a:t>
                </a:r>
              </a:p>
            </c:rich>
          </c:tx>
          <c:layout>
            <c:manualLayout>
              <c:xMode val="edge"/>
              <c:yMode val="edge"/>
              <c:x val="5.8797589298838744E-3"/>
              <c:y val="2.2514216972878389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7216"/>
        <c:crosses val="autoZero"/>
        <c:auto val="1"/>
        <c:lblAlgn val="ctr"/>
        <c:lblOffset val="100"/>
        <c:noMultiLvlLbl val="0"/>
      </c:catAx>
      <c:valAx>
        <c:axId val="560347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r>
                  <a:rPr lang="en-AU" b="1"/>
                  <a:t>Years</a:t>
                </a:r>
              </a:p>
            </c:rich>
          </c:tx>
          <c:layout>
            <c:manualLayout>
              <c:xMode val="edge"/>
              <c:yMode val="edge"/>
              <c:x val="0.73043759064146085"/>
              <c:y val="0.7617811315252259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crossAx val="560349184"/>
        <c:crosses val="autoZero"/>
        <c:crossBetween val="between"/>
      </c:valAx>
      <c:spPr>
        <a:noFill/>
        <a:ln>
          <a:noFill/>
        </a:ln>
        <a:effectLst/>
      </c:spPr>
    </c:plotArea>
    <c:legend>
      <c:legendPos val="b"/>
      <c:layout>
        <c:manualLayout>
          <c:xMode val="edge"/>
          <c:yMode val="edge"/>
          <c:x val="1.1795166791862325E-2"/>
          <c:y val="0.84307595396729251"/>
          <c:w val="0.97640943492970333"/>
          <c:h val="0.132308661417322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6350" cap="flat" cmpd="sng" algn="ctr">
      <a:noFill/>
      <a:round/>
    </a:ln>
    <a:effectLst/>
  </c:spPr>
  <c:txPr>
    <a:bodyPr/>
    <a:lstStyle/>
    <a:p>
      <a:pPr>
        <a:defRPr sz="900" baseline="0">
          <a:solidFill>
            <a:sysClr val="windowText" lastClr="000000"/>
          </a:solidFill>
          <a:latin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withinLinear" id="18">
  <a:schemeClr val="accent5"/>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withinLinear" id="18">
  <a:schemeClr val="accent5"/>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118AD05A-9EEA-45C2-8C3A-6646E300192B}">
    <t:Anchor>
      <t:Comment id="696898490"/>
    </t:Anchor>
    <t:History>
      <t:Event id="{52A48AF6-3A6D-403E-B7B7-AE035421C035}" time="2024-02-28T04:46:02.706Z">
        <t:Attribution userId="S::Taike.Li@aga.gov.au::11e05476-0790-4923-939e-c92ef56d1981" userProvider="AD" userName="Li, Taike"/>
        <t:Anchor>
          <t:Comment id="696898490"/>
        </t:Anchor>
        <t:Create/>
      </t:Event>
      <t:Event id="{DC6A7682-30A3-4DD2-B673-3C2E913E620E}" time="2024-02-28T04:46:02.706Z">
        <t:Attribution userId="S::Taike.Li@aga.gov.au::11e05476-0790-4923-939e-c92ef56d1981" userProvider="AD" userName="Li, Taike"/>
        <t:Anchor>
          <t:Comment id="696898490"/>
        </t:Anchor>
        <t:Assign userId="S::Oliver.Bruhl@aga.gov.au::322cd3cf-5a96-4aa0-8e6c-13962ad069fd" userProvider="AD" userName="Bruhl, Oliver"/>
      </t:Event>
      <t:Event id="{451372F0-A16A-43CC-9742-8045294EF34F}" time="2024-02-28T04:46:02.706Z">
        <t:Attribution userId="S::Taike.Li@aga.gov.au::11e05476-0790-4923-939e-c92ef56d1981" userProvider="AD" userName="Li, Taike"/>
        <t:Anchor>
          <t:Comment id="696898490"/>
        </t:Anchor>
        <t:SetTitle title="@Bruhl, Oliver Should this include alt text?"/>
      </t:Event>
      <t:Event id="{C3AED161-D411-415A-A966-34DC389F447C}" time="2024-02-28T22:44:43.067Z">
        <t:Attribution userId="S::Taike.Li@aga.gov.au::11e05476-0790-4923-939e-c92ef56d1981" userProvider="AD" userName="Li, Taike"/>
        <t:Progress percentComplete="100"/>
      </t:Event>
    </t:History>
  </t:Task>
  <t:Task id="{8733ACDC-E7C2-4E69-A5FA-01184E41F2D9}">
    <t:Anchor>
      <t:Comment id="696963670"/>
    </t:Anchor>
    <t:History>
      <t:Event id="{6C24611B-C20D-434B-825A-925BC96BCBCC}" time="2024-02-28T22:52:22.577Z">
        <t:Attribution userId="S::Taike.Li@aga.gov.au::11e05476-0790-4923-939e-c92ef56d1981" userProvider="AD" userName="Li, Taike"/>
        <t:Anchor>
          <t:Comment id="696963670"/>
        </t:Anchor>
        <t:Create/>
      </t:Event>
      <t:Event id="{320B381D-8CEA-4C6D-B853-69067948068A}" time="2024-02-28T22:52:22.577Z">
        <t:Attribution userId="S::Taike.Li@aga.gov.au::11e05476-0790-4923-939e-c92ef56d1981" userProvider="AD" userName="Li, Taike"/>
        <t:Anchor>
          <t:Comment id="696963670"/>
        </t:Anchor>
        <t:Assign userId="S::Jennifer.Kane@aga.gov.au::a1298459-b008-4bed-a7ea-0ac812d1b71d" userProvider="AD" userName="Kane, Jennifer"/>
      </t:Event>
      <t:Event id="{D38F214E-5B24-4517-80DB-D51A7237A07A}" time="2024-02-28T22:52:22.577Z">
        <t:Attribution userId="S::Taike.Li@aga.gov.au::11e05476-0790-4923-939e-c92ef56d1981" userProvider="AD" userName="Li, Taike"/>
        <t:Anchor>
          <t:Comment id="696963670"/>
        </t:Anchor>
        <t:SetTitle title="@Kane, Jennifer I think the population bar needs to come before this."/>
      </t:Event>
      <t:Event id="{5BB197BB-BB95-4411-9556-305CD5523AA3}" time="2024-02-28T23:24:02.791Z">
        <t:Attribution userId="S::Taike.Li@aga.gov.au::11e05476-0790-4923-939e-c92ef56d1981" userProvider="AD" userName="Li, Taike"/>
        <t:Progress percentComplete="100"/>
      </t:Event>
    </t:History>
  </t:Task>
</t:Tasks>
</file>

<file path=word/drawings/drawing1.xml><?xml version="1.0" encoding="utf-8"?>
<c:userShapes xmlns:c="http://schemas.openxmlformats.org/drawingml/2006/chart">
  <cdr:relSizeAnchor xmlns:cdr="http://schemas.openxmlformats.org/drawingml/2006/chartDrawing">
    <cdr:from>
      <cdr:x>0.09368</cdr:x>
      <cdr:y>0.00534</cdr:y>
    </cdr:from>
    <cdr:to>
      <cdr:x>0.35768</cdr:x>
      <cdr:y>0.13414</cdr:y>
    </cdr:to>
    <cdr:sp macro="" textlink="">
      <cdr:nvSpPr>
        <cdr:cNvPr id="4" name="Text Box 1"/>
        <cdr:cNvSpPr txBox="1"/>
      </cdr:nvSpPr>
      <cdr:spPr>
        <a:xfrm xmlns:a="http://schemas.openxmlformats.org/drawingml/2006/main">
          <a:off x="428305" y="14574"/>
          <a:ext cx="1207008" cy="3515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AU" sz="800"/>
        </a:p>
      </cdr:txBody>
    </cdr:sp>
  </cdr:relSizeAnchor>
  <cdr:relSizeAnchor xmlns:cdr="http://schemas.openxmlformats.org/drawingml/2006/chartDrawing">
    <cdr:from>
      <cdr:x>0.00417</cdr:x>
      <cdr:y>0.00534</cdr:y>
    </cdr:from>
    <cdr:to>
      <cdr:x>0.99375</cdr:x>
      <cdr:y>0.13414</cdr:y>
    </cdr:to>
    <cdr:sp macro="" textlink="">
      <cdr:nvSpPr>
        <cdr:cNvPr id="2" name="Text Box 1"/>
        <cdr:cNvSpPr txBox="1"/>
      </cdr:nvSpPr>
      <cdr:spPr>
        <a:xfrm xmlns:a="http://schemas.openxmlformats.org/drawingml/2006/main">
          <a:off x="19050" y="14574"/>
          <a:ext cx="4524375" cy="3515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endParaRPr lang="en-AU" sz="800" b="1">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2.14434E-7</cdr:x>
      <cdr:y>0.04082</cdr:y>
    </cdr:from>
    <cdr:to>
      <cdr:x>0.1348</cdr:x>
      <cdr:y>0.92653</cdr:y>
    </cdr:to>
    <cdr:sp macro="" textlink="">
      <cdr:nvSpPr>
        <cdr:cNvPr id="2" name="TextBox 1">
          <a:extLst xmlns:a="http://schemas.openxmlformats.org/drawingml/2006/main">
            <a:ext uri="{FF2B5EF4-FFF2-40B4-BE49-F238E27FC236}">
              <a16:creationId xmlns:a16="http://schemas.microsoft.com/office/drawing/2014/main" id="{4E9FA5AA-2A57-343C-6C4B-F4FF2C36BF81}"/>
            </a:ext>
          </a:extLst>
        </cdr:cNvPr>
        <cdr:cNvSpPr txBox="1"/>
      </cdr:nvSpPr>
      <cdr:spPr>
        <a:xfrm xmlns:a="http://schemas.openxmlformats.org/drawingml/2006/main" rot="16200000">
          <a:off x="-719135" y="814384"/>
          <a:ext cx="2066926" cy="628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b="1"/>
            <a:t>Percentage of childhood at least one parent or guardian received income support</a:t>
          </a:r>
        </a:p>
      </cdr:txBody>
    </cdr:sp>
  </cdr:relSizeAnchor>
</c:userShapes>
</file>

<file path=word/drawings/drawing3.xml><?xml version="1.0" encoding="utf-8"?>
<c:userShapes xmlns:c="http://schemas.openxmlformats.org/drawingml/2006/chart">
  <cdr:relSizeAnchor xmlns:cdr="http://schemas.openxmlformats.org/drawingml/2006/chartDrawing">
    <cdr:from>
      <cdr:x>0.91166</cdr:x>
      <cdr:y>0.14483</cdr:y>
    </cdr:from>
    <cdr:to>
      <cdr:x>0.99483</cdr:x>
      <cdr:y>0.24303</cdr:y>
    </cdr:to>
    <cdr:sp macro="" textlink="">
      <cdr:nvSpPr>
        <cdr:cNvPr id="2" name="Text Box 1"/>
        <cdr:cNvSpPr txBox="1"/>
      </cdr:nvSpPr>
      <cdr:spPr>
        <a:xfrm xmlns:a="http://schemas.openxmlformats.org/drawingml/2006/main">
          <a:off x="3938276" y="247762"/>
          <a:ext cx="359286" cy="167989"/>
        </a:xfrm>
        <a:prstGeom xmlns:a="http://schemas.openxmlformats.org/drawingml/2006/main" prst="rect">
          <a:avLst/>
        </a:prstGeom>
      </cdr:spPr>
      <cdr:txBody>
        <a:bodyPr xmlns:a="http://schemas.openxmlformats.org/drawingml/2006/main" vertOverflow="clip" wrap="square" lIns="0" tIns="0" rIns="0" bIns="0" rtlCol="0" anchor="ctr" upright="1">
          <a:spAutoFit/>
        </a:bodyPr>
        <a:lstStyle xmlns:a="http://schemas.openxmlformats.org/drawingml/2006/main"/>
        <a:p xmlns:a="http://schemas.openxmlformats.org/drawingml/2006/main">
          <a:pPr algn="l"/>
          <a:r>
            <a:rPr lang="en-AU" sz="1000"/>
            <a:t>12.9</a:t>
          </a:r>
        </a:p>
      </cdr:txBody>
    </cdr:sp>
  </cdr:relSizeAnchor>
  <cdr:relSizeAnchor xmlns:cdr="http://schemas.openxmlformats.org/drawingml/2006/chartDrawing">
    <cdr:from>
      <cdr:x>0.74848</cdr:x>
      <cdr:y>0.40274</cdr:y>
    </cdr:from>
    <cdr:to>
      <cdr:x>0.83164</cdr:x>
      <cdr:y>0.52226</cdr:y>
    </cdr:to>
    <cdr:sp macro="" textlink="">
      <cdr:nvSpPr>
        <cdr:cNvPr id="3" name="Text Box 1"/>
        <cdr:cNvSpPr txBox="1"/>
      </cdr:nvSpPr>
      <cdr:spPr>
        <a:xfrm xmlns:a="http://schemas.openxmlformats.org/drawingml/2006/main">
          <a:off x="3233362" y="688955"/>
          <a:ext cx="359244" cy="204462"/>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1000"/>
            <a:t>10</a:t>
          </a:r>
        </a:p>
      </cdr:txBody>
    </cdr:sp>
  </cdr:relSizeAnchor>
</c:userShapes>
</file>

<file path=word/drawings/drawing4.xml><?xml version="1.0" encoding="utf-8"?>
<c:userShapes xmlns:c="http://schemas.openxmlformats.org/drawingml/2006/chart">
  <cdr:relSizeAnchor xmlns:cdr="http://schemas.openxmlformats.org/drawingml/2006/chartDrawing">
    <cdr:from>
      <cdr:x>0.43506</cdr:x>
      <cdr:y>0</cdr:y>
    </cdr:from>
    <cdr:to>
      <cdr:x>1</cdr:x>
      <cdr:y>0.12963</cdr:y>
    </cdr:to>
    <cdr:sp macro="" textlink="">
      <cdr:nvSpPr>
        <cdr:cNvPr id="2" name="Text Box 271">
          <a:extLst xmlns:a="http://schemas.openxmlformats.org/drawingml/2006/main">
            <a:ext uri="{C183D7F6-B498-43B3-948B-1728B52AA6E4}">
              <adec:decorative xmlns:adec="http://schemas.microsoft.com/office/drawing/2017/decorative" val="1"/>
            </a:ext>
          </a:extLst>
        </cdr:cNvPr>
        <cdr:cNvSpPr txBox="1"/>
      </cdr:nvSpPr>
      <cdr:spPr>
        <a:xfrm xmlns:a="http://schemas.openxmlformats.org/drawingml/2006/main">
          <a:off x="1914525" y="-1514475"/>
          <a:ext cx="2486025" cy="200023"/>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AU" sz="800" kern="900">
              <a:solidFill>
                <a:srgbClr val="000000"/>
              </a:solidFill>
              <a:effectLst/>
              <a:latin typeface="Arial" panose="020B0604020202020204" pitchFamily="34" charset="0"/>
              <a:ea typeface="Gulim" panose="020B0503020000020004" pitchFamily="34" charset="-127"/>
            </a:rPr>
            <a:t>A     B      CD     E</a:t>
          </a:r>
          <a:endParaRPr lang="en-AU" sz="1200" kern="900">
            <a:solidFill>
              <a:srgbClr val="000000"/>
            </a:solidFill>
            <a:effectLst/>
            <a:latin typeface="Times New Roman" panose="02020603050405020304" pitchFamily="18" charset="0"/>
            <a:ea typeface="Gulim" panose="020B0503020000020004" pitchFamily="34" charset="-127"/>
          </a:endParaRPr>
        </a:p>
      </cdr:txBody>
    </cdr:sp>
  </cdr:relSizeAnchor>
  <cdr:relSizeAnchor xmlns:cdr="http://schemas.openxmlformats.org/drawingml/2006/chartDrawing">
    <cdr:from>
      <cdr:x>0.43506</cdr:x>
      <cdr:y>0.27613</cdr:y>
    </cdr:from>
    <cdr:to>
      <cdr:x>1</cdr:x>
      <cdr:y>0.44444</cdr:y>
    </cdr:to>
    <cdr:sp macro="" textlink="">
      <cdr:nvSpPr>
        <cdr:cNvPr id="3" name="Text Box 272">
          <a:extLst xmlns:a="http://schemas.openxmlformats.org/drawingml/2006/main">
            <a:ext uri="{C183D7F6-B498-43B3-948B-1728B52AA6E4}">
              <adec:decorative xmlns:adec="http://schemas.microsoft.com/office/drawing/2017/decorative" val="1"/>
            </a:ext>
          </a:extLst>
        </cdr:cNvPr>
        <cdr:cNvSpPr txBox="1"/>
      </cdr:nvSpPr>
      <cdr:spPr>
        <a:xfrm xmlns:a="http://schemas.openxmlformats.org/drawingml/2006/main">
          <a:off x="1914525" y="426085"/>
          <a:ext cx="2486025" cy="259715"/>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r>
            <a:rPr lang="en-AU" sz="800" kern="900">
              <a:solidFill>
                <a:srgbClr val="000000"/>
              </a:solidFill>
              <a:effectLst/>
              <a:latin typeface="Arial" panose="020B0604020202020204" pitchFamily="34" charset="0"/>
              <a:ea typeface="Gulim" panose="020B0600000101010101" pitchFamily="34" charset="-127"/>
            </a:rPr>
            <a:t>A-DE</a:t>
          </a:r>
          <a:endParaRPr lang="en-AU" sz="1200" kern="900">
            <a:solidFill>
              <a:srgbClr val="000000"/>
            </a:solidFill>
            <a:effectLst/>
            <a:latin typeface="Times New Roman" panose="02020603050405020304" pitchFamily="18" charset="0"/>
            <a:ea typeface="Gulim" panose="020B0600000101010101" pitchFamily="34" charset="-127"/>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0.44308</cdr:x>
      <cdr:y>0.06891</cdr:y>
    </cdr:from>
    <cdr:to>
      <cdr:x>0.96104</cdr:x>
      <cdr:y>0.13806</cdr:y>
    </cdr:to>
    <cdr:sp macro="" textlink="">
      <cdr:nvSpPr>
        <cdr:cNvPr id="3" name="TextBox 2">
          <a:extLst xmlns:a="http://schemas.openxmlformats.org/drawingml/2006/main">
            <a:ext uri="{FF2B5EF4-FFF2-40B4-BE49-F238E27FC236}">
              <a16:creationId xmlns:a16="http://schemas.microsoft.com/office/drawing/2014/main" id="{BCB8A8CA-7571-8886-05DB-05E5CB1E3F2E}"/>
            </a:ext>
          </a:extLst>
        </cdr:cNvPr>
        <cdr:cNvSpPr txBox="1"/>
      </cdr:nvSpPr>
      <cdr:spPr>
        <a:xfrm xmlns:a="http://schemas.openxmlformats.org/drawingml/2006/main">
          <a:off x="1949811" y="147380"/>
          <a:ext cx="2279289" cy="1478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A-D                           </a:t>
          </a:r>
          <a:r>
            <a:rPr lang="en-AU" sz="800" baseline="0">
              <a:latin typeface="Arial" panose="020B0604020202020204" pitchFamily="34" charset="0"/>
              <a:cs typeface="Arial" panose="020B0604020202020204" pitchFamily="34" charset="0"/>
            </a:rPr>
            <a:t> </a:t>
          </a:r>
          <a:r>
            <a:rPr lang="en-AU" sz="800">
              <a:latin typeface="Arial" panose="020B0604020202020204" pitchFamily="34" charset="0"/>
              <a:cs typeface="Arial" panose="020B0604020202020204" pitchFamily="34" charset="0"/>
            </a:rPr>
            <a:t> E                                 F</a:t>
          </a:r>
        </a:p>
      </cdr:txBody>
    </cdr:sp>
  </cdr:relSizeAnchor>
  <cdr:relSizeAnchor xmlns:cdr="http://schemas.openxmlformats.org/drawingml/2006/chartDrawing">
    <cdr:from>
      <cdr:x>0.4438</cdr:x>
      <cdr:y>0.31597</cdr:y>
    </cdr:from>
    <cdr:to>
      <cdr:x>0.97293</cdr:x>
      <cdr:y>0.39263</cdr:y>
    </cdr:to>
    <cdr:sp macro="" textlink="">
      <cdr:nvSpPr>
        <cdr:cNvPr id="4" name="TextBox 1">
          <a:extLst xmlns:a="http://schemas.openxmlformats.org/drawingml/2006/main">
            <a:ext uri="{FF2B5EF4-FFF2-40B4-BE49-F238E27FC236}">
              <a16:creationId xmlns:a16="http://schemas.microsoft.com/office/drawing/2014/main" id="{190E1598-3FD9-1409-0787-DA2DC080B842}"/>
            </a:ext>
          </a:extLst>
        </cdr:cNvPr>
        <cdr:cNvSpPr txBox="1"/>
      </cdr:nvSpPr>
      <cdr:spPr>
        <a:xfrm xmlns:a="http://schemas.openxmlformats.org/drawingml/2006/main">
          <a:off x="1952980" y="675756"/>
          <a:ext cx="2328463" cy="1639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A</a:t>
          </a:r>
          <a:r>
            <a:rPr lang="en-AU" sz="800" baseline="0">
              <a:latin typeface="Arial" panose="020B0604020202020204" pitchFamily="34" charset="0"/>
              <a:cs typeface="Arial" panose="020B0604020202020204" pitchFamily="34" charset="0"/>
            </a:rPr>
            <a:t>                    B</a:t>
          </a:r>
          <a:r>
            <a:rPr lang="en-AU" sz="800">
              <a:latin typeface="Arial" panose="020B0604020202020204" pitchFamily="34" charset="0"/>
              <a:cs typeface="Arial" panose="020B0604020202020204" pitchFamily="34" charset="0"/>
            </a:rPr>
            <a:t>                     CD E  F</a:t>
          </a:r>
        </a:p>
      </cdr:txBody>
    </cdr:sp>
  </cdr:relSizeAnchor>
</c:userShapes>
</file>

<file path=word/theme/theme1.xml><?xml version="1.0" encoding="utf-8"?>
<a:theme xmlns:a="http://schemas.openxmlformats.org/drawingml/2006/main" name="AGA">
  <a:themeElements>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GA" id="{FF5617C4-44AB-4B9E-BCB8-EE4009D857CE}" vid="{4F4DBEEA-0C29-4C8F-89BA-48D38AE0101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E6FB162900BD469303EAE882A126F8" ma:contentTypeVersion="5" ma:contentTypeDescription="Create a new document." ma:contentTypeScope="" ma:versionID="c59e0342bb415b0bb077974a6973dcdd">
  <xsd:schema xmlns:xsd="http://www.w3.org/2001/XMLSchema" xmlns:xs="http://www.w3.org/2001/XMLSchema" xmlns:p="http://schemas.microsoft.com/office/2006/metadata/properties" xmlns:ns2="8f0baad0-5cc5-4ef9-a99e-1f3241af0347" xmlns:ns3="b1b89ba1-4bca-4de7-baec-4a5476577fe0" targetNamespace="http://schemas.microsoft.com/office/2006/metadata/properties" ma:root="true" ma:fieldsID="68d9b41eee8df04d0e39d5a9a2b8acec" ns2:_="" ns3:_="">
    <xsd:import namespace="8f0baad0-5cc5-4ef9-a99e-1f3241af0347"/>
    <xsd:import namespace="b1b89ba1-4bca-4de7-baec-4a5476577f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baad0-5cc5-4ef9-a99e-1f3241af03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b89ba1-4bca-4de7-baec-4a5476577f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f0baad0-5cc5-4ef9-a99e-1f3241af0347">
      <UserInfo>
        <DisplayName>MUSCAT, Alison</DisplayName>
        <AccountId>18</AccountId>
        <AccountType/>
      </UserInfo>
    </SharedWithUsers>
  </documentManagement>
</p:properties>
</file>

<file path=customXml/itemProps1.xml><?xml version="1.0" encoding="utf-8"?>
<ds:datastoreItem xmlns:ds="http://schemas.openxmlformats.org/officeDocument/2006/customXml" ds:itemID="{39F6CE32-C4B7-4F8E-857B-068F363CB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baad0-5cc5-4ef9-a99e-1f3241af0347"/>
    <ds:schemaRef ds:uri="b1b89ba1-4bca-4de7-baec-4a5476577f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89DF4D-5BB2-4088-A11D-01CE700B9132}">
  <ds:schemaRefs>
    <ds:schemaRef ds:uri="http://schemas.openxmlformats.org/officeDocument/2006/bibliography"/>
  </ds:schemaRefs>
</ds:datastoreItem>
</file>

<file path=customXml/itemProps3.xml><?xml version="1.0" encoding="utf-8"?>
<ds:datastoreItem xmlns:ds="http://schemas.openxmlformats.org/officeDocument/2006/customXml" ds:itemID="{BEB9B826-9119-4E87-8FA1-D886B2678E10}">
  <ds:schemaRefs>
    <ds:schemaRef ds:uri="http://schemas.microsoft.com/sharepoint/v3/contenttype/forms"/>
  </ds:schemaRefs>
</ds:datastoreItem>
</file>

<file path=customXml/itemProps4.xml><?xml version="1.0" encoding="utf-8"?>
<ds:datastoreItem xmlns:ds="http://schemas.openxmlformats.org/officeDocument/2006/customXml" ds:itemID="{9AC6DDA3-B318-44E3-AFD3-FBFF312BF4E9}">
  <ds:schemaRefs>
    <ds:schemaRef ds:uri="http://schemas.microsoft.com/office/2006/metadata/properties"/>
    <ds:schemaRef ds:uri="http://schemas.microsoft.com/office/infopath/2007/PartnerControls"/>
    <ds:schemaRef ds:uri="8f0baad0-5cc5-4ef9-a99e-1f3241af0347"/>
  </ds:schemaRefs>
</ds:datastoreItem>
</file>

<file path=docProps/app.xml><?xml version="1.0" encoding="utf-8"?>
<Properties xmlns="http://schemas.openxmlformats.org/officeDocument/2006/extended-properties" xmlns:vt="http://schemas.openxmlformats.org/officeDocument/2006/docPropsVTypes">
  <Template>AGA Blank Report - A4</Template>
  <TotalTime>15</TotalTime>
  <Pages>46</Pages>
  <Words>12681</Words>
  <Characters>65628</Characters>
  <Application>Microsoft Office Word</Application>
  <DocSecurity>0</DocSecurity>
  <Lines>1420</Lines>
  <Paragraphs>434</Paragraphs>
  <ScaleCrop>false</ScaleCrop>
  <HeadingPairs>
    <vt:vector size="2" baseType="variant">
      <vt:variant>
        <vt:lpstr>Title</vt:lpstr>
      </vt:variant>
      <vt:variant>
        <vt:i4>1</vt:i4>
      </vt:variant>
    </vt:vector>
  </HeadingPairs>
  <TitlesOfParts>
    <vt:vector size="1" baseType="lpstr">
      <vt:lpstr>Australian Priority Investment Approach to Welfare</vt:lpstr>
    </vt:vector>
  </TitlesOfParts>
  <Company>Australian Government</Company>
  <LinksUpToDate>false</LinksUpToDate>
  <CharactersWithSpaces>77856</CharactersWithSpaces>
  <SharedDoc>false</SharedDoc>
  <HLinks>
    <vt:vector size="144" baseType="variant">
      <vt:variant>
        <vt:i4>2359393</vt:i4>
      </vt:variant>
      <vt:variant>
        <vt:i4>584</vt:i4>
      </vt:variant>
      <vt:variant>
        <vt:i4>0</vt:i4>
      </vt:variant>
      <vt:variant>
        <vt:i4>5</vt:i4>
      </vt:variant>
      <vt:variant>
        <vt:lpwstr>https://data.gov.au/data/dataset/cff2ae8a-55e4-47db-a66d-e177fe0ac6a0/resource/1188c950-542a-4ca6-9e3e-9f91f53d9314/download/dss-demographics-june-2022-final.xlsx</vt:lpwstr>
      </vt:variant>
      <vt:variant>
        <vt:lpwstr/>
      </vt:variant>
      <vt:variant>
        <vt:i4>8323186</vt:i4>
      </vt:variant>
      <vt:variant>
        <vt:i4>581</vt:i4>
      </vt:variant>
      <vt:variant>
        <vt:i4>0</vt:i4>
      </vt:variant>
      <vt:variant>
        <vt:i4>5</vt:i4>
      </vt:variant>
      <vt:variant>
        <vt:lpwstr>https://data.gov.au/data/dataset/dss-income-support-recipients-monthly-time-series</vt:lpwstr>
      </vt:variant>
      <vt:variant>
        <vt:lpwstr/>
      </vt:variant>
      <vt:variant>
        <vt:i4>4325379</vt:i4>
      </vt:variant>
      <vt:variant>
        <vt:i4>578</vt:i4>
      </vt:variant>
      <vt:variant>
        <vt:i4>0</vt:i4>
      </vt:variant>
      <vt:variant>
        <vt:i4>5</vt:i4>
      </vt:variant>
      <vt:variant>
        <vt:lpwstr>https://data.gov.au/data/dataset/dss-payment-demographic-data</vt:lpwstr>
      </vt:variant>
      <vt:variant>
        <vt:lpwstr/>
      </vt:variant>
      <vt:variant>
        <vt:i4>1179701</vt:i4>
      </vt:variant>
      <vt:variant>
        <vt:i4>95</vt:i4>
      </vt:variant>
      <vt:variant>
        <vt:i4>0</vt:i4>
      </vt:variant>
      <vt:variant>
        <vt:i4>5</vt:i4>
      </vt:variant>
      <vt:variant>
        <vt:lpwstr/>
      </vt:variant>
      <vt:variant>
        <vt:lpwstr>_Toc158287452</vt:lpwstr>
      </vt:variant>
      <vt:variant>
        <vt:i4>1179701</vt:i4>
      </vt:variant>
      <vt:variant>
        <vt:i4>89</vt:i4>
      </vt:variant>
      <vt:variant>
        <vt:i4>0</vt:i4>
      </vt:variant>
      <vt:variant>
        <vt:i4>5</vt:i4>
      </vt:variant>
      <vt:variant>
        <vt:lpwstr/>
      </vt:variant>
      <vt:variant>
        <vt:lpwstr>_Toc158287451</vt:lpwstr>
      </vt:variant>
      <vt:variant>
        <vt:i4>1179701</vt:i4>
      </vt:variant>
      <vt:variant>
        <vt:i4>83</vt:i4>
      </vt:variant>
      <vt:variant>
        <vt:i4>0</vt:i4>
      </vt:variant>
      <vt:variant>
        <vt:i4>5</vt:i4>
      </vt:variant>
      <vt:variant>
        <vt:lpwstr/>
      </vt:variant>
      <vt:variant>
        <vt:lpwstr>_Toc158287450</vt:lpwstr>
      </vt:variant>
      <vt:variant>
        <vt:i4>1245237</vt:i4>
      </vt:variant>
      <vt:variant>
        <vt:i4>77</vt:i4>
      </vt:variant>
      <vt:variant>
        <vt:i4>0</vt:i4>
      </vt:variant>
      <vt:variant>
        <vt:i4>5</vt:i4>
      </vt:variant>
      <vt:variant>
        <vt:lpwstr/>
      </vt:variant>
      <vt:variant>
        <vt:lpwstr>_Toc158287449</vt:lpwstr>
      </vt:variant>
      <vt:variant>
        <vt:i4>1245237</vt:i4>
      </vt:variant>
      <vt:variant>
        <vt:i4>71</vt:i4>
      </vt:variant>
      <vt:variant>
        <vt:i4>0</vt:i4>
      </vt:variant>
      <vt:variant>
        <vt:i4>5</vt:i4>
      </vt:variant>
      <vt:variant>
        <vt:lpwstr/>
      </vt:variant>
      <vt:variant>
        <vt:lpwstr>_Toc158287448</vt:lpwstr>
      </vt:variant>
      <vt:variant>
        <vt:i4>1245237</vt:i4>
      </vt:variant>
      <vt:variant>
        <vt:i4>65</vt:i4>
      </vt:variant>
      <vt:variant>
        <vt:i4>0</vt:i4>
      </vt:variant>
      <vt:variant>
        <vt:i4>5</vt:i4>
      </vt:variant>
      <vt:variant>
        <vt:lpwstr/>
      </vt:variant>
      <vt:variant>
        <vt:lpwstr>_Toc158287447</vt:lpwstr>
      </vt:variant>
      <vt:variant>
        <vt:i4>1245237</vt:i4>
      </vt:variant>
      <vt:variant>
        <vt:i4>59</vt:i4>
      </vt:variant>
      <vt:variant>
        <vt:i4>0</vt:i4>
      </vt:variant>
      <vt:variant>
        <vt:i4>5</vt:i4>
      </vt:variant>
      <vt:variant>
        <vt:lpwstr/>
      </vt:variant>
      <vt:variant>
        <vt:lpwstr>_Toc158287446</vt:lpwstr>
      </vt:variant>
      <vt:variant>
        <vt:i4>1245237</vt:i4>
      </vt:variant>
      <vt:variant>
        <vt:i4>53</vt:i4>
      </vt:variant>
      <vt:variant>
        <vt:i4>0</vt:i4>
      </vt:variant>
      <vt:variant>
        <vt:i4>5</vt:i4>
      </vt:variant>
      <vt:variant>
        <vt:lpwstr/>
      </vt:variant>
      <vt:variant>
        <vt:lpwstr>_Toc158287445</vt:lpwstr>
      </vt:variant>
      <vt:variant>
        <vt:i4>1245237</vt:i4>
      </vt:variant>
      <vt:variant>
        <vt:i4>47</vt:i4>
      </vt:variant>
      <vt:variant>
        <vt:i4>0</vt:i4>
      </vt:variant>
      <vt:variant>
        <vt:i4>5</vt:i4>
      </vt:variant>
      <vt:variant>
        <vt:lpwstr/>
      </vt:variant>
      <vt:variant>
        <vt:lpwstr>_Toc158287444</vt:lpwstr>
      </vt:variant>
      <vt:variant>
        <vt:i4>1245237</vt:i4>
      </vt:variant>
      <vt:variant>
        <vt:i4>41</vt:i4>
      </vt:variant>
      <vt:variant>
        <vt:i4>0</vt:i4>
      </vt:variant>
      <vt:variant>
        <vt:i4>5</vt:i4>
      </vt:variant>
      <vt:variant>
        <vt:lpwstr/>
      </vt:variant>
      <vt:variant>
        <vt:lpwstr>_Toc158287443</vt:lpwstr>
      </vt:variant>
      <vt:variant>
        <vt:i4>1245237</vt:i4>
      </vt:variant>
      <vt:variant>
        <vt:i4>35</vt:i4>
      </vt:variant>
      <vt:variant>
        <vt:i4>0</vt:i4>
      </vt:variant>
      <vt:variant>
        <vt:i4>5</vt:i4>
      </vt:variant>
      <vt:variant>
        <vt:lpwstr/>
      </vt:variant>
      <vt:variant>
        <vt:lpwstr>_Toc158287442</vt:lpwstr>
      </vt:variant>
      <vt:variant>
        <vt:i4>1245237</vt:i4>
      </vt:variant>
      <vt:variant>
        <vt:i4>29</vt:i4>
      </vt:variant>
      <vt:variant>
        <vt:i4>0</vt:i4>
      </vt:variant>
      <vt:variant>
        <vt:i4>5</vt:i4>
      </vt:variant>
      <vt:variant>
        <vt:lpwstr/>
      </vt:variant>
      <vt:variant>
        <vt:lpwstr>_Toc158287441</vt:lpwstr>
      </vt:variant>
      <vt:variant>
        <vt:i4>1245237</vt:i4>
      </vt:variant>
      <vt:variant>
        <vt:i4>23</vt:i4>
      </vt:variant>
      <vt:variant>
        <vt:i4>0</vt:i4>
      </vt:variant>
      <vt:variant>
        <vt:i4>5</vt:i4>
      </vt:variant>
      <vt:variant>
        <vt:lpwstr/>
      </vt:variant>
      <vt:variant>
        <vt:lpwstr>_Toc158287440</vt:lpwstr>
      </vt:variant>
      <vt:variant>
        <vt:i4>1310773</vt:i4>
      </vt:variant>
      <vt:variant>
        <vt:i4>17</vt:i4>
      </vt:variant>
      <vt:variant>
        <vt:i4>0</vt:i4>
      </vt:variant>
      <vt:variant>
        <vt:i4>5</vt:i4>
      </vt:variant>
      <vt:variant>
        <vt:lpwstr/>
      </vt:variant>
      <vt:variant>
        <vt:lpwstr>_Toc158287439</vt:lpwstr>
      </vt:variant>
      <vt:variant>
        <vt:i4>1179749</vt:i4>
      </vt:variant>
      <vt:variant>
        <vt:i4>12</vt:i4>
      </vt:variant>
      <vt:variant>
        <vt:i4>0</vt:i4>
      </vt:variant>
      <vt:variant>
        <vt:i4>5</vt:i4>
      </vt:variant>
      <vt:variant>
        <vt:lpwstr>mailto:aga@aga.gov.au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3145752</vt:i4>
      </vt:variant>
      <vt:variant>
        <vt:i4>3</vt:i4>
      </vt:variant>
      <vt:variant>
        <vt:i4>0</vt:i4>
      </vt:variant>
      <vt:variant>
        <vt:i4>5</vt:i4>
      </vt:variant>
      <vt:variant>
        <vt:lpwstr>mailto:Jennifer.Kane@aga.gov.au</vt:lpwstr>
      </vt:variant>
      <vt:variant>
        <vt:lpwstr/>
      </vt:variant>
      <vt:variant>
        <vt:i4>524329</vt:i4>
      </vt:variant>
      <vt:variant>
        <vt:i4>0</vt:i4>
      </vt:variant>
      <vt:variant>
        <vt:i4>0</vt:i4>
      </vt:variant>
      <vt:variant>
        <vt:i4>5</vt:i4>
      </vt:variant>
      <vt:variant>
        <vt:lpwstr>mailto:Oliver.Bruhl@aga.gov.au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Priority Investment Approach to Welfare</dc:title>
  <dc:subject>30 June 2022 Valuation Report</dc:subject>
  <dc:creator>Australian Government Actuary</dc:creator>
  <cp:keywords>[SEC=OFFICIAL]</cp:keywords>
  <dc:description/>
  <cp:lastModifiedBy>MUSCAT, Alison</cp:lastModifiedBy>
  <cp:revision>7</cp:revision>
  <cp:lastPrinted>2024-03-06T23:57:00Z</cp:lastPrinted>
  <dcterms:created xsi:type="dcterms:W3CDTF">2024-05-10T02:36:00Z</dcterms:created>
  <dcterms:modified xsi:type="dcterms:W3CDTF">2024-05-10T04:05:00Z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4C80D5650EAC4EED8D4CAC4130291D19</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ProtectiveMarkingImage_Footer">
    <vt:lpwstr>C:\Program Files (x86)\Common Files\janusNET Shared\janusSEAL\Images\DocumentSlashBlue.png</vt:lpwstr>
  </property>
  <property fmtid="{D5CDD505-2E9C-101B-9397-08002B2CF9AE}" pid="12" name="PM_Namespace">
    <vt:lpwstr>gov.au</vt:lpwstr>
  </property>
  <property fmtid="{D5CDD505-2E9C-101B-9397-08002B2CF9AE}" pid="13" name="PM_Version">
    <vt:lpwstr>2018.4</vt:lpwstr>
  </property>
  <property fmtid="{D5CDD505-2E9C-101B-9397-08002B2CF9AE}" pid="14" name="PM_Note">
    <vt:lpwstr/>
  </property>
  <property fmtid="{D5CDD505-2E9C-101B-9397-08002B2CF9AE}" pid="15" name="PM_Markers">
    <vt:lpwstr/>
  </property>
  <property fmtid="{D5CDD505-2E9C-101B-9397-08002B2CF9AE}" pid="16" name="PM_Display">
    <vt:lpwstr>OFFICIAL</vt:lpwstr>
  </property>
  <property fmtid="{D5CDD505-2E9C-101B-9397-08002B2CF9AE}" pid="17" name="PM_Hash_Version">
    <vt:lpwstr>2022.1</vt:lpwstr>
  </property>
  <property fmtid="{D5CDD505-2E9C-101B-9397-08002B2CF9AE}" pid="18" name="PM_OriginatorDomainName_SHA256">
    <vt:lpwstr>E83A2A66C4061446A7E3732E8D44762184B6B377D962B96C83DC624302585857</vt:lpwstr>
  </property>
  <property fmtid="{D5CDD505-2E9C-101B-9397-08002B2CF9AE}" pid="19" name="PM_SecurityClassification_Prev">
    <vt:lpwstr>OFFICIAL</vt:lpwstr>
  </property>
  <property fmtid="{D5CDD505-2E9C-101B-9397-08002B2CF9AE}" pid="20" name="PM_Qualifier_Prev">
    <vt:lpwstr/>
  </property>
  <property fmtid="{D5CDD505-2E9C-101B-9397-08002B2CF9AE}" pid="21" name="ContentTypeId">
    <vt:lpwstr>0x010100CBE6FB162900BD469303EAE882A126F8</vt:lpwstr>
  </property>
  <property fmtid="{D5CDD505-2E9C-101B-9397-08002B2CF9AE}" pid="22" name="MSIP_Label_eb34d90b-fc41-464d-af60-f74d721d0790_SetDate">
    <vt:lpwstr>2024-03-04T00:36:22Z</vt:lpwstr>
  </property>
  <property fmtid="{D5CDD505-2E9C-101B-9397-08002B2CF9AE}" pid="23" name="MSIP_Label_eb34d90b-fc41-464d-af60-f74d721d0790_Name">
    <vt:lpwstr>OFFICIAL</vt:lpwstr>
  </property>
  <property fmtid="{D5CDD505-2E9C-101B-9397-08002B2CF9AE}" pid="24" name="MSIP_Label_eb34d90b-fc41-464d-af60-f74d721d0790_SiteId">
    <vt:lpwstr>61e36dd1-ca6e-4d61-aa0a-2b4eb88317a3</vt:lpwstr>
  </property>
  <property fmtid="{D5CDD505-2E9C-101B-9397-08002B2CF9AE}" pid="25" name="MSIP_Label_eb34d90b-fc41-464d-af60-f74d721d0790_Enabled">
    <vt:lpwstr>true</vt:lpwstr>
  </property>
  <property fmtid="{D5CDD505-2E9C-101B-9397-08002B2CF9AE}" pid="26" name="PM_Originator_Hash_SHA1">
    <vt:lpwstr>B2CEB07C6844A58DB7FDE447A7F202038166876B</vt:lpwstr>
  </property>
  <property fmtid="{D5CDD505-2E9C-101B-9397-08002B2CF9AE}" pid="27" name="PM_OriginatorUserAccountName_SHA256">
    <vt:lpwstr>0470192D92D0F53FA8795B3991DB585801A66EFBC9EABEB75F9C4257BEB8351A</vt:lpwstr>
  </property>
  <property fmtid="{D5CDD505-2E9C-101B-9397-08002B2CF9AE}" pid="28" name="PM_Hash_Salt_Prev">
    <vt:lpwstr>1D4E205FD47642D616571897C3496108</vt:lpwstr>
  </property>
  <property fmtid="{D5CDD505-2E9C-101B-9397-08002B2CF9AE}" pid="29" name="PM_OriginationTimeStamp">
    <vt:lpwstr>2024-03-04T00:36:22Z</vt:lpwstr>
  </property>
  <property fmtid="{D5CDD505-2E9C-101B-9397-08002B2CF9AE}" pid="30" name="PM_Hash_Salt">
    <vt:lpwstr>C3AB2740DE8CCC2A05ACEB660EE36FC4</vt:lpwstr>
  </property>
  <property fmtid="{D5CDD505-2E9C-101B-9397-08002B2CF9AE}" pid="31" name="PM_Hash_SHA1">
    <vt:lpwstr>40EFEFA8086E8A02F5B611C3A250A8F1861EB214</vt:lpwstr>
  </property>
  <property fmtid="{D5CDD505-2E9C-101B-9397-08002B2CF9AE}" pid="32" name="PMHMAC">
    <vt:lpwstr>v=2022.1;a=SHA256;h=167EE541335A03123DE536F6B4C89F5F6B0186757EE8843B6C6A8B7347414902</vt:lpwstr>
  </property>
  <property fmtid="{D5CDD505-2E9C-101B-9397-08002B2CF9AE}" pid="33" name="MSIP_Label_eb34d90b-fc41-464d-af60-f74d721d0790_ContentBits">
    <vt:lpwstr>0</vt:lpwstr>
  </property>
  <property fmtid="{D5CDD505-2E9C-101B-9397-08002B2CF9AE}" pid="34" name="MSIP_Label_eb34d90b-fc41-464d-af60-f74d721d0790_Method">
    <vt:lpwstr>Privileged</vt:lpwstr>
  </property>
  <property fmtid="{D5CDD505-2E9C-101B-9397-08002B2CF9AE}" pid="35" name="MSIP_Label_eb34d90b-fc41-464d-af60-f74d721d0790_ActionId">
    <vt:lpwstr>62505980003645a2b87db4456624a686</vt:lpwstr>
  </property>
  <property fmtid="{D5CDD505-2E9C-101B-9397-08002B2CF9AE}" pid="36" name="PMUuid">
    <vt:lpwstr>v=2022.2;d=gov.au;g=46DD6D7C-8107-577B-BC6E-F348953B2E44</vt:lpwstr>
  </property>
</Properties>
</file>