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2AA" w:rsidRPr="00AA14D4" w:rsidRDefault="008B14FC" w:rsidP="008B14FC">
      <w:pPr>
        <w:pStyle w:val="TPHeading1"/>
        <w:spacing w:before="3360"/>
        <w:rPr>
          <w:szCs w:val="28"/>
        </w:rPr>
      </w:pPr>
      <w:bookmarkStart w:id="0" w:name="_Toc23559331"/>
      <w:r>
        <w:rPr>
          <w:noProof/>
        </w:rPr>
        <w:drawing>
          <wp:inline distT="0" distB="0" distL="0" distR="0" wp14:anchorId="522AE618" wp14:editId="52CA1A08">
            <wp:extent cx="2305050" cy="942975"/>
            <wp:effectExtent l="0" t="0" r="0" b="9525"/>
            <wp:docPr id="2" name="Picture 2" descr="Commonwealth of Australia Budg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of Australia Budge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942975"/>
                    </a:xfrm>
                    <a:prstGeom prst="rect">
                      <a:avLst/>
                    </a:prstGeom>
                    <a:noFill/>
                    <a:ln>
                      <a:noFill/>
                    </a:ln>
                  </pic:spPr>
                </pic:pic>
              </a:graphicData>
            </a:graphic>
          </wp:inline>
        </w:drawing>
      </w:r>
      <w:r>
        <w:rPr>
          <w:szCs w:val="28"/>
        </w:rPr>
        <w:br/>
      </w:r>
      <w:bookmarkEnd w:id="0"/>
      <w:r w:rsidRPr="008B14FC">
        <w:rPr>
          <w:szCs w:val="28"/>
        </w:rPr>
        <w:t>PORTFOLIO BUDGET STATEMENTS 201</w:t>
      </w:r>
      <w:r>
        <w:rPr>
          <w:szCs w:val="28"/>
        </w:rPr>
        <w:t>3</w:t>
      </w:r>
      <w:r w:rsidR="00AA76C3">
        <w:rPr>
          <w:szCs w:val="28"/>
        </w:rPr>
        <w:t>-</w:t>
      </w:r>
      <w:r w:rsidRPr="008B14FC">
        <w:rPr>
          <w:szCs w:val="28"/>
        </w:rPr>
        <w:t>1</w:t>
      </w:r>
      <w:r w:rsidR="006700E4">
        <w:rPr>
          <w:szCs w:val="28"/>
        </w:rPr>
        <w:t>4</w:t>
      </w:r>
      <w:r w:rsidR="006700E4">
        <w:rPr>
          <w:szCs w:val="28"/>
        </w:rPr>
        <w:br/>
      </w:r>
      <w:r w:rsidRPr="008B14FC">
        <w:rPr>
          <w:b w:val="0"/>
          <w:szCs w:val="28"/>
        </w:rPr>
        <w:t>BUDGET</w:t>
      </w:r>
      <w:r>
        <w:rPr>
          <w:b w:val="0"/>
          <w:szCs w:val="28"/>
        </w:rPr>
        <w:t> </w:t>
      </w:r>
      <w:r w:rsidRPr="008B14FC">
        <w:rPr>
          <w:b w:val="0"/>
          <w:szCs w:val="28"/>
        </w:rPr>
        <w:t>RELATED PAPER NO. 1.</w:t>
      </w:r>
      <w:r w:rsidR="002D4BCF">
        <w:rPr>
          <w:b w:val="0"/>
          <w:szCs w:val="28"/>
        </w:rPr>
        <w:t>6</w:t>
      </w:r>
    </w:p>
    <w:p w:rsidR="007452AA" w:rsidRPr="00AA14D4" w:rsidRDefault="007452AA" w:rsidP="00667502">
      <w:pPr>
        <w:pStyle w:val="TPHeading2"/>
        <w:spacing w:before="480"/>
      </w:pPr>
      <w:r w:rsidRPr="00AA14D4">
        <w:t>FAMILIES, HOUSING, COMMUNITY SERVICES AND INDIGENOUS AFFAIRS PORTFOLIO</w:t>
      </w:r>
    </w:p>
    <w:p w:rsidR="007452AA" w:rsidRDefault="008B14FC" w:rsidP="008B14FC">
      <w:pPr>
        <w:pStyle w:val="TPHeading3"/>
        <w:spacing w:before="3969"/>
      </w:pPr>
      <w:bookmarkStart w:id="1" w:name="_Toc491014608"/>
      <w:bookmarkStart w:id="2" w:name="_Toc491014750"/>
      <w:bookmarkStart w:id="3" w:name="_Toc491031921"/>
      <w:r>
        <w:t>BUDGET INITIATIVES AND EXPLANATIONS OF APPROPRIATIONS SPECIFIED BY OUTCOMES AND PROGRAMS BY AGENCY</w:t>
      </w:r>
    </w:p>
    <w:p w:rsidR="00107652" w:rsidRDefault="00107652" w:rsidP="00A079AC">
      <w:pPr>
        <w:sectPr w:rsidR="00107652" w:rsidSect="00BC7ECE">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2466" w:right="2098" w:bottom="2466" w:left="2098" w:header="1899" w:footer="1899" w:gutter="0"/>
          <w:cols w:space="708"/>
          <w:titlePg/>
          <w:docGrid w:linePitch="360"/>
        </w:sectPr>
      </w:pPr>
    </w:p>
    <w:p w:rsidR="002B236B" w:rsidRDefault="002B236B" w:rsidP="008F39A2">
      <w:r w:rsidRPr="009A7B26">
        <w:lastRenderedPageBreak/>
        <w:t>© Commonwealth of Australia 201</w:t>
      </w:r>
      <w:r w:rsidR="009A7B26" w:rsidRPr="009A7B26">
        <w:t>3</w:t>
      </w:r>
    </w:p>
    <w:p w:rsidR="00AA13DF" w:rsidRDefault="007452AA" w:rsidP="00A92915">
      <w:pPr>
        <w:spacing w:after="120"/>
        <w:rPr>
          <w:rStyle w:val="ExampletextCharChar"/>
          <w:i w:val="0"/>
          <w:color w:val="auto"/>
          <w:lang w:val="en-AU"/>
        </w:rPr>
      </w:pPr>
      <w:r w:rsidRPr="00DB71C7">
        <w:t>ISBN</w:t>
      </w:r>
      <w:r w:rsidR="004808EB" w:rsidRPr="00DB71C7">
        <w:t xml:space="preserve"> (print)</w:t>
      </w:r>
      <w:r w:rsidR="00121D75">
        <w:tab/>
      </w:r>
      <w:r w:rsidR="00A84D6E" w:rsidRPr="00A84D6E">
        <w:rPr>
          <w:rStyle w:val="ExampletextCharChar"/>
          <w:i w:val="0"/>
          <w:color w:val="auto"/>
          <w:lang w:val="en-AU"/>
        </w:rPr>
        <w:t>978-1-925007-09-1</w:t>
      </w:r>
    </w:p>
    <w:p w:rsidR="004808EB" w:rsidRPr="00DB71C7" w:rsidRDefault="004808EB" w:rsidP="00A92915">
      <w:pPr>
        <w:spacing w:after="120"/>
        <w:rPr>
          <w:rStyle w:val="ExampletextCharChar"/>
          <w:i w:val="0"/>
          <w:color w:val="auto"/>
          <w:lang w:val="en-AU"/>
        </w:rPr>
      </w:pPr>
      <w:r w:rsidRPr="00DB71C7">
        <w:t xml:space="preserve">ISBN (PDF) </w:t>
      </w:r>
      <w:r w:rsidR="00121D75">
        <w:tab/>
      </w:r>
      <w:r w:rsidR="00A84D6E" w:rsidRPr="00A84D6E">
        <w:rPr>
          <w:rStyle w:val="ExampletextCharChar"/>
          <w:i w:val="0"/>
          <w:color w:val="auto"/>
          <w:lang w:val="en-AU"/>
        </w:rPr>
        <w:t>978-1-925007-10-7</w:t>
      </w:r>
    </w:p>
    <w:p w:rsidR="004808EB" w:rsidRPr="00AA14D4" w:rsidRDefault="004808EB" w:rsidP="00A92915">
      <w:pPr>
        <w:spacing w:after="120"/>
      </w:pPr>
      <w:r w:rsidRPr="00DB71C7">
        <w:t>ISBN (</w:t>
      </w:r>
      <w:r w:rsidR="00010AE9">
        <w:t>.</w:t>
      </w:r>
      <w:proofErr w:type="spellStart"/>
      <w:r w:rsidR="00010AE9">
        <w:t>docx</w:t>
      </w:r>
      <w:proofErr w:type="spellEnd"/>
      <w:r w:rsidRPr="00DB71C7">
        <w:t xml:space="preserve">) </w:t>
      </w:r>
      <w:r w:rsidR="00121D75">
        <w:tab/>
      </w:r>
      <w:r w:rsidR="00A84D6E" w:rsidRPr="00A84D6E">
        <w:rPr>
          <w:rStyle w:val="ExampletextCharChar"/>
          <w:i w:val="0"/>
          <w:color w:val="auto"/>
          <w:lang w:val="en-AU"/>
        </w:rPr>
        <w:t>978-1-925007-11-4</w:t>
      </w:r>
    </w:p>
    <w:p w:rsidR="009A7B26" w:rsidRPr="009A7B26" w:rsidRDefault="009A7B26" w:rsidP="002A770D">
      <w:pPr>
        <w:rPr>
          <w:rStyle w:val="A5"/>
          <w:rFonts w:ascii="Calibri" w:hAnsi="Calibri"/>
          <w:sz w:val="24"/>
          <w:szCs w:val="24"/>
        </w:rPr>
      </w:pPr>
      <w:r>
        <w:t>This publication is available for your use under a</w:t>
      </w:r>
      <w:r w:rsidRPr="009A7B26">
        <w:rPr>
          <w:rStyle w:val="A5"/>
          <w:rFonts w:ascii="Calibri" w:hAnsi="Calibri" w:cs="Calibri"/>
          <w:sz w:val="24"/>
          <w:szCs w:val="24"/>
        </w:rPr>
        <w:t xml:space="preserve"> </w:t>
      </w:r>
      <w:r w:rsidR="00A079AC" w:rsidRPr="008F39A2">
        <w:t>Creative Commons BY Attribution 3.0 Australia</w:t>
      </w:r>
      <w:r w:rsidRPr="009A7B26">
        <w:rPr>
          <w:rStyle w:val="A5"/>
          <w:rFonts w:ascii="Calibri" w:hAnsi="Calibri" w:cs="Calibri"/>
          <w:sz w:val="24"/>
          <w:szCs w:val="24"/>
        </w:rPr>
        <w:t xml:space="preserve"> </w:t>
      </w:r>
      <w:r>
        <w:t>licence, with the exception of the Commonwealth Coat of Arms, signatures and where otherwise stated</w:t>
      </w:r>
      <w:r w:rsidR="00563553">
        <w:t>.</w:t>
      </w:r>
      <w:r w:rsidR="003C0FAF">
        <w:t xml:space="preserve"> </w:t>
      </w:r>
      <w:r>
        <w:t>The full licence terms are available from</w:t>
      </w:r>
      <w:r w:rsidRPr="009A7B26">
        <w:rPr>
          <w:rStyle w:val="A5"/>
          <w:rFonts w:ascii="Calibri" w:hAnsi="Calibri" w:cs="Calibri"/>
          <w:sz w:val="24"/>
          <w:szCs w:val="24"/>
        </w:rPr>
        <w:t xml:space="preserve"> </w:t>
      </w:r>
      <w:hyperlink r:id="rId16" w:history="1">
        <w:r w:rsidR="00563553" w:rsidRPr="002A770D">
          <w:rPr>
            <w:rStyle w:val="Hyperlink"/>
          </w:rPr>
          <w:t>http://creativecommons.org/licenses/by/3.0/au/legalcode</w:t>
        </w:r>
      </w:hyperlink>
      <w:r w:rsidRPr="00AC5FA1">
        <w:t>.</w:t>
      </w:r>
      <w:r>
        <w:rPr>
          <w:color w:val="000000"/>
          <w:sz w:val="24"/>
          <w:szCs w:val="24"/>
        </w:rPr>
        <w:t xml:space="preserve"> </w:t>
      </w:r>
    </w:p>
    <w:p w:rsidR="00A079AC" w:rsidRDefault="00A079AC" w:rsidP="00A079AC">
      <w:pPr>
        <w:rPr>
          <w:b/>
        </w:rPr>
      </w:pPr>
    </w:p>
    <w:p w:rsidR="00A079AC" w:rsidRDefault="00DF12C5" w:rsidP="00A079AC">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212" type="#_x0000_t75" alt="Description: Creative Commons License" style="position:absolute;left:0;text-align:left;margin-left:1.6pt;margin-top:-17.8pt;width:84pt;height:28.5pt;z-index:251657728;visibility:visible">
            <v:imagedata r:id="rId17" o:title="image001"/>
            <w10:wrap type="square"/>
          </v:shape>
        </w:pict>
      </w:r>
    </w:p>
    <w:p w:rsidR="009A7B26" w:rsidRPr="009A7B26" w:rsidRDefault="009A7B26" w:rsidP="00AC5FA1">
      <w:pPr>
        <w:rPr>
          <w:sz w:val="22"/>
          <w:szCs w:val="22"/>
        </w:rPr>
      </w:pPr>
      <w:r>
        <w:t xml:space="preserve">Use of </w:t>
      </w:r>
      <w:r w:rsidR="00563553" w:rsidRPr="00A079AC">
        <w:rPr>
          <w:snapToGrid w:val="0"/>
        </w:rPr>
        <w:t>Department of Families, Housing, Community Services and Indigenous Affairs</w:t>
      </w:r>
      <w:r w:rsidR="00563553" w:rsidRPr="00AA14D4">
        <w:rPr>
          <w:snapToGrid w:val="0"/>
        </w:rPr>
        <w:t xml:space="preserve"> </w:t>
      </w:r>
      <w:r w:rsidR="006566DD">
        <w:rPr>
          <w:snapToGrid w:val="0"/>
        </w:rPr>
        <w:t xml:space="preserve">(FaHCSIA) </w:t>
      </w:r>
      <w:r>
        <w:t>material under a</w:t>
      </w:r>
      <w:r w:rsidRPr="009A7B26">
        <w:t xml:space="preserve"> </w:t>
      </w:r>
      <w:r w:rsidR="00A079AC" w:rsidRPr="008F39A2">
        <w:t xml:space="preserve">Creative Commons BY Attribution 3.0 </w:t>
      </w:r>
      <w:r w:rsidR="00A079AC" w:rsidRPr="00AC5FA1">
        <w:t>Australia</w:t>
      </w:r>
      <w:r w:rsidRPr="00AC5FA1">
        <w:t xml:space="preserve"> licence requires you to attribute the work (but not in any way that suggests</w:t>
      </w:r>
      <w:r>
        <w:t xml:space="preserve"> that </w:t>
      </w:r>
      <w:r w:rsidR="006566DD">
        <w:rPr>
          <w:snapToGrid w:val="0"/>
        </w:rPr>
        <w:t>FaHCSIA</w:t>
      </w:r>
      <w:r w:rsidR="00563553" w:rsidRPr="00AA14D4">
        <w:rPr>
          <w:snapToGrid w:val="0"/>
        </w:rPr>
        <w:t xml:space="preserve"> </w:t>
      </w:r>
      <w:r>
        <w:t xml:space="preserve">endorses you or your use of the work). </w:t>
      </w:r>
    </w:p>
    <w:p w:rsidR="009A7B26" w:rsidRPr="008F39A2" w:rsidRDefault="00742F27" w:rsidP="008F39A2">
      <w:pPr>
        <w:spacing w:after="40" w:line="240" w:lineRule="exact"/>
        <w:rPr>
          <w:b/>
        </w:rPr>
      </w:pPr>
      <w:r w:rsidRPr="008F39A2">
        <w:rPr>
          <w:b/>
        </w:rPr>
        <w:t>M</w:t>
      </w:r>
      <w:r w:rsidR="009A7B26" w:rsidRPr="008F39A2">
        <w:rPr>
          <w:b/>
        </w:rPr>
        <w:t xml:space="preserve">aterial used </w:t>
      </w:r>
      <w:r w:rsidR="00091131" w:rsidRPr="008F39A2">
        <w:rPr>
          <w:b/>
        </w:rPr>
        <w:t>‘</w:t>
      </w:r>
      <w:r w:rsidR="009A7B26" w:rsidRPr="008F39A2">
        <w:rPr>
          <w:b/>
        </w:rPr>
        <w:t>as supplied</w:t>
      </w:r>
      <w:r w:rsidR="00091131" w:rsidRPr="008F39A2">
        <w:rPr>
          <w:b/>
        </w:rPr>
        <w:t>’</w:t>
      </w:r>
    </w:p>
    <w:p w:rsidR="009A7B26" w:rsidRDefault="009A7B26" w:rsidP="00A92915">
      <w:pPr>
        <w:spacing w:after="60"/>
      </w:pPr>
      <w:r>
        <w:t xml:space="preserve">Provided you have not modified or transformed </w:t>
      </w:r>
      <w:r w:rsidR="00563553">
        <w:t xml:space="preserve">the </w:t>
      </w:r>
      <w:r>
        <w:t xml:space="preserve">material in any way </w:t>
      </w:r>
      <w:r w:rsidR="00742F27">
        <w:t>(</w:t>
      </w:r>
      <w:r>
        <w:t>including, for example, by changing the text; calculating percentage changes; graphing or charting data; or deriving new statistics from published statistics</w:t>
      </w:r>
      <w:r w:rsidR="00742F27">
        <w:t>)</w:t>
      </w:r>
      <w:r>
        <w:t xml:space="preserve"> then </w:t>
      </w:r>
      <w:r w:rsidR="006566DD">
        <w:rPr>
          <w:snapToGrid w:val="0"/>
        </w:rPr>
        <w:t>FaHCSIA</w:t>
      </w:r>
      <w:r>
        <w:t xml:space="preserve"> prefers the following attribution: </w:t>
      </w:r>
    </w:p>
    <w:p w:rsidR="009A7B26" w:rsidRPr="0011548F" w:rsidRDefault="009A7B26" w:rsidP="00A92915">
      <w:pPr>
        <w:spacing w:after="120" w:line="240" w:lineRule="exact"/>
        <w:rPr>
          <w:i/>
          <w:sz w:val="18"/>
          <w:szCs w:val="18"/>
        </w:rPr>
      </w:pPr>
      <w:r w:rsidRPr="0011548F">
        <w:rPr>
          <w:i/>
          <w:sz w:val="18"/>
          <w:szCs w:val="18"/>
        </w:rPr>
        <w:t xml:space="preserve">Source: The </w:t>
      </w:r>
      <w:r w:rsidRPr="0011548F">
        <w:rPr>
          <w:i/>
          <w:iCs/>
          <w:sz w:val="18"/>
          <w:szCs w:val="18"/>
        </w:rPr>
        <w:t>Australian Government </w:t>
      </w:r>
      <w:r w:rsidR="00563553" w:rsidRPr="0011548F">
        <w:rPr>
          <w:i/>
          <w:sz w:val="18"/>
          <w:szCs w:val="18"/>
        </w:rPr>
        <w:t>Department of Families, Housing, Community Services and Indigenous Affairs</w:t>
      </w:r>
      <w:r w:rsidR="0011548F" w:rsidRPr="0011548F">
        <w:rPr>
          <w:i/>
          <w:sz w:val="18"/>
          <w:szCs w:val="18"/>
        </w:rPr>
        <w:t>.</w:t>
      </w:r>
    </w:p>
    <w:p w:rsidR="009A7B26" w:rsidRPr="0011548F" w:rsidRDefault="009A7B26" w:rsidP="00C73B88">
      <w:pPr>
        <w:spacing w:after="40" w:line="240" w:lineRule="exact"/>
        <w:rPr>
          <w:b/>
        </w:rPr>
      </w:pPr>
      <w:r w:rsidRPr="0011548F">
        <w:rPr>
          <w:b/>
        </w:rPr>
        <w:t>Derivative material</w:t>
      </w:r>
    </w:p>
    <w:p w:rsidR="009A7B26" w:rsidRDefault="009A7B26" w:rsidP="00A92915">
      <w:pPr>
        <w:spacing w:after="60"/>
      </w:pPr>
      <w:r>
        <w:t xml:space="preserve">If you have modified or transformed </w:t>
      </w:r>
      <w:r w:rsidR="00BE0FD7">
        <w:t xml:space="preserve">the </w:t>
      </w:r>
      <w:r>
        <w:t xml:space="preserve">material, or derived new material from </w:t>
      </w:r>
      <w:r w:rsidR="006566DD">
        <w:t>it</w:t>
      </w:r>
      <w:r w:rsidR="0011548F">
        <w:t xml:space="preserve"> in any way, then </w:t>
      </w:r>
      <w:r w:rsidR="006566DD">
        <w:rPr>
          <w:snapToGrid w:val="0"/>
        </w:rPr>
        <w:t>FaHCSIA</w:t>
      </w:r>
      <w:r>
        <w:t xml:space="preserve"> prefers the following attribution: </w:t>
      </w:r>
    </w:p>
    <w:p w:rsidR="009A7B26" w:rsidRPr="001C69B7" w:rsidRDefault="009A7B26" w:rsidP="00C73B88">
      <w:pPr>
        <w:spacing w:after="200" w:line="240" w:lineRule="exact"/>
        <w:rPr>
          <w:sz w:val="18"/>
          <w:szCs w:val="18"/>
        </w:rPr>
      </w:pPr>
      <w:r w:rsidRPr="001C69B7">
        <w:rPr>
          <w:i/>
          <w:sz w:val="18"/>
          <w:szCs w:val="18"/>
        </w:rPr>
        <w:t xml:space="preserve">Based on </w:t>
      </w:r>
      <w:r w:rsidR="0011548F" w:rsidRPr="00401D47">
        <w:rPr>
          <w:i/>
          <w:sz w:val="18"/>
          <w:szCs w:val="18"/>
        </w:rPr>
        <w:t xml:space="preserve">Department of Families, Housing, </w:t>
      </w:r>
      <w:proofErr w:type="gramStart"/>
      <w:r w:rsidR="0011548F" w:rsidRPr="00401D47">
        <w:rPr>
          <w:i/>
          <w:sz w:val="18"/>
          <w:szCs w:val="18"/>
        </w:rPr>
        <w:t>Community</w:t>
      </w:r>
      <w:proofErr w:type="gramEnd"/>
      <w:r w:rsidR="0011548F" w:rsidRPr="00401D47">
        <w:rPr>
          <w:i/>
          <w:sz w:val="18"/>
          <w:szCs w:val="18"/>
        </w:rPr>
        <w:t xml:space="preserve"> </w:t>
      </w:r>
      <w:r w:rsidR="0011548F" w:rsidRPr="001C69B7">
        <w:rPr>
          <w:i/>
          <w:sz w:val="18"/>
          <w:szCs w:val="18"/>
        </w:rPr>
        <w:t>Services and Indigenous Affairs</w:t>
      </w:r>
      <w:r w:rsidRPr="00401D47">
        <w:rPr>
          <w:i/>
          <w:sz w:val="18"/>
          <w:szCs w:val="18"/>
        </w:rPr>
        <w:t xml:space="preserve"> data</w:t>
      </w:r>
      <w:r w:rsidR="0011548F" w:rsidRPr="00401D47">
        <w:rPr>
          <w:sz w:val="18"/>
          <w:szCs w:val="18"/>
        </w:rPr>
        <w:t>.</w:t>
      </w:r>
    </w:p>
    <w:p w:rsidR="009A7B26" w:rsidRDefault="009A7B26" w:rsidP="002F46FF">
      <w:pPr>
        <w:spacing w:after="40" w:line="240" w:lineRule="exact"/>
        <w:rPr>
          <w:b/>
        </w:rPr>
      </w:pPr>
      <w:r>
        <w:rPr>
          <w:b/>
        </w:rPr>
        <w:t>Use of the Coat of Arms</w:t>
      </w:r>
    </w:p>
    <w:p w:rsidR="009A7B26" w:rsidRDefault="009A7B26" w:rsidP="002A770D">
      <w:r>
        <w:t xml:space="preserve">The terms under which the Coat of Arms can be used are set out on the It’s an Honour website (see </w:t>
      </w:r>
      <w:hyperlink r:id="rId18" w:history="1">
        <w:r w:rsidRPr="002A770D">
          <w:rPr>
            <w:rStyle w:val="Hyperlink"/>
          </w:rPr>
          <w:t>www.itsanhonour.gov.au</w:t>
        </w:r>
      </w:hyperlink>
      <w:r>
        <w:t>)</w:t>
      </w:r>
      <w:r w:rsidR="00FB6D66">
        <w:t>.</w:t>
      </w:r>
    </w:p>
    <w:p w:rsidR="0011548F" w:rsidRDefault="009A7B26" w:rsidP="00C73B88">
      <w:pPr>
        <w:keepNext/>
        <w:spacing w:after="40" w:line="240" w:lineRule="exact"/>
        <w:rPr>
          <w:b/>
        </w:rPr>
      </w:pPr>
      <w:r>
        <w:rPr>
          <w:b/>
        </w:rPr>
        <w:t xml:space="preserve">Other </w:t>
      </w:r>
      <w:r w:rsidR="00742F27">
        <w:rPr>
          <w:b/>
        </w:rPr>
        <w:t>u</w:t>
      </w:r>
      <w:r>
        <w:rPr>
          <w:b/>
        </w:rPr>
        <w:t>ses</w:t>
      </w:r>
    </w:p>
    <w:p w:rsidR="007452AA" w:rsidRDefault="00091131" w:rsidP="007E6EA1">
      <w:r>
        <w:t>If</w:t>
      </w:r>
      <w:r w:rsidRPr="00421739">
        <w:t xml:space="preserve"> </w:t>
      </w:r>
      <w:r w:rsidR="0011548F" w:rsidRPr="00421739">
        <w:t xml:space="preserve">you have any </w:t>
      </w:r>
      <w:r w:rsidR="006566DD">
        <w:t>questions</w:t>
      </w:r>
      <w:r w:rsidR="006566DD" w:rsidRPr="00421739">
        <w:t xml:space="preserve"> </w:t>
      </w:r>
      <w:r w:rsidR="006566DD">
        <w:t>about</w:t>
      </w:r>
      <w:r w:rsidR="006566DD" w:rsidRPr="00421739">
        <w:t xml:space="preserve"> </w:t>
      </w:r>
      <w:r w:rsidR="0011548F" w:rsidRPr="00421739">
        <w:t xml:space="preserve">this </w:t>
      </w:r>
      <w:r w:rsidR="0011548F">
        <w:t>licence and any other use of this document</w:t>
      </w:r>
      <w:r w:rsidR="006566DD">
        <w:t>,</w:t>
      </w:r>
      <w:r w:rsidR="0011548F" w:rsidRPr="00421739">
        <w:t xml:space="preserve"> please contact the Branch Manager, </w:t>
      </w:r>
      <w:r w:rsidR="007E6A09">
        <w:t xml:space="preserve">Communication and Media </w:t>
      </w:r>
      <w:r w:rsidR="0011548F" w:rsidRPr="00421739">
        <w:t>Branch, in the Department of Families, Housing, Community Services and Indigenous Affairs on (02)</w:t>
      </w:r>
      <w:r>
        <w:t> </w:t>
      </w:r>
      <w:r w:rsidR="0011548F" w:rsidRPr="0011548F">
        <w:t>6146 0</w:t>
      </w:r>
      <w:r w:rsidR="007E6A09">
        <w:t>086</w:t>
      </w:r>
      <w:r w:rsidR="0011548F" w:rsidRPr="0011548F">
        <w:t>.</w:t>
      </w:r>
    </w:p>
    <w:p w:rsidR="007E6EA1" w:rsidRDefault="007E6EA1" w:rsidP="007E6EA1"/>
    <w:p w:rsidR="007E6EA1" w:rsidRPr="007E6EA1" w:rsidRDefault="007452AA" w:rsidP="007E6EA1">
      <w:r w:rsidRPr="004A2AA4">
        <w:t xml:space="preserve">Printed by </w:t>
      </w:r>
      <w:proofErr w:type="spellStart"/>
      <w:r w:rsidRPr="004A2AA4">
        <w:rPr>
          <w:rStyle w:val="ExampletextCharChar"/>
          <w:i w:val="0"/>
          <w:color w:val="auto"/>
          <w:lang w:val="en-AU"/>
        </w:rPr>
        <w:t>CanPrint</w:t>
      </w:r>
      <w:proofErr w:type="spellEnd"/>
      <w:r w:rsidRPr="004A2AA4">
        <w:rPr>
          <w:rStyle w:val="ExampletextCharChar"/>
          <w:i w:val="0"/>
          <w:color w:val="auto"/>
          <w:lang w:val="en-AU"/>
        </w:rPr>
        <w:t xml:space="preserve"> Communications Pty Ltd</w:t>
      </w:r>
    </w:p>
    <w:p w:rsidR="00107652" w:rsidRDefault="00107652" w:rsidP="00F51DAC">
      <w:pPr>
        <w:pStyle w:val="SinglePara"/>
        <w:sectPr w:rsidR="00107652" w:rsidSect="00107652">
          <w:headerReference w:type="first" r:id="rId19"/>
          <w:footerReference w:type="first" r:id="rId20"/>
          <w:pgSz w:w="11907" w:h="16840" w:code="9"/>
          <w:pgMar w:top="2466" w:right="2098" w:bottom="2466" w:left="2098" w:header="1899" w:footer="1899" w:gutter="0"/>
          <w:cols w:space="708"/>
          <w:titlePg/>
          <w:docGrid w:linePitch="360"/>
        </w:sectPr>
      </w:pPr>
    </w:p>
    <w:p w:rsidR="0019155A" w:rsidRPr="008F39A2" w:rsidRDefault="007452AA" w:rsidP="0040773D">
      <w:pPr>
        <w:jc w:val="left"/>
      </w:pPr>
      <w:r w:rsidRPr="00421739">
        <w:lastRenderedPageBreak/>
        <w:t>President of the Senate</w:t>
      </w:r>
      <w:r w:rsidR="00733965">
        <w:br/>
      </w:r>
      <w:r w:rsidRPr="00421739">
        <w:t>Australian Senate</w:t>
      </w:r>
      <w:r w:rsidR="00733965">
        <w:br/>
      </w:r>
      <w:r w:rsidRPr="00421739">
        <w:t>Parliament House</w:t>
      </w:r>
      <w:r w:rsidR="00733965">
        <w:br/>
      </w:r>
      <w:proofErr w:type="gramStart"/>
      <w:r w:rsidR="006700E4">
        <w:t xml:space="preserve">CANBERRA  </w:t>
      </w:r>
      <w:r w:rsidRPr="00421739">
        <w:t>ACT</w:t>
      </w:r>
      <w:proofErr w:type="gramEnd"/>
      <w:r w:rsidRPr="00421739">
        <w:t xml:space="preserve">  2600</w:t>
      </w:r>
    </w:p>
    <w:p w:rsidR="007452AA" w:rsidRPr="00421739" w:rsidRDefault="007452AA" w:rsidP="0040773D">
      <w:pPr>
        <w:jc w:val="left"/>
      </w:pPr>
      <w:r w:rsidRPr="008F39A2">
        <w:t>Speaker</w:t>
      </w:r>
      <w:r w:rsidR="00733965">
        <w:br/>
      </w:r>
      <w:r w:rsidRPr="00421739">
        <w:t>House of Representatives</w:t>
      </w:r>
      <w:r w:rsidR="00733965">
        <w:br/>
      </w:r>
      <w:r w:rsidRPr="00421739">
        <w:t>Parliament House</w:t>
      </w:r>
      <w:r w:rsidR="00733965">
        <w:br/>
      </w:r>
      <w:proofErr w:type="gramStart"/>
      <w:r w:rsidR="006700E4">
        <w:t>CANBERRA  A</w:t>
      </w:r>
      <w:r w:rsidRPr="00421739">
        <w:t>CT</w:t>
      </w:r>
      <w:proofErr w:type="gramEnd"/>
      <w:r w:rsidRPr="00421739">
        <w:t xml:space="preserve">  2600</w:t>
      </w:r>
    </w:p>
    <w:p w:rsidR="007452AA" w:rsidRPr="00421739" w:rsidRDefault="007452AA" w:rsidP="00247C54">
      <w:pPr>
        <w:jc w:val="left"/>
        <w:rPr>
          <w:rFonts w:ascii="Garamond" w:hAnsi="Garamond"/>
          <w:sz w:val="22"/>
        </w:rPr>
      </w:pPr>
      <w:r w:rsidRPr="00421739">
        <w:t>Dear Mr President</w:t>
      </w:r>
      <w:r w:rsidR="00D21C8B">
        <w:br/>
      </w:r>
      <w:r w:rsidRPr="00421739">
        <w:t xml:space="preserve">Dear </w:t>
      </w:r>
      <w:r w:rsidR="00F92FBE">
        <w:t>Madam</w:t>
      </w:r>
      <w:r w:rsidRPr="00421739">
        <w:t xml:space="preserve"> Speaker</w:t>
      </w:r>
    </w:p>
    <w:p w:rsidR="008B14FC" w:rsidRDefault="008B14FC" w:rsidP="008B14FC">
      <w:r>
        <w:t>I hereby submit Portfolio Budget Statements in support of the 2013</w:t>
      </w:r>
      <w:r w:rsidR="006700E4">
        <w:t>–</w:t>
      </w:r>
      <w:r>
        <w:t>14 Budget for the Families, Housing, Community Services and Indigenous Affairs portfolio.</w:t>
      </w:r>
    </w:p>
    <w:p w:rsidR="008B14FC" w:rsidRDefault="008B14FC" w:rsidP="008B14FC">
      <w:r>
        <w:t>These statements have been developed, and are submitted to the Parliament, as a statement on the outcomes for the portfolio.</w:t>
      </w:r>
    </w:p>
    <w:p w:rsidR="007452AA" w:rsidRPr="00421739" w:rsidRDefault="008B14FC" w:rsidP="008B14FC">
      <w:r>
        <w:t>I present these statements to provide accountability to the Parliament and, through it, the public.</w:t>
      </w:r>
    </w:p>
    <w:p w:rsidR="007452AA" w:rsidRPr="00421739" w:rsidRDefault="007452AA" w:rsidP="00F51DAC">
      <w:r w:rsidRPr="00421739">
        <w:t>Yours sincerely</w:t>
      </w:r>
    </w:p>
    <w:p w:rsidR="007452AA" w:rsidRDefault="001A25A8" w:rsidP="000A584A">
      <w:pPr>
        <w:pStyle w:val="TableGraphic"/>
      </w:pPr>
      <w:r w:rsidRPr="001A25A8">
        <w:rPr>
          <w:noProof/>
        </w:rPr>
        <w:drawing>
          <wp:inline distT="0" distB="0" distL="0" distR="0" wp14:anchorId="2E5593A7" wp14:editId="240E32FB">
            <wp:extent cx="2105025" cy="571500"/>
            <wp:effectExtent l="0" t="0" r="9525" b="0"/>
            <wp:docPr id="10" name="Picture 10" descr="Signature - Jenny Mack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025" cy="571500"/>
                    </a:xfrm>
                    <a:prstGeom prst="rect">
                      <a:avLst/>
                    </a:prstGeom>
                    <a:noFill/>
                    <a:ln>
                      <a:noFill/>
                    </a:ln>
                  </pic:spPr>
                </pic:pic>
              </a:graphicData>
            </a:graphic>
          </wp:inline>
        </w:drawing>
      </w:r>
    </w:p>
    <w:p w:rsidR="007452AA" w:rsidRPr="00EC614F" w:rsidRDefault="007452AA" w:rsidP="00F51DAC">
      <w:pPr>
        <w:rPr>
          <w:rFonts w:ascii="Arial" w:hAnsi="Arial"/>
          <w:b/>
        </w:rPr>
      </w:pPr>
      <w:r w:rsidRPr="00EC614F">
        <w:t xml:space="preserve">The Hon. Jenny </w:t>
      </w:r>
      <w:r w:rsidRPr="00567A8A">
        <w:t>Mac</w:t>
      </w:r>
      <w:r w:rsidR="009F6047" w:rsidRPr="00567A8A">
        <w:t>klin</w:t>
      </w:r>
      <w:r w:rsidRPr="00567A8A">
        <w:t xml:space="preserve"> MP</w:t>
      </w:r>
    </w:p>
    <w:bookmarkEnd w:id="1"/>
    <w:bookmarkEnd w:id="2"/>
    <w:bookmarkEnd w:id="3"/>
    <w:p w:rsidR="00107652" w:rsidRDefault="00107652" w:rsidP="00742F27">
      <w:pPr>
        <w:pStyle w:val="Heading3"/>
        <w:sectPr w:rsidR="00107652" w:rsidSect="006321E3">
          <w:headerReference w:type="first" r:id="rId22"/>
          <w:footerReference w:type="first" r:id="rId23"/>
          <w:pgSz w:w="11907" w:h="16840" w:code="9"/>
          <w:pgMar w:top="2466" w:right="2098" w:bottom="2466" w:left="2098" w:header="1899" w:footer="1899" w:gutter="0"/>
          <w:pgNumType w:fmt="lowerRoman"/>
          <w:cols w:space="708"/>
          <w:titlePg/>
          <w:docGrid w:linePitch="360"/>
        </w:sectPr>
      </w:pPr>
    </w:p>
    <w:p w:rsidR="007452AA" w:rsidRPr="00421739" w:rsidRDefault="007452AA" w:rsidP="008F39A2">
      <w:pPr>
        <w:pStyle w:val="Heading3"/>
      </w:pPr>
      <w:r w:rsidRPr="00421739">
        <w:lastRenderedPageBreak/>
        <w:t xml:space="preserve">Abbreviations and conventions </w:t>
      </w:r>
    </w:p>
    <w:p w:rsidR="007452AA" w:rsidRPr="00421739" w:rsidRDefault="007452AA" w:rsidP="008F39A2">
      <w:pPr>
        <w:tabs>
          <w:tab w:val="left" w:pos="567"/>
        </w:tabs>
        <w:spacing w:after="120"/>
      </w:pPr>
      <w:r w:rsidRPr="00421739">
        <w:t>The following notations may be used:</w:t>
      </w:r>
    </w:p>
    <w:p w:rsidR="007452AA" w:rsidRPr="00421739" w:rsidRDefault="007452AA" w:rsidP="00F51DAC">
      <w:pPr>
        <w:tabs>
          <w:tab w:val="left" w:pos="567"/>
          <w:tab w:val="left" w:pos="1701"/>
        </w:tabs>
        <w:spacing w:after="60"/>
        <w:ind w:left="567"/>
      </w:pPr>
      <w:r w:rsidRPr="00421739">
        <w:t>NEC/</w:t>
      </w:r>
      <w:proofErr w:type="spellStart"/>
      <w:r w:rsidRPr="00421739">
        <w:t>nec</w:t>
      </w:r>
      <w:proofErr w:type="spellEnd"/>
      <w:r w:rsidRPr="00421739">
        <w:tab/>
        <w:t>not elsewhere classified</w:t>
      </w:r>
    </w:p>
    <w:p w:rsidR="007452AA" w:rsidRPr="00421739" w:rsidRDefault="00742F27" w:rsidP="00F51DAC">
      <w:pPr>
        <w:tabs>
          <w:tab w:val="left" w:pos="567"/>
          <w:tab w:val="left" w:pos="1701"/>
        </w:tabs>
        <w:spacing w:after="60"/>
        <w:ind w:left="567"/>
      </w:pPr>
      <w:r>
        <w:t>–</w:t>
      </w:r>
      <w:r w:rsidR="007452AA" w:rsidRPr="00421739">
        <w:tab/>
      </w:r>
      <w:proofErr w:type="gramStart"/>
      <w:r w:rsidR="007452AA" w:rsidRPr="00421739">
        <w:t>nil</w:t>
      </w:r>
      <w:proofErr w:type="gramEnd"/>
    </w:p>
    <w:p w:rsidR="007452AA" w:rsidRPr="00421739" w:rsidRDefault="007452AA" w:rsidP="00F51DAC">
      <w:pPr>
        <w:tabs>
          <w:tab w:val="left" w:pos="567"/>
          <w:tab w:val="left" w:pos="1701"/>
        </w:tabs>
        <w:spacing w:after="60"/>
        <w:ind w:left="567"/>
      </w:pPr>
      <w:r w:rsidRPr="00421739">
        <w:t>..</w:t>
      </w:r>
      <w:r w:rsidRPr="00421739">
        <w:tab/>
      </w:r>
      <w:proofErr w:type="gramStart"/>
      <w:r w:rsidRPr="00421739">
        <w:t>not</w:t>
      </w:r>
      <w:proofErr w:type="gramEnd"/>
      <w:r w:rsidRPr="00421739">
        <w:t xml:space="preserve"> zero, but rounded to zero</w:t>
      </w:r>
    </w:p>
    <w:p w:rsidR="007452AA" w:rsidRPr="00421739" w:rsidRDefault="007452AA" w:rsidP="00F51DAC">
      <w:pPr>
        <w:tabs>
          <w:tab w:val="left" w:pos="567"/>
          <w:tab w:val="left" w:pos="1701"/>
        </w:tabs>
        <w:spacing w:after="60"/>
        <w:ind w:left="567"/>
      </w:pPr>
      <w:proofErr w:type="spellStart"/>
      <w:proofErr w:type="gramStart"/>
      <w:r w:rsidRPr="00421739">
        <w:t>na</w:t>
      </w:r>
      <w:proofErr w:type="spellEnd"/>
      <w:proofErr w:type="gramEnd"/>
      <w:r w:rsidRPr="00421739">
        <w:tab/>
        <w:t>not applicable (unless otherwise specified)</w:t>
      </w:r>
    </w:p>
    <w:p w:rsidR="007452AA" w:rsidRPr="00421739" w:rsidRDefault="007452AA" w:rsidP="00F51DAC">
      <w:pPr>
        <w:tabs>
          <w:tab w:val="left" w:pos="567"/>
          <w:tab w:val="left" w:pos="1701"/>
        </w:tabs>
        <w:spacing w:after="60"/>
        <w:ind w:left="567"/>
      </w:pPr>
      <w:proofErr w:type="spellStart"/>
      <w:proofErr w:type="gramStart"/>
      <w:r w:rsidRPr="00421739">
        <w:t>nfp</w:t>
      </w:r>
      <w:proofErr w:type="spellEnd"/>
      <w:proofErr w:type="gramEnd"/>
      <w:r w:rsidRPr="00421739">
        <w:tab/>
        <w:t>not for publication</w:t>
      </w:r>
    </w:p>
    <w:p w:rsidR="007452AA" w:rsidRDefault="007452AA" w:rsidP="00D616B9">
      <w:pPr>
        <w:tabs>
          <w:tab w:val="left" w:pos="567"/>
          <w:tab w:val="left" w:pos="1701"/>
        </w:tabs>
        <w:spacing w:after="60"/>
        <w:ind w:left="567"/>
      </w:pPr>
      <w:r w:rsidRPr="00421739">
        <w:t>$m</w:t>
      </w:r>
      <w:r w:rsidRPr="00421739">
        <w:tab/>
        <w:t>$ million</w:t>
      </w:r>
    </w:p>
    <w:p w:rsidR="00D616B9" w:rsidRPr="00421739" w:rsidRDefault="00D616B9" w:rsidP="00D616B9">
      <w:pPr>
        <w:tabs>
          <w:tab w:val="left" w:pos="567"/>
          <w:tab w:val="left" w:pos="1701"/>
        </w:tabs>
        <w:ind w:left="567"/>
      </w:pPr>
      <w:r>
        <w:t>$b</w:t>
      </w:r>
      <w:r>
        <w:tab/>
        <w:t>$ billion</w:t>
      </w:r>
    </w:p>
    <w:p w:rsidR="007452AA" w:rsidRPr="00421739" w:rsidRDefault="007452AA">
      <w:r w:rsidRPr="00421739">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7452AA" w:rsidRPr="00421739" w:rsidRDefault="007452AA" w:rsidP="00F51DAC">
      <w:pPr>
        <w:pStyle w:val="Heading3"/>
      </w:pPr>
      <w:bookmarkStart w:id="4" w:name="_Toc210646442"/>
      <w:bookmarkStart w:id="5" w:name="_Toc210698421"/>
      <w:bookmarkStart w:id="6" w:name="_Toc210700992"/>
      <w:bookmarkStart w:id="7" w:name="_Toc210703165"/>
      <w:bookmarkStart w:id="8" w:name="_Toc210703206"/>
      <w:r w:rsidRPr="00421739">
        <w:t>Enquiries</w:t>
      </w:r>
      <w:bookmarkEnd w:id="4"/>
      <w:bookmarkEnd w:id="5"/>
      <w:bookmarkEnd w:id="6"/>
      <w:bookmarkEnd w:id="7"/>
      <w:bookmarkEnd w:id="8"/>
    </w:p>
    <w:p w:rsidR="007452AA" w:rsidRPr="00421739" w:rsidRDefault="00A079AC" w:rsidP="00F51DAC">
      <w:r>
        <w:t>If</w:t>
      </w:r>
      <w:r w:rsidRPr="00421739">
        <w:t xml:space="preserve"> </w:t>
      </w:r>
      <w:r w:rsidR="007452AA" w:rsidRPr="00421739">
        <w:t>you have any enquiries regarding this publication</w:t>
      </w:r>
      <w:r>
        <w:t>,</w:t>
      </w:r>
      <w:r w:rsidR="007452AA" w:rsidRPr="00421739">
        <w:t xml:space="preserve"> please contact the Branch Manager, Budget Development Branch, in the Department of </w:t>
      </w:r>
      <w:r w:rsidR="007452AA" w:rsidRPr="00421739">
        <w:rPr>
          <w:rFonts w:ascii="Palatino" w:hAnsi="Palatino"/>
        </w:rPr>
        <w:t>Families, Housing, Community Services and Indigenous Affairs</w:t>
      </w:r>
      <w:r w:rsidR="007452AA" w:rsidRPr="00421739">
        <w:t xml:space="preserve"> on (02) </w:t>
      </w:r>
      <w:r w:rsidR="007452AA" w:rsidRPr="0011548F">
        <w:t>6146 015</w:t>
      </w:r>
      <w:r w:rsidR="00BE0FD7" w:rsidRPr="0011548F">
        <w:t>0</w:t>
      </w:r>
      <w:r w:rsidR="007452AA" w:rsidRPr="0011548F">
        <w:t>.</w:t>
      </w:r>
      <w:r w:rsidR="007452AA" w:rsidRPr="00421739">
        <w:rPr>
          <w:rFonts w:ascii="Palatino" w:hAnsi="Palatino"/>
          <w:color w:val="FF0000"/>
        </w:rPr>
        <w:t xml:space="preserve"> </w:t>
      </w:r>
    </w:p>
    <w:p w:rsidR="007452AA" w:rsidRPr="00421739" w:rsidRDefault="007452AA" w:rsidP="00F51DAC">
      <w:r w:rsidRPr="00421739">
        <w:t xml:space="preserve">A copy of this document can be </w:t>
      </w:r>
      <w:r w:rsidR="00A079AC">
        <w:t>found</w:t>
      </w:r>
      <w:r w:rsidR="00A079AC" w:rsidRPr="00421739">
        <w:t xml:space="preserve"> </w:t>
      </w:r>
      <w:r w:rsidRPr="00421739">
        <w:t xml:space="preserve">on the Australian Government Budget website at </w:t>
      </w:r>
      <w:hyperlink r:id="rId24" w:history="1">
        <w:r w:rsidR="001A1DD3" w:rsidRPr="000E6406">
          <w:rPr>
            <w:rStyle w:val="Hyperlink"/>
          </w:rPr>
          <w:t>www.budget.gov.au</w:t>
        </w:r>
      </w:hyperlink>
      <w:r w:rsidRPr="00421739">
        <w:t>.</w:t>
      </w:r>
    </w:p>
    <w:p w:rsidR="00107652" w:rsidRDefault="00107652" w:rsidP="001906BF">
      <w:pPr>
        <w:pStyle w:val="PartHeading"/>
        <w:sectPr w:rsidR="00107652" w:rsidSect="006321E3">
          <w:headerReference w:type="even" r:id="rId25"/>
          <w:headerReference w:type="first" r:id="rId26"/>
          <w:footerReference w:type="first" r:id="rId27"/>
          <w:pgSz w:w="11907" w:h="16840" w:code="9"/>
          <w:pgMar w:top="2466" w:right="2098" w:bottom="2466" w:left="2098" w:header="1899" w:footer="1899" w:gutter="0"/>
          <w:pgNumType w:fmt="lowerRoman"/>
          <w:cols w:space="708"/>
          <w:titlePg/>
          <w:docGrid w:linePitch="360"/>
        </w:sectPr>
      </w:pPr>
      <w:bookmarkStart w:id="9" w:name="_Toc112211948"/>
      <w:bookmarkStart w:id="10" w:name="_Toc112212042"/>
      <w:bookmarkStart w:id="11" w:name="_Toc112137860"/>
      <w:bookmarkStart w:id="12" w:name="_Toc112224367"/>
      <w:bookmarkStart w:id="13" w:name="_Toc210646443"/>
      <w:bookmarkStart w:id="14" w:name="_Toc210698422"/>
    </w:p>
    <w:p w:rsidR="001906BF" w:rsidRPr="001906BF" w:rsidRDefault="007452AA" w:rsidP="001906BF">
      <w:pPr>
        <w:pStyle w:val="PartHeading"/>
      </w:pPr>
      <w:r w:rsidRPr="00421739">
        <w:lastRenderedPageBreak/>
        <w:t xml:space="preserve">User </w:t>
      </w:r>
      <w:r w:rsidR="001A1DD3">
        <w:t>g</w:t>
      </w:r>
      <w:r w:rsidRPr="00421739">
        <w:t>uide</w:t>
      </w:r>
      <w:r w:rsidRPr="00421739">
        <w:br/>
        <w:t>to the</w:t>
      </w:r>
      <w:r w:rsidRPr="00421739">
        <w:br/>
        <w:t xml:space="preserve">Portfolio </w:t>
      </w:r>
      <w:r w:rsidR="00EE4C07">
        <w:t>Budget</w:t>
      </w:r>
      <w:r w:rsidR="001906BF">
        <w:t xml:space="preserve"> Statements</w:t>
      </w:r>
    </w:p>
    <w:p w:rsidR="00107652" w:rsidRDefault="00107652" w:rsidP="00F51DAC">
      <w:pPr>
        <w:pStyle w:val="Heading1"/>
        <w:rPr>
          <w:kern w:val="0"/>
          <w:lang w:val="en-US"/>
        </w:rPr>
        <w:sectPr w:rsidR="00107652" w:rsidSect="00107652">
          <w:footerReference w:type="first" r:id="rId28"/>
          <w:type w:val="oddPage"/>
          <w:pgSz w:w="11907" w:h="16840" w:code="9"/>
          <w:pgMar w:top="2466" w:right="2098" w:bottom="2466" w:left="2098" w:header="1899" w:footer="1899" w:gutter="0"/>
          <w:pgNumType w:fmt="lowerRoman"/>
          <w:cols w:space="708"/>
          <w:vAlign w:val="center"/>
          <w:titlePg/>
          <w:docGrid w:linePitch="360"/>
        </w:sectPr>
      </w:pPr>
    </w:p>
    <w:p w:rsidR="007452AA" w:rsidRPr="00421739" w:rsidRDefault="007452AA" w:rsidP="00F51DAC">
      <w:pPr>
        <w:pStyle w:val="Heading1"/>
        <w:rPr>
          <w:kern w:val="0"/>
          <w:lang w:val="en-US"/>
        </w:rPr>
      </w:pPr>
      <w:r w:rsidRPr="00421739">
        <w:rPr>
          <w:kern w:val="0"/>
          <w:lang w:val="en-US"/>
        </w:rPr>
        <w:lastRenderedPageBreak/>
        <w:t xml:space="preserve">User </w:t>
      </w:r>
      <w:r w:rsidR="001A1DD3">
        <w:rPr>
          <w:kern w:val="0"/>
          <w:lang w:val="en-US"/>
        </w:rPr>
        <w:t>g</w:t>
      </w:r>
      <w:r w:rsidRPr="00421739">
        <w:rPr>
          <w:kern w:val="0"/>
          <w:lang w:val="en-US"/>
        </w:rPr>
        <w:t>uide</w:t>
      </w:r>
      <w:bookmarkEnd w:id="9"/>
      <w:bookmarkEnd w:id="10"/>
      <w:bookmarkEnd w:id="11"/>
      <w:bookmarkEnd w:id="12"/>
      <w:bookmarkEnd w:id="13"/>
      <w:bookmarkEnd w:id="14"/>
    </w:p>
    <w:p w:rsidR="00EE4C07" w:rsidRDefault="00EE4C07" w:rsidP="00EE4C07">
      <w:pPr>
        <w:tabs>
          <w:tab w:val="right" w:pos="7088"/>
        </w:tabs>
      </w:pPr>
      <w:r>
        <w:t xml:space="preserve">The purpose of the 2013–14 Portfolio Budget Statements (PB Statements) is to inform Senators and Members of Parliament of the proposed allocation of resources to </w:t>
      </w:r>
      <w:r w:rsidR="00567A8A">
        <w:t>g</w:t>
      </w:r>
      <w:r>
        <w:t xml:space="preserve">overnment outcomes by agencies within the portfolio. Agencies receive resources from the annual </w:t>
      </w:r>
      <w:r w:rsidR="00FB27C6">
        <w:t>A</w:t>
      </w:r>
      <w:r>
        <w:t xml:space="preserve">ppropriations </w:t>
      </w:r>
      <w:r w:rsidR="00FB27C6">
        <w:t>A</w:t>
      </w:r>
      <w:r>
        <w:t>cts, special appropriations (including standing appropriations and special accounts), and revenue from other sources.</w:t>
      </w:r>
    </w:p>
    <w:p w:rsidR="00EE4C07" w:rsidRDefault="00EE4C07" w:rsidP="00EE4C07">
      <w:pPr>
        <w:tabs>
          <w:tab w:val="right" w:pos="7088"/>
        </w:tabs>
      </w:pPr>
      <w:r>
        <w:t>A key role of the PB Statements is to facilitate the understanding of proposed annual appropriations in Appropriation Bills No. 1 and No. 2 2013–14 (or Appropriation Bill [Parliamentary Departments] No. 1 2013–14 for the parliamentary departments). In this sense the PB Statements are Budget</w:t>
      </w:r>
      <w:r w:rsidR="00567A8A">
        <w:t>-</w:t>
      </w:r>
      <w:r>
        <w:t xml:space="preserve">related papers and are declared by the Appropriation Acts to be ‘relevant documents’ to the interpretation of the Acts according to section 15AB of the </w:t>
      </w:r>
      <w:r w:rsidRPr="00EE4C07">
        <w:rPr>
          <w:i/>
        </w:rPr>
        <w:t>Acts Interpretation Act 1901</w:t>
      </w:r>
      <w:r>
        <w:t>.</w:t>
      </w:r>
    </w:p>
    <w:p w:rsidR="00EE4C07" w:rsidRDefault="00EE4C07" w:rsidP="00EE4C07">
      <w:pPr>
        <w:tabs>
          <w:tab w:val="right" w:pos="7088"/>
        </w:tabs>
      </w:pPr>
      <w:r>
        <w:t>The PB Statements provide information, explanation and justification to enable Parliament to understand the purpose of each outcome proposed in the Bills.</w:t>
      </w:r>
    </w:p>
    <w:p w:rsidR="007452AA" w:rsidRPr="00421739" w:rsidRDefault="00EE4C07" w:rsidP="00EE4C07">
      <w:pPr>
        <w:tabs>
          <w:tab w:val="right" w:pos="7088"/>
        </w:tabs>
      </w:pPr>
      <w:r>
        <w:t xml:space="preserve">As required under section 12 of the </w:t>
      </w:r>
      <w:r w:rsidRPr="00EE4C07">
        <w:rPr>
          <w:i/>
        </w:rPr>
        <w:t>Charter of Budget Honesty Act 1998</w:t>
      </w:r>
      <w:r>
        <w:t>, non-general government sector entities are not consolidated into the Commonwealth general government sector fiscal estimates and accordingly, these entities are not reported in the PB Statements.</w:t>
      </w:r>
    </w:p>
    <w:p w:rsidR="00A15CAC" w:rsidRDefault="00A15CAC" w:rsidP="00041245">
      <w:pPr>
        <w:pStyle w:val="ContentsHeading"/>
        <w:sectPr w:rsidR="00A15CAC" w:rsidSect="00107652">
          <w:headerReference w:type="even" r:id="rId29"/>
          <w:headerReference w:type="default" r:id="rId30"/>
          <w:footerReference w:type="first" r:id="rId31"/>
          <w:type w:val="oddPage"/>
          <w:pgSz w:w="11907" w:h="16840" w:code="9"/>
          <w:pgMar w:top="2466" w:right="2098" w:bottom="2466" w:left="2098" w:header="1899" w:footer="1899" w:gutter="0"/>
          <w:pgNumType w:fmt="lowerRoman"/>
          <w:cols w:space="708"/>
          <w:titlePg/>
          <w:docGrid w:linePitch="360"/>
        </w:sectPr>
      </w:pPr>
    </w:p>
    <w:p w:rsidR="007452AA" w:rsidRPr="00632935" w:rsidRDefault="007452AA" w:rsidP="00041245">
      <w:pPr>
        <w:pStyle w:val="ContentsHeading"/>
      </w:pPr>
      <w:r w:rsidRPr="00421739">
        <w:lastRenderedPageBreak/>
        <w:t>C</w:t>
      </w:r>
      <w:r w:rsidRPr="00421739">
        <w:rPr>
          <w:snapToGrid w:val="0"/>
        </w:rPr>
        <w:t>ontents</w:t>
      </w:r>
    </w:p>
    <w:p w:rsidR="00041245" w:rsidRDefault="00041245" w:rsidP="00041245">
      <w:pPr>
        <w:pStyle w:val="TOC1"/>
      </w:pPr>
      <w:r>
        <w:t xml:space="preserve">Portfolio </w:t>
      </w:r>
      <w:r w:rsidR="00567A8A">
        <w:t>o</w:t>
      </w:r>
      <w:r>
        <w:t>verview</w:t>
      </w:r>
      <w:r>
        <w:tab/>
      </w:r>
      <w:r w:rsidR="009A2C55">
        <w:t>1</w:t>
      </w:r>
    </w:p>
    <w:p w:rsidR="00041245" w:rsidRDefault="00041245" w:rsidP="005C2070">
      <w:pPr>
        <w:pStyle w:val="TOC2"/>
      </w:pPr>
      <w:r>
        <w:t xml:space="preserve">Families, Housing, Community Services and Indigenous Affairs </w:t>
      </w:r>
      <w:r w:rsidR="00567A8A">
        <w:t>p</w:t>
      </w:r>
      <w:r>
        <w:t xml:space="preserve">ortfolio </w:t>
      </w:r>
      <w:r w:rsidR="00567A8A">
        <w:t>o</w:t>
      </w:r>
      <w:r>
        <w:t>verview</w:t>
      </w:r>
      <w:r>
        <w:tab/>
      </w:r>
      <w:r w:rsidR="009A2C55">
        <w:t>3</w:t>
      </w:r>
    </w:p>
    <w:p w:rsidR="00041245" w:rsidRDefault="00041245" w:rsidP="00041245">
      <w:pPr>
        <w:pStyle w:val="TOC1"/>
      </w:pPr>
      <w:r>
        <w:t xml:space="preserve">Agency </w:t>
      </w:r>
      <w:r w:rsidR="00567A8A">
        <w:t>r</w:t>
      </w:r>
      <w:r>
        <w:t xml:space="preserve">esources and </w:t>
      </w:r>
      <w:r w:rsidR="00567A8A">
        <w:t>p</w:t>
      </w:r>
      <w:r>
        <w:t xml:space="preserve">lanned </w:t>
      </w:r>
      <w:r w:rsidR="00567A8A">
        <w:t>p</w:t>
      </w:r>
      <w:r>
        <w:t>erformance</w:t>
      </w:r>
      <w:r>
        <w:tab/>
      </w:r>
      <w:r w:rsidR="009A2C55">
        <w:t>13</w:t>
      </w:r>
    </w:p>
    <w:p w:rsidR="00041245" w:rsidRDefault="00041245" w:rsidP="005C2070">
      <w:pPr>
        <w:pStyle w:val="TOC2"/>
      </w:pPr>
      <w:r>
        <w:t>Families, Housing, Community Services and Indigenous Affairs</w:t>
      </w:r>
      <w:r>
        <w:tab/>
      </w:r>
      <w:r w:rsidR="009A2C55">
        <w:t>15</w:t>
      </w:r>
    </w:p>
    <w:p w:rsidR="00041245" w:rsidRDefault="00041245" w:rsidP="005C2070">
      <w:pPr>
        <w:pStyle w:val="TOC2"/>
      </w:pPr>
      <w:r>
        <w:t>Aboriginal Hostels Limited</w:t>
      </w:r>
      <w:r>
        <w:tab/>
      </w:r>
      <w:r w:rsidR="009A2C55">
        <w:t>175</w:t>
      </w:r>
    </w:p>
    <w:p w:rsidR="00EF4B2B" w:rsidRDefault="00041245" w:rsidP="00EF4B2B">
      <w:pPr>
        <w:pStyle w:val="TOC2"/>
      </w:pPr>
      <w:r>
        <w:t>Australian Institute of Family Studies</w:t>
      </w:r>
      <w:r>
        <w:tab/>
      </w:r>
      <w:r w:rsidR="009A2C55">
        <w:t>201</w:t>
      </w:r>
    </w:p>
    <w:p w:rsidR="00041245" w:rsidRDefault="00041245" w:rsidP="005C2070">
      <w:pPr>
        <w:pStyle w:val="TOC2"/>
      </w:pPr>
      <w:r>
        <w:t>Indigenous Business Australia</w:t>
      </w:r>
      <w:r>
        <w:tab/>
      </w:r>
      <w:r w:rsidR="009A2C55">
        <w:t>225</w:t>
      </w:r>
    </w:p>
    <w:p w:rsidR="00A10030" w:rsidRDefault="00041245" w:rsidP="00EF4B2B">
      <w:pPr>
        <w:pStyle w:val="TOC2"/>
      </w:pPr>
      <w:r>
        <w:t>Indigenous Land Corporation</w:t>
      </w:r>
      <w:r>
        <w:tab/>
      </w:r>
      <w:r w:rsidR="009A2C55">
        <w:t>255</w:t>
      </w:r>
    </w:p>
    <w:p w:rsidR="00041245" w:rsidRDefault="00041245" w:rsidP="005C2070">
      <w:pPr>
        <w:pStyle w:val="TOC2"/>
      </w:pPr>
      <w:r>
        <w:t>Torres Strait Regional Authority</w:t>
      </w:r>
      <w:r>
        <w:tab/>
      </w:r>
      <w:r w:rsidR="009A2C55">
        <w:t>279</w:t>
      </w:r>
    </w:p>
    <w:p w:rsidR="005C2070" w:rsidRDefault="005C2070" w:rsidP="005C2070">
      <w:pPr>
        <w:pStyle w:val="TOC2"/>
      </w:pPr>
      <w:r>
        <w:t>Workplace Gender Equality Agency</w:t>
      </w:r>
      <w:r>
        <w:tab/>
      </w:r>
      <w:r w:rsidR="009A2C55">
        <w:t>305</w:t>
      </w:r>
    </w:p>
    <w:p w:rsidR="00041245" w:rsidRDefault="00041245" w:rsidP="00041245">
      <w:pPr>
        <w:pStyle w:val="TOC1"/>
      </w:pPr>
      <w:r>
        <w:t>Glossary</w:t>
      </w:r>
      <w:r>
        <w:tab/>
      </w:r>
      <w:r w:rsidR="009A2C55">
        <w:t>329</w:t>
      </w:r>
    </w:p>
    <w:p w:rsidR="007452AA" w:rsidRDefault="00041245" w:rsidP="00041245">
      <w:pPr>
        <w:pStyle w:val="TOC1"/>
      </w:pPr>
      <w:r>
        <w:t xml:space="preserve">Abbreviations </w:t>
      </w:r>
      <w:r>
        <w:tab/>
      </w:r>
      <w:r w:rsidR="009A2C55">
        <w:t>334</w:t>
      </w:r>
      <w:r>
        <w:tab/>
      </w:r>
    </w:p>
    <w:p w:rsidR="00041245" w:rsidRPr="00041245" w:rsidRDefault="00041245" w:rsidP="00041245"/>
    <w:p w:rsidR="00107652" w:rsidRDefault="00107652" w:rsidP="00F51DAC">
      <w:pPr>
        <w:pStyle w:val="PartHeading"/>
        <w:sectPr w:rsidR="00107652" w:rsidSect="006B16AF">
          <w:type w:val="oddPage"/>
          <w:pgSz w:w="11907" w:h="16840" w:code="9"/>
          <w:pgMar w:top="2466" w:right="2098" w:bottom="2466" w:left="2098" w:header="1899" w:footer="1899" w:gutter="0"/>
          <w:pgNumType w:fmt="lowerRoman"/>
          <w:cols w:space="708"/>
          <w:titlePg/>
          <w:docGrid w:linePitch="360"/>
        </w:sectPr>
      </w:pPr>
    </w:p>
    <w:p w:rsidR="007452AA" w:rsidRDefault="007452AA" w:rsidP="00F51DAC">
      <w:pPr>
        <w:pStyle w:val="PartHeading"/>
      </w:pPr>
      <w:r w:rsidRPr="00421739">
        <w:lastRenderedPageBreak/>
        <w:t xml:space="preserve">Portfolio </w:t>
      </w:r>
      <w:r w:rsidR="001A1DD3">
        <w:t>o</w:t>
      </w:r>
      <w:r w:rsidRPr="00421739">
        <w:t>verview</w:t>
      </w:r>
      <w:bookmarkStart w:id="15" w:name="_Toc436626774"/>
      <w:bookmarkStart w:id="16" w:name="_Toc490972396"/>
      <w:bookmarkStart w:id="17" w:name="_Toc491014610"/>
      <w:bookmarkStart w:id="18" w:name="_Toc491014752"/>
      <w:bookmarkStart w:id="19" w:name="_Toc491014932"/>
      <w:bookmarkStart w:id="20" w:name="_Toc491015079"/>
      <w:bookmarkStart w:id="21" w:name="_Toc491029227"/>
      <w:bookmarkStart w:id="22" w:name="_Toc491030315"/>
      <w:bookmarkStart w:id="23" w:name="_Toc491030774"/>
      <w:bookmarkStart w:id="24" w:name="_Toc449255755"/>
      <w:bookmarkStart w:id="25" w:name="_Toc491031337"/>
      <w:bookmarkStart w:id="26" w:name="_Toc491031925"/>
      <w:bookmarkStart w:id="27" w:name="_Toc491032095"/>
      <w:bookmarkStart w:id="28" w:name="_Toc491032207"/>
      <w:bookmarkStart w:id="29" w:name="_Toc491032314"/>
      <w:bookmarkStart w:id="30" w:name="_Toc491771701"/>
      <w:bookmarkStart w:id="31" w:name="_Toc491773276"/>
      <w:bookmarkStart w:id="32" w:name="_Toc23559336"/>
      <w:bookmarkStart w:id="33" w:name="_Toc23559370"/>
      <w:bookmarkStart w:id="34" w:name="_Toc23559660"/>
      <w:bookmarkStart w:id="35" w:name="_Toc23560123"/>
      <w:bookmarkStart w:id="36" w:name="_Toc23563419"/>
      <w:bookmarkStart w:id="37" w:name="_Toc77998672"/>
      <w:bookmarkStart w:id="38" w:name="_Toc79399713"/>
      <w:bookmarkStart w:id="39" w:name="_Toc112211952"/>
      <w:bookmarkStart w:id="40" w:name="_Toc112212046"/>
      <w:bookmarkStart w:id="41" w:name="_Toc112137864"/>
      <w:bookmarkStart w:id="42" w:name="_Toc112224371"/>
      <w:bookmarkStart w:id="43" w:name="_Toc210646445"/>
      <w:bookmarkStart w:id="44" w:name="_Toc210698424"/>
    </w:p>
    <w:p w:rsidR="00107652" w:rsidRDefault="00107652" w:rsidP="00F51DAC">
      <w:pPr>
        <w:pStyle w:val="Heading1"/>
        <w:sectPr w:rsidR="00107652" w:rsidSect="00107652">
          <w:headerReference w:type="first" r:id="rId32"/>
          <w:footerReference w:type="first" r:id="rId33"/>
          <w:type w:val="oddPage"/>
          <w:pgSz w:w="11907" w:h="16840" w:code="9"/>
          <w:pgMar w:top="2466" w:right="2098" w:bottom="2466" w:left="2098" w:header="1899" w:footer="1899" w:gutter="0"/>
          <w:pgNumType w:start="1"/>
          <w:cols w:space="708"/>
          <w:vAlign w:val="center"/>
          <w:titlePg/>
          <w:docGrid w:linePitch="360"/>
        </w:sectPr>
      </w:pPr>
    </w:p>
    <w:p w:rsidR="007452AA" w:rsidRPr="00421739" w:rsidRDefault="00041245" w:rsidP="00F51DAC">
      <w:pPr>
        <w:pStyle w:val="Heading1"/>
        <w:rPr>
          <w:rFonts w:ascii="Book Antiqua" w:hAnsi="Book Antiqua"/>
        </w:rPr>
      </w:pPr>
      <w:r>
        <w:lastRenderedPageBreak/>
        <w:t xml:space="preserve">Families, Housing, Community Services and Indigenous Affairs </w:t>
      </w:r>
      <w:r w:rsidR="00567A8A">
        <w:t>p</w:t>
      </w:r>
      <w:r w:rsidR="007452AA" w:rsidRPr="00421739">
        <w:t>ortfolio</w:t>
      </w:r>
      <w:bookmarkEnd w:id="15"/>
      <w:r w:rsidR="007452AA" w:rsidRPr="00421739">
        <w:t xml:space="preserve"> </w:t>
      </w:r>
      <w:bookmarkStart w:id="45" w:name="_Toc436626775"/>
      <w:r w:rsidR="00567A8A">
        <w:t>o</w:t>
      </w:r>
      <w:r w:rsidR="007452AA" w:rsidRPr="00421739">
        <w:t>verview</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815E75" w:rsidRDefault="00B12538" w:rsidP="00581C9E">
      <w:pPr>
        <w:pStyle w:val="Heading2"/>
      </w:pPr>
      <w:r>
        <w:t>M</w:t>
      </w:r>
      <w:r w:rsidR="00815E75">
        <w:t>inisters and portfolio responsibilities</w:t>
      </w:r>
    </w:p>
    <w:p w:rsidR="00695699" w:rsidRPr="005842DA" w:rsidRDefault="00B12538" w:rsidP="00695699">
      <w:pPr>
        <w:pStyle w:val="BulletIntro"/>
      </w:pPr>
      <w:r>
        <w:t>The</w:t>
      </w:r>
      <w:r w:rsidR="00695699" w:rsidRPr="005842DA">
        <w:t xml:space="preserve"> </w:t>
      </w:r>
      <w:r w:rsidR="006008CA">
        <w:t>m</w:t>
      </w:r>
      <w:r w:rsidR="00695699">
        <w:t xml:space="preserve">inisters and </w:t>
      </w:r>
      <w:r w:rsidR="006008CA">
        <w:t>p</w:t>
      </w:r>
      <w:r w:rsidR="00695699">
        <w:t xml:space="preserve">arliamentary </w:t>
      </w:r>
      <w:r w:rsidR="006008CA">
        <w:t>s</w:t>
      </w:r>
      <w:r w:rsidR="00695699">
        <w:t>ecretar</w:t>
      </w:r>
      <w:r>
        <w:t>ies</w:t>
      </w:r>
      <w:r w:rsidR="00695699">
        <w:t xml:space="preserve"> </w:t>
      </w:r>
      <w:r>
        <w:t>responsible for the portfolio and its agencies are</w:t>
      </w:r>
      <w:r w:rsidR="00695699" w:rsidRPr="005842DA">
        <w:t>:</w:t>
      </w:r>
    </w:p>
    <w:p w:rsidR="00695699" w:rsidRPr="00721D4B" w:rsidRDefault="00567A8A" w:rsidP="00721D4B">
      <w:pPr>
        <w:pStyle w:val="Bullet"/>
      </w:pPr>
      <w:r>
        <w:t>t</w:t>
      </w:r>
      <w:r w:rsidR="00695699">
        <w:t xml:space="preserve">he </w:t>
      </w:r>
      <w:r w:rsidR="00695699" w:rsidRPr="00721D4B">
        <w:t>Hon. Jenny Macklin MP, Minister for Families, Community Services and Indigenous Affairs and Minister for Disability Reform</w:t>
      </w:r>
    </w:p>
    <w:p w:rsidR="00B12538" w:rsidRPr="00721D4B" w:rsidRDefault="00567A8A" w:rsidP="00721D4B">
      <w:pPr>
        <w:pStyle w:val="Bullet"/>
      </w:pPr>
      <w:r w:rsidRPr="00721D4B">
        <w:t>t</w:t>
      </w:r>
      <w:r w:rsidR="00B12538" w:rsidRPr="00721D4B">
        <w:t>he Hon. Mark Butler MP, Minister for Housing and Homelessness</w:t>
      </w:r>
    </w:p>
    <w:p w:rsidR="00695699" w:rsidRPr="00721D4B" w:rsidRDefault="00567A8A" w:rsidP="00721D4B">
      <w:pPr>
        <w:pStyle w:val="Bullet"/>
      </w:pPr>
      <w:r w:rsidRPr="00721D4B">
        <w:t>t</w:t>
      </w:r>
      <w:r w:rsidR="00695699" w:rsidRPr="00721D4B">
        <w:t>he Hon. Julie Collins MP, Minister for Community Services and Minister for the Status of Women</w:t>
      </w:r>
    </w:p>
    <w:p w:rsidR="00695699" w:rsidRPr="001C6BDD" w:rsidRDefault="00567A8A" w:rsidP="00721D4B">
      <w:pPr>
        <w:pStyle w:val="Bullet"/>
      </w:pPr>
      <w:r w:rsidRPr="00721D4B">
        <w:t>t</w:t>
      </w:r>
      <w:r w:rsidR="00AB23B0" w:rsidRPr="00721D4B">
        <w:t>he Hon. Amanda</w:t>
      </w:r>
      <w:r w:rsidR="00AB23B0">
        <w:t xml:space="preserve"> </w:t>
      </w:r>
      <w:proofErr w:type="spellStart"/>
      <w:r w:rsidR="00AB23B0">
        <w:t>Rishworth</w:t>
      </w:r>
      <w:proofErr w:type="spellEnd"/>
      <w:r w:rsidR="00BD667B">
        <w:t xml:space="preserve"> MP</w:t>
      </w:r>
      <w:r w:rsidR="00695699">
        <w:t>, Parliamentary Secretary for Disabilities and Carers</w:t>
      </w:r>
    </w:p>
    <w:p w:rsidR="00815E75" w:rsidRPr="001C6BDD" w:rsidRDefault="00567A8A" w:rsidP="00581C9E">
      <w:pPr>
        <w:pStyle w:val="BulletLast"/>
      </w:pPr>
      <w:proofErr w:type="gramStart"/>
      <w:r>
        <w:t>t</w:t>
      </w:r>
      <w:r w:rsidR="00B56E7F">
        <w:t>he</w:t>
      </w:r>
      <w:proofErr w:type="gramEnd"/>
      <w:r w:rsidR="00B56E7F">
        <w:t xml:space="preserve"> Hon. Melissa </w:t>
      </w:r>
      <w:proofErr w:type="spellStart"/>
      <w:r w:rsidR="00B56E7F">
        <w:t>Parke</w:t>
      </w:r>
      <w:proofErr w:type="spellEnd"/>
      <w:r w:rsidR="00B56E7F">
        <w:t xml:space="preserve"> MP</w:t>
      </w:r>
      <w:r w:rsidR="00B12538">
        <w:t>,</w:t>
      </w:r>
      <w:r w:rsidR="00B56E7F">
        <w:t xml:space="preserve"> Parliamentary Secretary for Homelessness and Social Housing.</w:t>
      </w:r>
    </w:p>
    <w:p w:rsidR="007452AA" w:rsidRDefault="00B12538" w:rsidP="005842DA">
      <w:r w:rsidRPr="00B12538">
        <w:t xml:space="preserve">The portfolio has </w:t>
      </w:r>
      <w:r w:rsidR="004E564F">
        <w:t>14</w:t>
      </w:r>
      <w:r w:rsidR="004E564F" w:rsidRPr="00B12538">
        <w:t xml:space="preserve"> outcome </w:t>
      </w:r>
      <w:r w:rsidRPr="00B12538">
        <w:t xml:space="preserve">statements. The Department of Families, Housing, Community Services and Indigenous Affairs (FaHCSIA) has seven. The Australian Institute of Family Studies </w:t>
      </w:r>
      <w:r w:rsidR="00CD3B7B">
        <w:t xml:space="preserve">and </w:t>
      </w:r>
      <w:proofErr w:type="spellStart"/>
      <w:r w:rsidR="00CD3B7B">
        <w:t>DisabilityCare</w:t>
      </w:r>
      <w:proofErr w:type="spellEnd"/>
      <w:r w:rsidR="00CD3B7B">
        <w:t xml:space="preserve"> Australia </w:t>
      </w:r>
      <w:r w:rsidRPr="00B12538">
        <w:t>ha</w:t>
      </w:r>
      <w:r w:rsidR="00CD3B7B">
        <w:t>ve their</w:t>
      </w:r>
      <w:r w:rsidRPr="00B12538">
        <w:t xml:space="preserve"> own outcome statement</w:t>
      </w:r>
      <w:r w:rsidR="00CD3B7B">
        <w:t>s</w:t>
      </w:r>
      <w:r w:rsidRPr="00B12538">
        <w:t xml:space="preserve">. The Workplace </w:t>
      </w:r>
      <w:r>
        <w:t xml:space="preserve">Gender Equality </w:t>
      </w:r>
      <w:r w:rsidRPr="00B12538">
        <w:t>Agency has its own outcome statement and, in pursuing the achievement of this outcome also contributes to the achievement of FaHCSIA’s Women’s outcome statement. Aboriginal Hostels Limited, Indigenous Business Australia, the Indigenous Land Corporation and the Torres Strait Regional Authority each have their own outcome statements. In pursuing the achievement of their outcomes, they also contribute to the achievement of the FaHCSIA Indigenous outcome statement.</w:t>
      </w:r>
    </w:p>
    <w:p w:rsidR="00B12538" w:rsidRDefault="00B12538" w:rsidP="00D82D96">
      <w:pPr>
        <w:pStyle w:val="H3pt1"/>
      </w:pPr>
      <w:r w:rsidRPr="00D82D96">
        <w:t>Department</w:t>
      </w:r>
      <w:r>
        <w:t xml:space="preserve"> of Families, Housing, Community Services and Indigenous Affairs</w:t>
      </w:r>
    </w:p>
    <w:p w:rsidR="006C55B0" w:rsidRDefault="006C55B0" w:rsidP="006C55B0">
      <w:r>
        <w:t>FaHCSIA is a key source of advice to the Australian Government on social policy and works in partnership with other government and non-government organisations to manage a diverse range of programs and services designed to support and improve the lives of Australians.</w:t>
      </w:r>
    </w:p>
    <w:p w:rsidR="006C55B0" w:rsidRDefault="006C55B0" w:rsidP="006C55B0">
      <w:r>
        <w:t>FaHCSIA has whole-of-government policy coordination responsibilities in relation to Indigenous affairs and women.</w:t>
      </w:r>
    </w:p>
    <w:p w:rsidR="00B12538" w:rsidRDefault="006C55B0" w:rsidP="006C55B0">
      <w:r>
        <w:lastRenderedPageBreak/>
        <w:t xml:space="preserve">The Department is subject to the </w:t>
      </w:r>
      <w:r w:rsidRPr="006C55B0">
        <w:rPr>
          <w:i/>
        </w:rPr>
        <w:t>Financial Management and Accountability Act 1997</w:t>
      </w:r>
      <w:r>
        <w:t xml:space="preserve"> (FMA Act).</w:t>
      </w:r>
    </w:p>
    <w:p w:rsidR="00B12538" w:rsidRDefault="00B12538" w:rsidP="00D82D96">
      <w:pPr>
        <w:pStyle w:val="H3pt1"/>
      </w:pPr>
      <w:r>
        <w:t xml:space="preserve">Aboriginal </w:t>
      </w:r>
      <w:r w:rsidRPr="00D82D96">
        <w:t>Hostels</w:t>
      </w:r>
      <w:r>
        <w:t xml:space="preserve"> Limited</w:t>
      </w:r>
    </w:p>
    <w:p w:rsidR="00EF4B2B" w:rsidRDefault="006C55B0" w:rsidP="00EF4B2B">
      <w:r w:rsidRPr="006C55B0">
        <w:t xml:space="preserve">Aboriginal Hostels Limited (AHL) is an Australian Government company subject to the </w:t>
      </w:r>
      <w:r w:rsidRPr="00F13AF4">
        <w:rPr>
          <w:i/>
        </w:rPr>
        <w:t>Corporations Act 2001</w:t>
      </w:r>
      <w:r w:rsidRPr="006C55B0">
        <w:t xml:space="preserve"> and </w:t>
      </w:r>
      <w:r w:rsidRPr="00F13AF4">
        <w:rPr>
          <w:i/>
        </w:rPr>
        <w:t>Commonwealth Authorities and Companies Act 1997</w:t>
      </w:r>
      <w:r w:rsidRPr="006C55B0">
        <w:t xml:space="preserve"> (CAC</w:t>
      </w:r>
      <w:r w:rsidR="00F22FD6">
        <w:t> </w:t>
      </w:r>
      <w:r w:rsidRPr="006C55B0">
        <w:t>Act). AHL provides temporary accommodation to Aboriginal and Torres Strait Islander people through a national network. AHL contributes to the portfolio’s goals by helping Aboriginal and Torres Strait Islander people to improve their standard of living and achieve health, educational and employment-related goals.</w:t>
      </w:r>
    </w:p>
    <w:p w:rsidR="00FB27C6" w:rsidRDefault="00FB27C6" w:rsidP="00D82D96">
      <w:pPr>
        <w:pStyle w:val="H3pt1"/>
      </w:pPr>
      <w:r>
        <w:t>Aboriginal Land Commissioner</w:t>
      </w:r>
    </w:p>
    <w:p w:rsidR="00FB27C6" w:rsidRDefault="00FB27C6" w:rsidP="00FB27C6">
      <w:r w:rsidRPr="00F13AF4">
        <w:t xml:space="preserve">The Aboriginal Land Commissioner is an independent statutory office holder under the </w:t>
      </w:r>
      <w:r w:rsidRPr="00F13AF4">
        <w:rPr>
          <w:i/>
        </w:rPr>
        <w:t>Aboriginal Land Rights (Northern Territory) Act 1976</w:t>
      </w:r>
      <w:r w:rsidRPr="00F13AF4">
        <w:t xml:space="preserve"> (ALRA Act) and is subject to the FMA Act. The principal function of the Commissioner is to conduct formal inquiries into applications for claims to traditional Aboriginal land in the Northern Territory and to provide recommendations to the Minister for Families, Community Services and Indigenous Affairs for the grant of land </w:t>
      </w:r>
      <w:r w:rsidR="000E25A5">
        <w:t xml:space="preserve">to traditional owners </w:t>
      </w:r>
      <w:r w:rsidRPr="00F13AF4">
        <w:t>where appropriate.</w:t>
      </w:r>
    </w:p>
    <w:p w:rsidR="00FB27C6" w:rsidRDefault="00FB27C6" w:rsidP="00D82D96">
      <w:pPr>
        <w:pStyle w:val="H3pt1"/>
      </w:pPr>
      <w:r>
        <w:t>Australian Institute of Family Studies</w:t>
      </w:r>
    </w:p>
    <w:p w:rsidR="00FB27C6" w:rsidRDefault="00FB27C6" w:rsidP="00FB27C6">
      <w:r w:rsidRPr="006C55B0">
        <w:t xml:space="preserve">The Australian Institute of Family Studies (AIFS) is a statutory body established under the </w:t>
      </w:r>
      <w:r w:rsidRPr="006C55B0">
        <w:rPr>
          <w:i/>
        </w:rPr>
        <w:t>Family Law Act 1975</w:t>
      </w:r>
      <w:r w:rsidRPr="006C55B0">
        <w:t>. Its role is to conduct research and communicate findings to policy-makers, service providers and the broader community about factors that affect family wellbeing.</w:t>
      </w:r>
    </w:p>
    <w:p w:rsidR="00FB27C6" w:rsidRDefault="00FB27C6" w:rsidP="00D82D96">
      <w:pPr>
        <w:pStyle w:val="H3pt1"/>
      </w:pPr>
      <w:r>
        <w:t>Coordinator General for Remote Indigenous Services</w:t>
      </w:r>
    </w:p>
    <w:p w:rsidR="00FB27C6" w:rsidRDefault="00FB27C6" w:rsidP="00FB27C6">
      <w:r w:rsidRPr="00F13AF4">
        <w:t xml:space="preserve">The Coordinator General for Remote Indigenous Services is a statutory office established under the </w:t>
      </w:r>
      <w:r w:rsidRPr="00F13AF4">
        <w:rPr>
          <w:i/>
        </w:rPr>
        <w:t>Coordinator-General for Remote Indigenous Services Act 2009</w:t>
      </w:r>
      <w:r w:rsidRPr="00F13AF4">
        <w:t xml:space="preserve"> and is subject to the FMA Act. The central functions of the Coordinator General are to monitor, assess, report, advise and drive implementation of the Remote Service Delivery National Partnership Agreement in each of the specified remote communities to a standard broadly comparable with that in non-Indigenous communities of similar size, location and needs elsewhere in Australia</w:t>
      </w:r>
      <w:r w:rsidR="007912D1">
        <w:t>;</w:t>
      </w:r>
      <w:r w:rsidRPr="00F13AF4">
        <w:t xml:space="preserve"> and to monitor, assess, advise and drive progress towards achieving Closing the Gap targets in those same communities.</w:t>
      </w:r>
    </w:p>
    <w:p w:rsidR="00EF4B2B" w:rsidRDefault="004E564F" w:rsidP="00D82D96">
      <w:pPr>
        <w:pStyle w:val="H3pt1"/>
      </w:pPr>
      <w:proofErr w:type="spellStart"/>
      <w:r>
        <w:lastRenderedPageBreak/>
        <w:t>DisabilityCare</w:t>
      </w:r>
      <w:proofErr w:type="spellEnd"/>
      <w:r>
        <w:t xml:space="preserve"> Australia</w:t>
      </w:r>
    </w:p>
    <w:p w:rsidR="004E564F" w:rsidRDefault="004E564F" w:rsidP="004E564F">
      <w:proofErr w:type="spellStart"/>
      <w:r>
        <w:t>DisabilityCare</w:t>
      </w:r>
      <w:proofErr w:type="spellEnd"/>
      <w:r>
        <w:t xml:space="preserve"> Australia is an Australian Government company established under the </w:t>
      </w:r>
      <w:r w:rsidRPr="00CE6400">
        <w:rPr>
          <w:i/>
        </w:rPr>
        <w:t>National Disability Insurance Scheme Act 2013</w:t>
      </w:r>
      <w:r>
        <w:t>, and is subject to the CAC Act.</w:t>
      </w:r>
      <w:r w:rsidR="00C54CD8">
        <w:t xml:space="preserve"> </w:t>
      </w:r>
      <w:r>
        <w:t>It has b</w:t>
      </w:r>
      <w:r w:rsidR="00034678">
        <w:t>e</w:t>
      </w:r>
      <w:r>
        <w:t xml:space="preserve">en established to deliver the </w:t>
      </w:r>
      <w:r w:rsidR="000A1332">
        <w:t>n</w:t>
      </w:r>
      <w:r>
        <w:t xml:space="preserve">ational </w:t>
      </w:r>
      <w:r w:rsidR="000A1332">
        <w:t>d</w:t>
      </w:r>
      <w:r>
        <w:t xml:space="preserve">isability </w:t>
      </w:r>
      <w:r w:rsidR="000A1332">
        <w:t>i</w:t>
      </w:r>
      <w:r>
        <w:t xml:space="preserve">nsurance </w:t>
      </w:r>
      <w:r w:rsidR="000A1332">
        <w:t>s</w:t>
      </w:r>
      <w:r>
        <w:t xml:space="preserve">cheme and provide individual control and choice in the delivery of reasonable and necessary care and supports to improve the independence, </w:t>
      </w:r>
      <w:r w:rsidR="003B4BFD">
        <w:t xml:space="preserve">and the </w:t>
      </w:r>
      <w:r>
        <w:t>social and economic participation of eligible people with disability, their families and carers, and associated referral services.</w:t>
      </w:r>
    </w:p>
    <w:p w:rsidR="004E564F" w:rsidRDefault="004E564F" w:rsidP="004E564F">
      <w:proofErr w:type="spellStart"/>
      <w:r>
        <w:t>DisabilityCare</w:t>
      </w:r>
      <w:proofErr w:type="spellEnd"/>
      <w:r>
        <w:t xml:space="preserve"> Australia will also play a key role in building community awareness and understanding of disability matters to reduce the barriers to community inclus</w:t>
      </w:r>
      <w:r w:rsidR="00034678">
        <w:t>ion</w:t>
      </w:r>
      <w:r w:rsidR="001E6ED1">
        <w:t xml:space="preserve"> for people with disability, their families and carers</w:t>
      </w:r>
      <w:r>
        <w:t>.</w:t>
      </w:r>
    </w:p>
    <w:p w:rsidR="004E564F" w:rsidRDefault="004E564F" w:rsidP="004E564F">
      <w:r>
        <w:t xml:space="preserve">Further information on </w:t>
      </w:r>
      <w:proofErr w:type="spellStart"/>
      <w:r>
        <w:t>DisabilityCare</w:t>
      </w:r>
      <w:proofErr w:type="spellEnd"/>
      <w:r>
        <w:t xml:space="preserve"> Australia is provided at Outcome 5, Program 5.6.</w:t>
      </w:r>
    </w:p>
    <w:p w:rsidR="00FB27C6" w:rsidRDefault="00FB27C6" w:rsidP="00245865">
      <w:pPr>
        <w:pStyle w:val="H3pt1"/>
      </w:pPr>
      <w:r>
        <w:t>Executive Director of Township Leasing</w:t>
      </w:r>
    </w:p>
    <w:p w:rsidR="00FB27C6" w:rsidRDefault="00FB27C6" w:rsidP="00FB27C6">
      <w:r>
        <w:t>The position of Executive Director, Township Leasing is a statutory office established under the ALRA Act to enter into leases of Aboriginal-held land in the Northern Territory on behalf of the Commonwealth, and to administer subleases and other rights and interests derived from such leases.</w:t>
      </w:r>
    </w:p>
    <w:p w:rsidR="00FB27C6" w:rsidRDefault="000E25A5" w:rsidP="00FB27C6">
      <w:r>
        <w:t>The primary</w:t>
      </w:r>
      <w:r w:rsidR="00FB27C6">
        <w:t xml:space="preserve"> function of the Executive Director is to </w:t>
      </w:r>
      <w:r>
        <w:t>hold</w:t>
      </w:r>
      <w:r w:rsidR="00FB27C6">
        <w:t xml:space="preserve"> leases </w:t>
      </w:r>
      <w:r>
        <w:t xml:space="preserve">over townships </w:t>
      </w:r>
      <w:r w:rsidR="00FB27C6">
        <w:t>on Aboriginal land in the Northern Territory following agreement between the Commonwealth and the respective Aboriginal Land Council and Land Trust.</w:t>
      </w:r>
    </w:p>
    <w:p w:rsidR="00B12538" w:rsidRDefault="00B12538" w:rsidP="00245865">
      <w:pPr>
        <w:pStyle w:val="H3pt1"/>
      </w:pPr>
      <w:r>
        <w:t xml:space="preserve">Indigenous Business </w:t>
      </w:r>
      <w:r w:rsidR="00F13AF4">
        <w:t>Australia</w:t>
      </w:r>
    </w:p>
    <w:p w:rsidR="00F13AF4" w:rsidRDefault="00F13AF4" w:rsidP="00F13AF4">
      <w:r>
        <w:t xml:space="preserve">Indigenous Business Australia (IBA) is a statutory authority established under the </w:t>
      </w:r>
      <w:r w:rsidRPr="00F13AF4">
        <w:rPr>
          <w:i/>
        </w:rPr>
        <w:t>Aboriginal and Torres Strait Islander Act 2005</w:t>
      </w:r>
      <w:r>
        <w:t xml:space="preserve"> (ATSI Act) and is subject to the CAC Act. IBA creates opportunities for Aboriginal and Torres Strait Islander people and communities to build assets and wealth.</w:t>
      </w:r>
    </w:p>
    <w:p w:rsidR="00B12538" w:rsidRDefault="00F13AF4" w:rsidP="00F13AF4">
      <w:r>
        <w:t>IBA contributes to the portfolio’s goals by contributing to Indigenous economic development. To achieve this, IBA assists</w:t>
      </w:r>
      <w:r w:rsidR="00BC3701" w:rsidRPr="00BC3701">
        <w:t xml:space="preserve"> Aboriginal and Torres Strait Islander people to buy their own home, own their own business and invest in commercial ventures that generate financial returns and can also provide employment, training and supply chain opportunities.</w:t>
      </w:r>
    </w:p>
    <w:p w:rsidR="00B12538" w:rsidRDefault="00B12538" w:rsidP="00245865">
      <w:pPr>
        <w:pStyle w:val="H3pt1"/>
      </w:pPr>
      <w:r>
        <w:lastRenderedPageBreak/>
        <w:t>Indigenous Land Corporation</w:t>
      </w:r>
    </w:p>
    <w:p w:rsidR="006C55B0" w:rsidRDefault="00F13AF4" w:rsidP="00EF4B2B">
      <w:r w:rsidRPr="00F13AF4">
        <w:t>The Indigenous Land Corporation (ILC) is a statutory authority established under the ATSI Act and is subject to the CAC Act. The ILC assists Aboriginal and Torres Strait Islander people to acquire and manage land so as to provide economic, environmental, social and cultural benefits. The ILC contributes to the goals of the portfolio by assisting in the delivery of sustainable benefits from land acquisition and by providing land management assistance.</w:t>
      </w:r>
    </w:p>
    <w:p w:rsidR="00B12538" w:rsidRDefault="00B12538" w:rsidP="00245865">
      <w:pPr>
        <w:pStyle w:val="H3pt1"/>
      </w:pPr>
      <w:r>
        <w:t>Northern Territory Land Councils</w:t>
      </w:r>
    </w:p>
    <w:p w:rsidR="00B12538" w:rsidRDefault="00F13AF4" w:rsidP="00B12538">
      <w:r w:rsidRPr="00F13AF4">
        <w:t xml:space="preserve">The Northern Land Council, the Central Land Council, the </w:t>
      </w:r>
      <w:proofErr w:type="spellStart"/>
      <w:r w:rsidRPr="00F13AF4">
        <w:t>Anindilyakwa</w:t>
      </w:r>
      <w:proofErr w:type="spellEnd"/>
      <w:r w:rsidRPr="00F13AF4">
        <w:t xml:space="preserve"> Land Council and the Tiwi Land Council are the four Northern Territory Land Councils established under the ALRA Act. The land councils are subject to the CAC Act. Each is an independent statutory body established to represent Aboriginal interests in a range of processes under the ALRA Act. The Central Land Council and Northern Land Council are Native Title Representative Bodies under the </w:t>
      </w:r>
      <w:r w:rsidRPr="00F13AF4">
        <w:rPr>
          <w:i/>
        </w:rPr>
        <w:t>Native Title Act 1993</w:t>
      </w:r>
      <w:r w:rsidRPr="00F13AF4">
        <w:t>.</w:t>
      </w:r>
    </w:p>
    <w:p w:rsidR="00B12538" w:rsidRDefault="00B12538" w:rsidP="00245865">
      <w:pPr>
        <w:pStyle w:val="H3pt1"/>
      </w:pPr>
      <w:r>
        <w:t>Outback Stores Pty Ltd</w:t>
      </w:r>
    </w:p>
    <w:p w:rsidR="00B12538" w:rsidRDefault="00F13AF4" w:rsidP="00B12538">
      <w:r w:rsidRPr="00F13AF4">
        <w:t>Outback Stores Pty Ltd (OBS) is an Australian Government</w:t>
      </w:r>
      <w:r w:rsidR="00247C54">
        <w:t>-owned</w:t>
      </w:r>
      <w:r w:rsidRPr="00F13AF4">
        <w:t xml:space="preserve"> company subject to the </w:t>
      </w:r>
      <w:r w:rsidRPr="00F13AF4">
        <w:rPr>
          <w:i/>
        </w:rPr>
        <w:t>Corporations Act 2001</w:t>
      </w:r>
      <w:r w:rsidRPr="00F13AF4">
        <w:t xml:space="preserve"> and the CAC Act. OBS </w:t>
      </w:r>
      <w:r w:rsidR="000E25A5">
        <w:t>promotes</w:t>
      </w:r>
      <w:r w:rsidR="000E25A5" w:rsidRPr="00F13AF4">
        <w:t xml:space="preserve"> </w:t>
      </w:r>
      <w:r w:rsidRPr="00F13AF4">
        <w:t xml:space="preserve">the health, employment and </w:t>
      </w:r>
      <w:r w:rsidR="000E25A5">
        <w:t>economic development</w:t>
      </w:r>
      <w:r w:rsidR="000E25A5" w:rsidRPr="00F13AF4">
        <w:t xml:space="preserve"> </w:t>
      </w:r>
      <w:r w:rsidRPr="00F13AF4">
        <w:t>of remote Indigenous communities by managing quality, sustainable retail stores. OBS contributes to the portfolio’s goals by helping Aboriginal and Torres Strait Islander people to improve their standard of living and achieve health goals.</w:t>
      </w:r>
    </w:p>
    <w:p w:rsidR="00FB27C6" w:rsidRDefault="00FB27C6" w:rsidP="00245865">
      <w:pPr>
        <w:pStyle w:val="H3pt1"/>
      </w:pPr>
      <w:r>
        <w:t>Registrar of Indigenous Corporations</w:t>
      </w:r>
    </w:p>
    <w:p w:rsidR="00FB27C6" w:rsidRDefault="00FB27C6" w:rsidP="00FB27C6">
      <w:r w:rsidRPr="00F13AF4">
        <w:t xml:space="preserve">The Registrar of Indigenous Corporations is an independent statutory office holder who administers the </w:t>
      </w:r>
      <w:r w:rsidRPr="00F13AF4">
        <w:rPr>
          <w:i/>
        </w:rPr>
        <w:t>Corporations (Aboriginal and Torres Strait Islander) Act 2006</w:t>
      </w:r>
      <w:r w:rsidRPr="00F13AF4">
        <w:t xml:space="preserve"> and is subject to the FMA Act. The Registrar of Indigenous Corporations registers and regulates Aboriginal and Torres Strait Islander corporations.</w:t>
      </w:r>
    </w:p>
    <w:p w:rsidR="00B12538" w:rsidRDefault="00B12538" w:rsidP="00245865">
      <w:pPr>
        <w:pStyle w:val="H3pt1"/>
      </w:pPr>
      <w:r>
        <w:t>Social Security Appeals Tribunal</w:t>
      </w:r>
    </w:p>
    <w:p w:rsidR="00F13AF4" w:rsidRDefault="00F13AF4" w:rsidP="00F13AF4">
      <w:r>
        <w:t xml:space="preserve">The Social Security Appeals Tribunal (SSAT) is a </w:t>
      </w:r>
      <w:r w:rsidR="00BC3701" w:rsidRPr="00BC3701">
        <w:t xml:space="preserve">tribunal whose existence was continued by </w:t>
      </w:r>
      <w:r>
        <w:t xml:space="preserve">the </w:t>
      </w:r>
      <w:r w:rsidRPr="00F13AF4">
        <w:rPr>
          <w:i/>
        </w:rPr>
        <w:t>Social Security (Administration) Act 1999</w:t>
      </w:r>
      <w:r w:rsidR="00BC3701">
        <w:t>.</w:t>
      </w:r>
      <w:r w:rsidR="00C425EC">
        <w:t xml:space="preserve"> </w:t>
      </w:r>
      <w:r w:rsidR="00BC3701">
        <w:t>The SSAT is not an Agency</w:t>
      </w:r>
      <w:r w:rsidR="007E6EA1">
        <w:t> </w:t>
      </w:r>
      <w:r w:rsidR="00BC3701">
        <w:t xml:space="preserve">under the </w:t>
      </w:r>
      <w:r w:rsidRPr="00F13AF4">
        <w:rPr>
          <w:i/>
        </w:rPr>
        <w:t>Public Service Act 1999</w:t>
      </w:r>
      <w:r w:rsidR="00A76B36">
        <w:t>, nor is it</w:t>
      </w:r>
      <w:r w:rsidR="00BC3701">
        <w:t xml:space="preserve"> an Agency for the purposes of the </w:t>
      </w:r>
      <w:r w:rsidR="00BC3701" w:rsidRPr="00BC3701">
        <w:rPr>
          <w:i/>
        </w:rPr>
        <w:t>FMA Act 1997.</w:t>
      </w:r>
      <w:r w:rsidR="00C425EC">
        <w:rPr>
          <w:i/>
        </w:rPr>
        <w:t xml:space="preserve"> </w:t>
      </w:r>
      <w:r w:rsidR="00BC3701" w:rsidRPr="00BC3701">
        <w:t>The Secretary of the Department is the employer of staff at the SSAT and funding for the SSAT is provided from the Department’s budget.</w:t>
      </w:r>
      <w:r w:rsidR="00C425EC">
        <w:t xml:space="preserve"> </w:t>
      </w:r>
      <w:r>
        <w:t>The SSAT conducts merit reviews of administrative decisions made under a number of enactments, in particular the social security law, family assistance law and child support law.</w:t>
      </w:r>
    </w:p>
    <w:p w:rsidR="00B12538" w:rsidRDefault="00F13AF4" w:rsidP="00F13AF4">
      <w:r>
        <w:lastRenderedPageBreak/>
        <w:t>The decisions that the SSAT reviews are made by officers of the Department of Human Services employed in Centrelink offices and in the Child Support Agency. The</w:t>
      </w:r>
      <w:r w:rsidR="007E6EA1">
        <w:t> </w:t>
      </w:r>
      <w:r>
        <w:t>statutory objective of the SSAT is to provide a mechanism of review that is fair, just, economical, informal and quick. The SSAT contributes to the portfolio by ensuring that the decisions it reviews are consistent with the law and evidence.</w:t>
      </w:r>
    </w:p>
    <w:p w:rsidR="00FB27C6" w:rsidRPr="006C55B0" w:rsidRDefault="00FB27C6" w:rsidP="00245865">
      <w:pPr>
        <w:pStyle w:val="H3pt1"/>
      </w:pPr>
      <w:r>
        <w:t>Torres Strait Regional Authority</w:t>
      </w:r>
    </w:p>
    <w:p w:rsidR="00FB27C6" w:rsidRDefault="00FB27C6" w:rsidP="00FB27C6">
      <w:r>
        <w:t xml:space="preserve">The Torres Strait Regional Authority (TSRA) is a statutory authority established by the ATSI Act and is subject to the CAC Act. TSRA </w:t>
      </w:r>
      <w:proofErr w:type="gramStart"/>
      <w:r>
        <w:t>formulates,</w:t>
      </w:r>
      <w:proofErr w:type="gramEnd"/>
      <w:r>
        <w:t xml:space="preserve"> implements and monitors the effectiveness of programs for Aboriginal and Torres Strait Islander people living in the Torres Strait and also advises the Minister for Families, Community Services and Indigenous Affairs about issues relevant to Aboriginal and Torres Strait Islander people living in the Torres Strait region.</w:t>
      </w:r>
    </w:p>
    <w:p w:rsidR="00FB27C6" w:rsidRDefault="00FB27C6" w:rsidP="00FB27C6">
      <w:r>
        <w:t xml:space="preserve">TSRA contributes to the goals of the portfolio by working to empower Aboriginal and Torres Strait Islander people living in the Torres Strait to determine their own affairs based on the </w:t>
      </w:r>
      <w:proofErr w:type="spellStart"/>
      <w:r w:rsidRPr="00F13AF4">
        <w:rPr>
          <w:i/>
        </w:rPr>
        <w:t>ailan</w:t>
      </w:r>
      <w:proofErr w:type="spellEnd"/>
      <w:r w:rsidRPr="00F13AF4">
        <w:rPr>
          <w:i/>
        </w:rPr>
        <w:t xml:space="preserve"> </w:t>
      </w:r>
      <w:proofErr w:type="spellStart"/>
      <w:r w:rsidRPr="00F13AF4">
        <w:rPr>
          <w:i/>
        </w:rPr>
        <w:t>kastom</w:t>
      </w:r>
      <w:proofErr w:type="spellEnd"/>
      <w:r>
        <w:t xml:space="preserve"> (island custom) of the Torres Strait.</w:t>
      </w:r>
    </w:p>
    <w:p w:rsidR="00FB27C6" w:rsidRDefault="00FB27C6" w:rsidP="00245865">
      <w:pPr>
        <w:pStyle w:val="H3pt1"/>
      </w:pPr>
      <w:r>
        <w:t>Workplace Gender Equality Agency</w:t>
      </w:r>
    </w:p>
    <w:p w:rsidR="00FB27C6" w:rsidRDefault="00FB27C6" w:rsidP="00FB27C6">
      <w:r w:rsidRPr="006C55B0">
        <w:t xml:space="preserve">The Workplace </w:t>
      </w:r>
      <w:r>
        <w:t xml:space="preserve">Gender Equality </w:t>
      </w:r>
      <w:r w:rsidRPr="006C55B0">
        <w:t>Agency (</w:t>
      </w:r>
      <w:r>
        <w:t>WGE</w:t>
      </w:r>
      <w:r w:rsidRPr="006C55B0">
        <w:t xml:space="preserve">A) is a statutory authority </w:t>
      </w:r>
      <w:r>
        <w:t xml:space="preserve">established under </w:t>
      </w:r>
      <w:r w:rsidRPr="006C55B0">
        <w:t xml:space="preserve">the </w:t>
      </w:r>
      <w:r w:rsidRPr="006C55B0">
        <w:rPr>
          <w:i/>
        </w:rPr>
        <w:t>Workplace Gender Equality Act 2012</w:t>
      </w:r>
      <w:r w:rsidRPr="006C55B0">
        <w:t xml:space="preserve"> and is subject to the FMA Act. </w:t>
      </w:r>
    </w:p>
    <w:p w:rsidR="00FB27C6" w:rsidRDefault="00FB27C6" w:rsidP="00FB27C6">
      <w:r w:rsidRPr="00BC3701">
        <w:t xml:space="preserve">WGEA focuses on promoting and improving gender equality in Australian workplaces through activities which aim to remove barriers to the full and equal participation of women in the workforce; eliminate discrimination on the basis of gender in employment; foster workplace consultation between employers and employees on issues concerning gender equality in employment and in the workplace; </w:t>
      </w:r>
      <w:r>
        <w:t xml:space="preserve">and </w:t>
      </w:r>
      <w:r w:rsidRPr="00BC3701">
        <w:t>improve the productivity and competitiveness of Australian business through the advancement of gender equality in employment and in the workplace</w:t>
      </w:r>
      <w:r w:rsidRPr="006C55B0">
        <w:t>.</w:t>
      </w:r>
    </w:p>
    <w:p w:rsidR="00B12538" w:rsidRDefault="00B12538" w:rsidP="00245865">
      <w:pPr>
        <w:pStyle w:val="H3pt1"/>
      </w:pPr>
      <w:r>
        <w:t>Wreck Bay Aboriginal Community Council</w:t>
      </w:r>
    </w:p>
    <w:p w:rsidR="00B12538" w:rsidRPr="00B12538" w:rsidRDefault="00F13AF4" w:rsidP="00B12538">
      <w:r w:rsidRPr="00F13AF4">
        <w:t xml:space="preserve">The Wreck Bay Aboriginal Community Council is an independent statutory body established by the </w:t>
      </w:r>
      <w:r w:rsidRPr="00F13AF4">
        <w:rPr>
          <w:i/>
        </w:rPr>
        <w:t>Aboriginal Land Grant (Jervis Bay Territory) Act 1986</w:t>
      </w:r>
      <w:r w:rsidRPr="00F13AF4">
        <w:t xml:space="preserve"> and is subject to the CAC Act. The council holds title to land and provides services to the Aboriginal community of </w:t>
      </w:r>
      <w:r w:rsidR="000E25A5">
        <w:t>Wreck</w:t>
      </w:r>
      <w:r w:rsidR="000E25A5" w:rsidRPr="00F13AF4">
        <w:t xml:space="preserve"> </w:t>
      </w:r>
      <w:r w:rsidRPr="00F13AF4">
        <w:t>Bay.</w:t>
      </w:r>
    </w:p>
    <w:p w:rsidR="007452AA" w:rsidRDefault="003773B6" w:rsidP="00245865">
      <w:pPr>
        <w:pStyle w:val="H3pt1"/>
      </w:pPr>
      <w:r w:rsidRPr="005842DA">
        <w:br w:type="page"/>
      </w:r>
      <w:bookmarkStart w:id="46" w:name="_Toc97433671"/>
      <w:bookmarkStart w:id="47" w:name="_Toc97433760"/>
      <w:bookmarkStart w:id="48" w:name="_Toc97433860"/>
      <w:bookmarkStart w:id="49" w:name="_Toc97434209"/>
      <w:bookmarkStart w:id="50" w:name="_Toc97528986"/>
      <w:bookmarkStart w:id="51" w:name="_Toc97529025"/>
      <w:bookmarkStart w:id="52" w:name="_Toc112224373"/>
      <w:r w:rsidR="007452AA" w:rsidRPr="00421739">
        <w:lastRenderedPageBreak/>
        <w:t xml:space="preserve">Figure 1: Families, Housing, </w:t>
      </w:r>
      <w:r w:rsidR="007452AA" w:rsidRPr="001015C2">
        <w:t>Community</w:t>
      </w:r>
      <w:r w:rsidR="007452AA" w:rsidRPr="00421739">
        <w:t xml:space="preserve"> Services and Indigenous Affairs </w:t>
      </w:r>
      <w:r w:rsidR="007452AA">
        <w:t>p</w:t>
      </w:r>
      <w:r w:rsidR="007452AA" w:rsidRPr="00421739">
        <w:t xml:space="preserve">ortfolio structure and outcomes </w:t>
      </w:r>
    </w:p>
    <w:p w:rsidR="00232123" w:rsidRDefault="00232123" w:rsidP="0040773D">
      <w:pPr>
        <w:pBdr>
          <w:top w:val="single" w:sz="4" w:space="0" w:color="auto"/>
          <w:left w:val="single" w:sz="4" w:space="4" w:color="auto"/>
          <w:bottom w:val="single" w:sz="4" w:space="1" w:color="auto"/>
          <w:right w:val="single" w:sz="4" w:space="4" w:color="auto"/>
        </w:pBdr>
        <w:spacing w:before="120" w:after="0" w:line="240" w:lineRule="exact"/>
        <w:jc w:val="center"/>
        <w:rPr>
          <w:rFonts w:ascii="Arial" w:hAnsi="Arial" w:cs="Arial"/>
          <w:b/>
          <w:sz w:val="18"/>
          <w:szCs w:val="18"/>
        </w:rPr>
      </w:pPr>
    </w:p>
    <w:p w:rsidR="00232123" w:rsidRPr="00D15CDE" w:rsidRDefault="00232123" w:rsidP="0040773D">
      <w:pPr>
        <w:pBdr>
          <w:top w:val="single" w:sz="4" w:space="0" w:color="auto"/>
          <w:left w:val="single" w:sz="4" w:space="4" w:color="auto"/>
          <w:bottom w:val="single" w:sz="4" w:space="1" w:color="auto"/>
          <w:right w:val="single" w:sz="4" w:space="4" w:color="auto"/>
        </w:pBdr>
        <w:spacing w:after="0" w:line="240" w:lineRule="exact"/>
        <w:jc w:val="center"/>
        <w:rPr>
          <w:rFonts w:ascii="Arial" w:hAnsi="Arial" w:cs="Arial"/>
          <w:b/>
          <w:sz w:val="18"/>
          <w:szCs w:val="18"/>
        </w:rPr>
      </w:pPr>
      <w:r w:rsidRPr="00D15CDE">
        <w:rPr>
          <w:rFonts w:ascii="Arial" w:hAnsi="Arial" w:cs="Arial"/>
          <w:b/>
          <w:sz w:val="18"/>
          <w:szCs w:val="18"/>
        </w:rPr>
        <w:t>Minister for Families, Community Services and Indigenous Affairs and</w:t>
      </w:r>
    </w:p>
    <w:p w:rsidR="00232123" w:rsidRPr="00D15CDE" w:rsidRDefault="00232123" w:rsidP="0040773D">
      <w:pPr>
        <w:pBdr>
          <w:top w:val="single" w:sz="4" w:space="0" w:color="auto"/>
          <w:left w:val="single" w:sz="4" w:space="4" w:color="auto"/>
          <w:bottom w:val="single" w:sz="4" w:space="1" w:color="auto"/>
          <w:right w:val="single" w:sz="4" w:space="4" w:color="auto"/>
        </w:pBdr>
        <w:spacing w:after="0" w:line="240" w:lineRule="exact"/>
        <w:jc w:val="center"/>
        <w:rPr>
          <w:rFonts w:ascii="Arial" w:hAnsi="Arial" w:cs="Arial"/>
          <w:b/>
          <w:sz w:val="18"/>
          <w:szCs w:val="18"/>
        </w:rPr>
      </w:pPr>
      <w:r w:rsidRPr="00D15CDE">
        <w:rPr>
          <w:rFonts w:ascii="Arial" w:hAnsi="Arial" w:cs="Arial"/>
          <w:b/>
          <w:sz w:val="18"/>
          <w:szCs w:val="18"/>
        </w:rPr>
        <w:t>Minister for Disability Reform</w:t>
      </w:r>
    </w:p>
    <w:p w:rsidR="00232123" w:rsidRPr="00D15CDE" w:rsidRDefault="00232123" w:rsidP="0040773D">
      <w:pPr>
        <w:pBdr>
          <w:top w:val="single" w:sz="4" w:space="0" w:color="auto"/>
          <w:left w:val="single" w:sz="4" w:space="4" w:color="auto"/>
          <w:bottom w:val="single" w:sz="4" w:space="1" w:color="auto"/>
          <w:right w:val="single" w:sz="4" w:space="4" w:color="auto"/>
        </w:pBdr>
        <w:spacing w:before="60" w:after="0" w:line="240" w:lineRule="exact"/>
        <w:jc w:val="center"/>
        <w:rPr>
          <w:rFonts w:ascii="Arial" w:hAnsi="Arial" w:cs="Arial"/>
          <w:sz w:val="18"/>
          <w:szCs w:val="18"/>
        </w:rPr>
      </w:pPr>
      <w:r w:rsidRPr="00D15CDE">
        <w:rPr>
          <w:rFonts w:ascii="Arial" w:hAnsi="Arial" w:cs="Arial"/>
          <w:sz w:val="18"/>
          <w:szCs w:val="18"/>
        </w:rPr>
        <w:t>The Hon. Jenny Macklin MP</w:t>
      </w:r>
    </w:p>
    <w:p w:rsidR="00232123" w:rsidRPr="00D15CDE" w:rsidRDefault="00232123" w:rsidP="0040773D">
      <w:pPr>
        <w:pBdr>
          <w:top w:val="single" w:sz="4" w:space="0" w:color="auto"/>
          <w:left w:val="single" w:sz="4" w:space="4" w:color="auto"/>
          <w:bottom w:val="single" w:sz="4" w:space="1" w:color="auto"/>
          <w:right w:val="single" w:sz="4" w:space="4" w:color="auto"/>
        </w:pBdr>
        <w:spacing w:before="120" w:after="0" w:line="240" w:lineRule="exact"/>
        <w:jc w:val="center"/>
        <w:rPr>
          <w:rFonts w:ascii="Arial" w:hAnsi="Arial" w:cs="Arial"/>
          <w:b/>
          <w:sz w:val="18"/>
          <w:szCs w:val="18"/>
        </w:rPr>
      </w:pPr>
      <w:r w:rsidRPr="00D15CDE">
        <w:rPr>
          <w:rFonts w:ascii="Arial" w:hAnsi="Arial" w:cs="Arial"/>
          <w:b/>
          <w:sz w:val="18"/>
          <w:szCs w:val="18"/>
        </w:rPr>
        <w:t>Minister for Housing and Homelessness</w:t>
      </w:r>
    </w:p>
    <w:p w:rsidR="00232123" w:rsidRPr="00D15CDE" w:rsidRDefault="00232123" w:rsidP="0040773D">
      <w:pPr>
        <w:pBdr>
          <w:top w:val="single" w:sz="4" w:space="0" w:color="auto"/>
          <w:left w:val="single" w:sz="4" w:space="4" w:color="auto"/>
          <w:bottom w:val="single" w:sz="4" w:space="1" w:color="auto"/>
          <w:right w:val="single" w:sz="4" w:space="4" w:color="auto"/>
        </w:pBdr>
        <w:spacing w:before="60" w:after="0" w:line="240" w:lineRule="exact"/>
        <w:jc w:val="center"/>
        <w:rPr>
          <w:rFonts w:ascii="Arial" w:hAnsi="Arial" w:cs="Arial"/>
          <w:sz w:val="18"/>
          <w:szCs w:val="18"/>
        </w:rPr>
      </w:pPr>
      <w:r w:rsidRPr="00D15CDE">
        <w:rPr>
          <w:rFonts w:ascii="Arial" w:hAnsi="Arial" w:cs="Arial"/>
          <w:sz w:val="18"/>
          <w:szCs w:val="18"/>
        </w:rPr>
        <w:t xml:space="preserve">The Hon. </w:t>
      </w:r>
      <w:r w:rsidR="00B56E7F">
        <w:rPr>
          <w:rFonts w:ascii="Arial" w:hAnsi="Arial" w:cs="Arial"/>
          <w:sz w:val="18"/>
          <w:szCs w:val="18"/>
        </w:rPr>
        <w:t>Mark Butler</w:t>
      </w:r>
      <w:r>
        <w:rPr>
          <w:rFonts w:ascii="Arial" w:hAnsi="Arial" w:cs="Arial"/>
          <w:sz w:val="18"/>
          <w:szCs w:val="18"/>
        </w:rPr>
        <w:t xml:space="preserve"> MP</w:t>
      </w:r>
    </w:p>
    <w:p w:rsidR="00232123" w:rsidRPr="00D15CDE" w:rsidRDefault="00232123" w:rsidP="0040773D">
      <w:pPr>
        <w:pBdr>
          <w:top w:val="single" w:sz="4" w:space="0" w:color="auto"/>
          <w:left w:val="single" w:sz="4" w:space="4" w:color="auto"/>
          <w:bottom w:val="single" w:sz="4" w:space="1" w:color="auto"/>
          <w:right w:val="single" w:sz="4" w:space="4" w:color="auto"/>
        </w:pBdr>
        <w:spacing w:before="120" w:after="0" w:line="240" w:lineRule="exact"/>
        <w:jc w:val="center"/>
        <w:rPr>
          <w:rFonts w:ascii="Arial" w:hAnsi="Arial" w:cs="Arial"/>
          <w:b/>
          <w:sz w:val="18"/>
          <w:szCs w:val="18"/>
        </w:rPr>
      </w:pPr>
      <w:r w:rsidRPr="00D15CDE">
        <w:rPr>
          <w:rFonts w:ascii="Arial" w:hAnsi="Arial" w:cs="Arial"/>
          <w:b/>
          <w:sz w:val="18"/>
          <w:szCs w:val="18"/>
        </w:rPr>
        <w:t xml:space="preserve">Minister for Community Services </w:t>
      </w:r>
      <w:r>
        <w:rPr>
          <w:rFonts w:ascii="Arial" w:hAnsi="Arial" w:cs="Arial"/>
          <w:b/>
          <w:sz w:val="18"/>
          <w:szCs w:val="18"/>
        </w:rPr>
        <w:t xml:space="preserve">and Minister </w:t>
      </w:r>
      <w:r w:rsidRPr="00D15CDE">
        <w:rPr>
          <w:rFonts w:ascii="Arial" w:hAnsi="Arial" w:cs="Arial"/>
          <w:b/>
          <w:sz w:val="18"/>
          <w:szCs w:val="18"/>
        </w:rPr>
        <w:t>for the Status of Women</w:t>
      </w:r>
    </w:p>
    <w:p w:rsidR="00232123" w:rsidRPr="00D15CDE" w:rsidRDefault="00232123" w:rsidP="0040773D">
      <w:pPr>
        <w:pBdr>
          <w:top w:val="single" w:sz="4" w:space="0" w:color="auto"/>
          <w:left w:val="single" w:sz="4" w:space="4" w:color="auto"/>
          <w:bottom w:val="single" w:sz="4" w:space="1" w:color="auto"/>
          <w:right w:val="single" w:sz="4" w:space="4" w:color="auto"/>
        </w:pBdr>
        <w:spacing w:before="60" w:after="0" w:line="240" w:lineRule="exact"/>
        <w:jc w:val="center"/>
        <w:rPr>
          <w:rFonts w:ascii="Arial" w:hAnsi="Arial" w:cs="Arial"/>
          <w:sz w:val="18"/>
          <w:szCs w:val="18"/>
        </w:rPr>
      </w:pPr>
      <w:r w:rsidRPr="00D15CDE">
        <w:rPr>
          <w:rFonts w:ascii="Arial" w:hAnsi="Arial" w:cs="Arial"/>
          <w:sz w:val="18"/>
          <w:szCs w:val="18"/>
        </w:rPr>
        <w:t>The Hon. Julie Collins MP</w:t>
      </w:r>
    </w:p>
    <w:p w:rsidR="00232123" w:rsidRPr="00D15CDE" w:rsidRDefault="00232123" w:rsidP="0040773D">
      <w:pPr>
        <w:pBdr>
          <w:top w:val="single" w:sz="4" w:space="0" w:color="auto"/>
          <w:left w:val="single" w:sz="4" w:space="4" w:color="auto"/>
          <w:bottom w:val="single" w:sz="4" w:space="1" w:color="auto"/>
          <w:right w:val="single" w:sz="4" w:space="4" w:color="auto"/>
        </w:pBdr>
        <w:spacing w:before="120" w:after="0" w:line="240" w:lineRule="exact"/>
        <w:jc w:val="center"/>
        <w:rPr>
          <w:rFonts w:ascii="Arial" w:hAnsi="Arial" w:cs="Arial"/>
          <w:b/>
          <w:sz w:val="18"/>
          <w:szCs w:val="18"/>
        </w:rPr>
      </w:pPr>
      <w:r w:rsidRPr="00D15CDE">
        <w:rPr>
          <w:rFonts w:ascii="Arial" w:hAnsi="Arial" w:cs="Arial"/>
          <w:b/>
          <w:sz w:val="18"/>
          <w:szCs w:val="18"/>
        </w:rPr>
        <w:t>Parliamentary Secretary for Disabilities and Carers</w:t>
      </w:r>
    </w:p>
    <w:p w:rsidR="00232123" w:rsidRDefault="00AB23B0" w:rsidP="0040773D">
      <w:pPr>
        <w:pBdr>
          <w:top w:val="single" w:sz="4" w:space="0" w:color="auto"/>
          <w:left w:val="single" w:sz="4" w:space="4" w:color="auto"/>
          <w:bottom w:val="single" w:sz="4" w:space="1" w:color="auto"/>
          <w:right w:val="single" w:sz="4" w:space="4" w:color="auto"/>
        </w:pBdr>
        <w:spacing w:before="60" w:after="0" w:line="240" w:lineRule="exact"/>
        <w:jc w:val="center"/>
        <w:rPr>
          <w:rFonts w:ascii="Arial" w:hAnsi="Arial" w:cs="Arial"/>
          <w:sz w:val="18"/>
          <w:szCs w:val="18"/>
        </w:rPr>
      </w:pPr>
      <w:r>
        <w:rPr>
          <w:rFonts w:ascii="Arial" w:hAnsi="Arial" w:cs="Arial"/>
          <w:sz w:val="18"/>
          <w:szCs w:val="18"/>
        </w:rPr>
        <w:t xml:space="preserve">The Hon. Amanda </w:t>
      </w:r>
      <w:proofErr w:type="spellStart"/>
      <w:r>
        <w:rPr>
          <w:rFonts w:ascii="Arial" w:hAnsi="Arial" w:cs="Arial"/>
          <w:sz w:val="18"/>
          <w:szCs w:val="18"/>
        </w:rPr>
        <w:t>Rishworth</w:t>
      </w:r>
      <w:proofErr w:type="spellEnd"/>
      <w:r>
        <w:rPr>
          <w:rFonts w:ascii="Arial" w:hAnsi="Arial" w:cs="Arial"/>
          <w:sz w:val="18"/>
          <w:szCs w:val="18"/>
        </w:rPr>
        <w:t xml:space="preserve"> MP</w:t>
      </w:r>
    </w:p>
    <w:p w:rsidR="00B56E7F" w:rsidRPr="00D15CDE" w:rsidRDefault="00B56E7F" w:rsidP="0040773D">
      <w:pPr>
        <w:pBdr>
          <w:top w:val="single" w:sz="4" w:space="0" w:color="auto"/>
          <w:left w:val="single" w:sz="4" w:space="4" w:color="auto"/>
          <w:bottom w:val="single" w:sz="4" w:space="1" w:color="auto"/>
          <w:right w:val="single" w:sz="4" w:space="4" w:color="auto"/>
        </w:pBdr>
        <w:spacing w:before="120" w:after="0" w:line="240" w:lineRule="exact"/>
        <w:jc w:val="center"/>
        <w:rPr>
          <w:rFonts w:ascii="Arial" w:hAnsi="Arial" w:cs="Arial"/>
          <w:b/>
          <w:sz w:val="18"/>
          <w:szCs w:val="18"/>
        </w:rPr>
      </w:pPr>
      <w:r w:rsidRPr="00D15CDE">
        <w:rPr>
          <w:rFonts w:ascii="Arial" w:hAnsi="Arial" w:cs="Arial"/>
          <w:b/>
          <w:sz w:val="18"/>
          <w:szCs w:val="18"/>
        </w:rPr>
        <w:t xml:space="preserve">Parliamentary Secretary for </w:t>
      </w:r>
      <w:r>
        <w:rPr>
          <w:rFonts w:ascii="Arial" w:hAnsi="Arial" w:cs="Arial"/>
          <w:b/>
          <w:sz w:val="18"/>
          <w:szCs w:val="18"/>
        </w:rPr>
        <w:t>Homelessness and Social Housing</w:t>
      </w:r>
    </w:p>
    <w:p w:rsidR="00B56E7F" w:rsidRDefault="00B56E7F" w:rsidP="0040773D">
      <w:pPr>
        <w:pBdr>
          <w:top w:val="single" w:sz="4" w:space="0" w:color="auto"/>
          <w:left w:val="single" w:sz="4" w:space="4" w:color="auto"/>
          <w:bottom w:val="single" w:sz="4" w:space="1" w:color="auto"/>
          <w:right w:val="single" w:sz="4" w:space="4" w:color="auto"/>
        </w:pBdr>
        <w:spacing w:before="60" w:after="0" w:line="240" w:lineRule="exact"/>
        <w:jc w:val="center"/>
        <w:rPr>
          <w:rFonts w:ascii="Arial" w:hAnsi="Arial" w:cs="Arial"/>
          <w:sz w:val="18"/>
          <w:szCs w:val="18"/>
        </w:rPr>
      </w:pPr>
      <w:r>
        <w:rPr>
          <w:rFonts w:ascii="Arial" w:hAnsi="Arial" w:cs="Arial"/>
          <w:sz w:val="18"/>
          <w:szCs w:val="18"/>
        </w:rPr>
        <w:t>T</w:t>
      </w:r>
      <w:r w:rsidRPr="00D15CDE">
        <w:rPr>
          <w:rFonts w:ascii="Arial" w:hAnsi="Arial" w:cs="Arial"/>
          <w:sz w:val="18"/>
          <w:szCs w:val="18"/>
        </w:rPr>
        <w:t xml:space="preserve">he Hon. </w:t>
      </w:r>
      <w:r>
        <w:rPr>
          <w:rFonts w:ascii="Arial" w:hAnsi="Arial" w:cs="Arial"/>
          <w:sz w:val="18"/>
          <w:szCs w:val="18"/>
        </w:rPr>
        <w:t xml:space="preserve">Melissa </w:t>
      </w:r>
      <w:proofErr w:type="spellStart"/>
      <w:r>
        <w:rPr>
          <w:rFonts w:ascii="Arial" w:hAnsi="Arial" w:cs="Arial"/>
          <w:sz w:val="18"/>
          <w:szCs w:val="18"/>
        </w:rPr>
        <w:t>Parke</w:t>
      </w:r>
      <w:proofErr w:type="spellEnd"/>
      <w:r>
        <w:rPr>
          <w:rFonts w:ascii="Arial" w:hAnsi="Arial" w:cs="Arial"/>
          <w:sz w:val="18"/>
          <w:szCs w:val="18"/>
        </w:rPr>
        <w:t xml:space="preserve"> MP</w:t>
      </w:r>
    </w:p>
    <w:p w:rsidR="00232123" w:rsidRDefault="00232123" w:rsidP="0040773D">
      <w:pPr>
        <w:pBdr>
          <w:top w:val="single" w:sz="4" w:space="0" w:color="auto"/>
          <w:left w:val="single" w:sz="4" w:space="4" w:color="auto"/>
          <w:bottom w:val="single" w:sz="4" w:space="1" w:color="auto"/>
          <w:right w:val="single" w:sz="4" w:space="4" w:color="auto"/>
        </w:pBdr>
        <w:spacing w:after="0" w:line="240" w:lineRule="exact"/>
        <w:jc w:val="center"/>
        <w:rPr>
          <w:rFonts w:ascii="Arial" w:hAnsi="Arial" w:cs="Arial"/>
          <w:sz w:val="18"/>
          <w:szCs w:val="18"/>
        </w:rPr>
      </w:pPr>
    </w:p>
    <w:p w:rsidR="00232123" w:rsidRDefault="00232123" w:rsidP="0040773D">
      <w:pPr>
        <w:pBdr>
          <w:left w:val="single" w:sz="4" w:space="4" w:color="auto"/>
          <w:bottom w:val="single" w:sz="4" w:space="1" w:color="auto"/>
          <w:right w:val="single" w:sz="4" w:space="4" w:color="auto"/>
        </w:pBdr>
        <w:spacing w:before="60" w:after="120" w:line="240" w:lineRule="exact"/>
        <w:jc w:val="left"/>
        <w:rPr>
          <w:rFonts w:ascii="Arial" w:hAnsi="Arial" w:cs="Arial"/>
          <w:bCs/>
          <w:color w:val="000000"/>
          <w:sz w:val="16"/>
          <w:szCs w:val="16"/>
          <w:lang w:val="en-US"/>
        </w:rPr>
      </w:pPr>
      <w:r w:rsidRPr="00507C08">
        <w:rPr>
          <w:rFonts w:ascii="Arial" w:hAnsi="Arial" w:cs="Arial"/>
          <w:b/>
          <w:bCs/>
          <w:color w:val="000000"/>
          <w:sz w:val="18"/>
          <w:szCs w:val="18"/>
          <w:lang w:val="en-US"/>
        </w:rPr>
        <w:t>Department of Families, Housing, Community Services and Indigenous Affairs</w:t>
      </w:r>
    </w:p>
    <w:p w:rsidR="00232123" w:rsidRPr="008A60F8" w:rsidRDefault="00232123" w:rsidP="0040773D">
      <w:pPr>
        <w:pBdr>
          <w:left w:val="single" w:sz="4" w:space="4" w:color="auto"/>
          <w:bottom w:val="single" w:sz="4" w:space="1" w:color="auto"/>
          <w:right w:val="single" w:sz="4" w:space="4" w:color="auto"/>
        </w:pBdr>
        <w:spacing w:before="60" w:after="120" w:line="240" w:lineRule="exact"/>
        <w:jc w:val="left"/>
        <w:rPr>
          <w:rFonts w:ascii="Arial" w:hAnsi="Arial" w:cs="Arial"/>
          <w:bCs/>
          <w:color w:val="000000"/>
          <w:sz w:val="18"/>
          <w:szCs w:val="18"/>
          <w:lang w:val="en-US"/>
        </w:rPr>
      </w:pPr>
      <w:r w:rsidRPr="00DC6CEC">
        <w:rPr>
          <w:rFonts w:ascii="Arial" w:hAnsi="Arial" w:cs="Arial"/>
          <w:bCs/>
          <w:color w:val="000000"/>
          <w:sz w:val="18"/>
          <w:szCs w:val="18"/>
          <w:lang w:val="en-US"/>
        </w:rPr>
        <w:t xml:space="preserve">Secretary: </w:t>
      </w:r>
      <w:proofErr w:type="spellStart"/>
      <w:r w:rsidRPr="00DC6CEC">
        <w:rPr>
          <w:rFonts w:ascii="Arial" w:hAnsi="Arial" w:cs="Arial"/>
          <w:bCs/>
          <w:color w:val="000000"/>
          <w:sz w:val="18"/>
          <w:szCs w:val="18"/>
          <w:lang w:val="en-US"/>
        </w:rPr>
        <w:t>Mr</w:t>
      </w:r>
      <w:proofErr w:type="spellEnd"/>
      <w:r w:rsidRPr="00DC6CEC">
        <w:rPr>
          <w:rFonts w:ascii="Arial" w:hAnsi="Arial" w:cs="Arial"/>
          <w:bCs/>
          <w:color w:val="000000"/>
          <w:sz w:val="18"/>
          <w:szCs w:val="18"/>
          <w:lang w:val="en-US"/>
        </w:rPr>
        <w:t xml:space="preserve"> Finn Pratt</w:t>
      </w:r>
      <w:r>
        <w:rPr>
          <w:rFonts w:ascii="Arial" w:hAnsi="Arial" w:cs="Arial"/>
          <w:bCs/>
          <w:color w:val="000000"/>
          <w:sz w:val="18"/>
          <w:szCs w:val="18"/>
          <w:lang w:val="en-US"/>
        </w:rPr>
        <w:t xml:space="preserve"> PSM</w:t>
      </w:r>
    </w:p>
    <w:p w:rsidR="00232123" w:rsidRPr="00DC6CEC" w:rsidRDefault="00232123" w:rsidP="0040773D">
      <w:pPr>
        <w:pBdr>
          <w:left w:val="single" w:sz="4" w:space="4" w:color="auto"/>
          <w:bottom w:val="single" w:sz="4" w:space="1" w:color="auto"/>
          <w:right w:val="single" w:sz="4" w:space="4" w:color="auto"/>
        </w:pBdr>
        <w:spacing w:before="60" w:after="120" w:line="240" w:lineRule="exact"/>
        <w:jc w:val="left"/>
        <w:rPr>
          <w:rFonts w:ascii="Arial" w:hAnsi="Arial" w:cs="Arial"/>
          <w:bCs/>
          <w:color w:val="000000"/>
          <w:sz w:val="18"/>
          <w:szCs w:val="18"/>
          <w:lang w:val="en-US"/>
        </w:rPr>
      </w:pPr>
      <w:r w:rsidRPr="00DC6CEC">
        <w:rPr>
          <w:rFonts w:ascii="Arial" w:hAnsi="Arial" w:cs="Arial"/>
          <w:b/>
          <w:bCs/>
          <w:color w:val="000000"/>
          <w:sz w:val="18"/>
          <w:szCs w:val="18"/>
          <w:lang w:val="en-US"/>
        </w:rPr>
        <w:t>Outcome 1: Families and Children</w:t>
      </w:r>
      <w:r w:rsidRPr="00DC6CEC">
        <w:rPr>
          <w:rFonts w:ascii="Arial" w:hAnsi="Arial" w:cs="Arial"/>
          <w:bCs/>
          <w:color w:val="000000"/>
          <w:sz w:val="18"/>
          <w:szCs w:val="18"/>
          <w:lang w:val="en-US"/>
        </w:rPr>
        <w:t xml:space="preserve"> – Improved child development, safety and family functioning through support services for all Australians, payments for low and medium income families with children and child support policy.</w:t>
      </w:r>
    </w:p>
    <w:p w:rsidR="00232123" w:rsidRPr="00DC6CEC" w:rsidRDefault="00232123" w:rsidP="0040773D">
      <w:pPr>
        <w:pBdr>
          <w:left w:val="single" w:sz="4" w:space="4" w:color="auto"/>
          <w:bottom w:val="single" w:sz="4" w:space="1" w:color="auto"/>
          <w:right w:val="single" w:sz="4" w:space="4" w:color="auto"/>
        </w:pBdr>
        <w:spacing w:before="60" w:after="120" w:line="240" w:lineRule="exact"/>
        <w:jc w:val="left"/>
        <w:rPr>
          <w:rFonts w:ascii="Arial" w:hAnsi="Arial" w:cs="Arial"/>
          <w:bCs/>
          <w:color w:val="000000"/>
          <w:sz w:val="18"/>
          <w:szCs w:val="18"/>
          <w:lang w:val="en-US"/>
        </w:rPr>
      </w:pPr>
      <w:r w:rsidRPr="00DC6CEC">
        <w:rPr>
          <w:rFonts w:ascii="Arial" w:hAnsi="Arial" w:cs="Arial"/>
          <w:b/>
          <w:bCs/>
          <w:color w:val="000000"/>
          <w:sz w:val="18"/>
          <w:szCs w:val="18"/>
          <w:lang w:val="en-US"/>
        </w:rPr>
        <w:t>Outcome 2: Housing</w:t>
      </w:r>
      <w:r w:rsidRPr="00DC6CEC">
        <w:rPr>
          <w:rFonts w:ascii="Arial" w:hAnsi="Arial" w:cs="Arial"/>
          <w:bCs/>
          <w:color w:val="000000"/>
          <w:sz w:val="18"/>
          <w:szCs w:val="18"/>
          <w:lang w:val="en-US"/>
        </w:rPr>
        <w:t xml:space="preserve"> – Access to affordable, safe housing through: payments and support services; and rental subsidies to low and moderate income households.</w:t>
      </w:r>
    </w:p>
    <w:p w:rsidR="00232123" w:rsidRPr="00DC6CEC" w:rsidRDefault="00232123" w:rsidP="0040773D">
      <w:pPr>
        <w:pBdr>
          <w:left w:val="single" w:sz="4" w:space="4" w:color="auto"/>
          <w:bottom w:val="single" w:sz="4" w:space="1" w:color="auto"/>
          <w:right w:val="single" w:sz="4" w:space="4" w:color="auto"/>
        </w:pBdr>
        <w:spacing w:before="60" w:after="120" w:line="240" w:lineRule="exact"/>
        <w:jc w:val="left"/>
        <w:rPr>
          <w:rFonts w:ascii="Arial" w:hAnsi="Arial" w:cs="Arial"/>
          <w:bCs/>
          <w:color w:val="000000"/>
          <w:sz w:val="18"/>
          <w:szCs w:val="18"/>
          <w:lang w:val="en-US"/>
        </w:rPr>
      </w:pPr>
      <w:r w:rsidRPr="00DC6CEC">
        <w:rPr>
          <w:rFonts w:ascii="Arial" w:hAnsi="Arial" w:cs="Arial"/>
          <w:b/>
          <w:bCs/>
          <w:color w:val="000000"/>
          <w:sz w:val="18"/>
          <w:szCs w:val="18"/>
          <w:lang w:val="en-US"/>
        </w:rPr>
        <w:t>Outcome 3: Community Capability and the Vulnerable</w:t>
      </w:r>
      <w:r w:rsidRPr="00DC6CEC">
        <w:rPr>
          <w:rFonts w:ascii="Arial" w:hAnsi="Arial" w:cs="Arial"/>
          <w:bCs/>
          <w:color w:val="000000"/>
          <w:sz w:val="18"/>
          <w:szCs w:val="18"/>
          <w:lang w:val="en-US"/>
        </w:rPr>
        <w:t xml:space="preserve"> – Improved capacity for vulnerable people and communities to participate economically and socially and to manage life-transitions through payments, targeted support services and community capability building initiatives.</w:t>
      </w:r>
    </w:p>
    <w:p w:rsidR="00232123" w:rsidRPr="00DC6CEC" w:rsidRDefault="00232123" w:rsidP="0040773D">
      <w:pPr>
        <w:pBdr>
          <w:left w:val="single" w:sz="4" w:space="4" w:color="auto"/>
          <w:bottom w:val="single" w:sz="4" w:space="1" w:color="auto"/>
          <w:right w:val="single" w:sz="4" w:space="4" w:color="auto"/>
        </w:pBdr>
        <w:spacing w:before="60" w:after="120" w:line="240" w:lineRule="exact"/>
        <w:jc w:val="left"/>
        <w:rPr>
          <w:rFonts w:ascii="Arial" w:hAnsi="Arial" w:cs="Arial"/>
          <w:bCs/>
          <w:color w:val="000000"/>
          <w:sz w:val="18"/>
          <w:szCs w:val="18"/>
          <w:lang w:val="en-US"/>
        </w:rPr>
      </w:pPr>
      <w:r w:rsidRPr="00DC6CEC">
        <w:rPr>
          <w:rFonts w:ascii="Arial" w:hAnsi="Arial" w:cs="Arial"/>
          <w:b/>
          <w:bCs/>
          <w:color w:val="000000"/>
          <w:sz w:val="18"/>
          <w:szCs w:val="18"/>
          <w:lang w:val="en-US"/>
        </w:rPr>
        <w:t>Outcome 4: Seniors</w:t>
      </w:r>
      <w:r w:rsidRPr="00DC6CEC">
        <w:rPr>
          <w:rFonts w:ascii="Arial" w:hAnsi="Arial" w:cs="Arial"/>
          <w:bCs/>
          <w:color w:val="000000"/>
          <w:sz w:val="18"/>
          <w:szCs w:val="18"/>
          <w:lang w:val="en-US"/>
        </w:rPr>
        <w:t xml:space="preserve"> – An adequate standard of living and improved capacity to productively manage resources and life-transitions for senior Australians through the delivery of payments, concessions and information services.</w:t>
      </w:r>
    </w:p>
    <w:p w:rsidR="00232123" w:rsidRPr="00DC6CEC" w:rsidRDefault="00232123" w:rsidP="0040773D">
      <w:pPr>
        <w:pBdr>
          <w:left w:val="single" w:sz="4" w:space="4" w:color="auto"/>
          <w:bottom w:val="single" w:sz="4" w:space="1" w:color="auto"/>
          <w:right w:val="single" w:sz="4" w:space="4" w:color="auto"/>
        </w:pBdr>
        <w:spacing w:before="60" w:after="120" w:line="240" w:lineRule="exact"/>
        <w:jc w:val="left"/>
        <w:rPr>
          <w:rFonts w:ascii="Arial" w:hAnsi="Arial" w:cs="Arial"/>
          <w:bCs/>
          <w:color w:val="000000"/>
          <w:sz w:val="18"/>
          <w:szCs w:val="18"/>
          <w:lang w:val="en-US"/>
        </w:rPr>
      </w:pPr>
      <w:r w:rsidRPr="00DC6CEC">
        <w:rPr>
          <w:rFonts w:ascii="Arial" w:hAnsi="Arial" w:cs="Arial"/>
          <w:b/>
          <w:bCs/>
          <w:color w:val="000000"/>
          <w:sz w:val="18"/>
          <w:szCs w:val="18"/>
          <w:lang w:val="en-US"/>
        </w:rPr>
        <w:t xml:space="preserve">Outcome 5: Disability and </w:t>
      </w:r>
      <w:proofErr w:type="spellStart"/>
      <w:r w:rsidRPr="00DC6CEC">
        <w:rPr>
          <w:rFonts w:ascii="Arial" w:hAnsi="Arial" w:cs="Arial"/>
          <w:b/>
          <w:bCs/>
          <w:color w:val="000000"/>
          <w:sz w:val="18"/>
          <w:szCs w:val="18"/>
          <w:lang w:val="en-US"/>
        </w:rPr>
        <w:t>Carers</w:t>
      </w:r>
      <w:proofErr w:type="spellEnd"/>
      <w:r w:rsidRPr="00DC6CEC">
        <w:rPr>
          <w:rFonts w:ascii="Arial" w:hAnsi="Arial" w:cs="Arial"/>
          <w:bCs/>
          <w:color w:val="000000"/>
          <w:sz w:val="18"/>
          <w:szCs w:val="18"/>
          <w:lang w:val="en-US"/>
        </w:rPr>
        <w:t xml:space="preserve"> – An adequate standard of living, improved capacity to participate economically and socially and manage life-transitions for people with disability and/or mental illness and </w:t>
      </w:r>
      <w:proofErr w:type="spellStart"/>
      <w:r w:rsidRPr="00DC6CEC">
        <w:rPr>
          <w:rFonts w:ascii="Arial" w:hAnsi="Arial" w:cs="Arial"/>
          <w:bCs/>
          <w:color w:val="000000"/>
          <w:sz w:val="18"/>
          <w:szCs w:val="18"/>
          <w:lang w:val="en-US"/>
        </w:rPr>
        <w:t>carers</w:t>
      </w:r>
      <w:proofErr w:type="spellEnd"/>
      <w:r w:rsidRPr="00DC6CEC">
        <w:rPr>
          <w:rFonts w:ascii="Arial" w:hAnsi="Arial" w:cs="Arial"/>
          <w:bCs/>
          <w:color w:val="000000"/>
          <w:sz w:val="18"/>
          <w:szCs w:val="18"/>
          <w:lang w:val="en-US"/>
        </w:rPr>
        <w:t xml:space="preserve"> through payments, concessions, support and care services.</w:t>
      </w:r>
    </w:p>
    <w:p w:rsidR="00232123" w:rsidRPr="00DC6CEC" w:rsidRDefault="00232123" w:rsidP="0040773D">
      <w:pPr>
        <w:pBdr>
          <w:left w:val="single" w:sz="4" w:space="4" w:color="auto"/>
          <w:bottom w:val="single" w:sz="4" w:space="1" w:color="auto"/>
          <w:right w:val="single" w:sz="4" w:space="4" w:color="auto"/>
        </w:pBdr>
        <w:spacing w:before="60" w:after="120" w:line="240" w:lineRule="exact"/>
        <w:jc w:val="left"/>
        <w:rPr>
          <w:rFonts w:ascii="Arial" w:hAnsi="Arial" w:cs="Arial"/>
          <w:bCs/>
          <w:color w:val="000000"/>
          <w:sz w:val="18"/>
          <w:szCs w:val="18"/>
          <w:lang w:val="en-US"/>
        </w:rPr>
      </w:pPr>
      <w:r w:rsidRPr="00DC6CEC">
        <w:rPr>
          <w:rFonts w:ascii="Arial" w:hAnsi="Arial" w:cs="Arial"/>
          <w:b/>
          <w:bCs/>
          <w:color w:val="000000"/>
          <w:sz w:val="18"/>
          <w:szCs w:val="18"/>
          <w:lang w:val="en-US"/>
        </w:rPr>
        <w:t>Outcome 6: Women</w:t>
      </w:r>
      <w:r w:rsidRPr="00DC6CEC">
        <w:rPr>
          <w:rFonts w:ascii="Arial" w:hAnsi="Arial" w:cs="Arial"/>
          <w:bCs/>
          <w:color w:val="000000"/>
          <w:sz w:val="18"/>
          <w:szCs w:val="18"/>
          <w:lang w:val="en-US"/>
        </w:rPr>
        <w:t xml:space="preserve"> – Improved gender equality through coordinated whole of government advice and support for women’s economic security, safety and status.</w:t>
      </w:r>
    </w:p>
    <w:p w:rsidR="00675CEC" w:rsidRPr="00120BB5" w:rsidRDefault="00232123" w:rsidP="0040773D">
      <w:pPr>
        <w:pBdr>
          <w:left w:val="single" w:sz="4" w:space="4" w:color="auto"/>
          <w:bottom w:val="single" w:sz="4" w:space="1" w:color="auto"/>
          <w:right w:val="single" w:sz="4" w:space="4" w:color="auto"/>
        </w:pBdr>
        <w:spacing w:before="60" w:after="120" w:line="240" w:lineRule="exact"/>
        <w:jc w:val="left"/>
        <w:rPr>
          <w:rFonts w:ascii="Arial" w:hAnsi="Arial" w:cs="Arial"/>
          <w:bCs/>
          <w:color w:val="000000"/>
          <w:sz w:val="18"/>
          <w:szCs w:val="18"/>
          <w:lang w:val="en-US"/>
        </w:rPr>
      </w:pPr>
      <w:r w:rsidRPr="00DC6CEC">
        <w:rPr>
          <w:rFonts w:ascii="Arial" w:hAnsi="Arial" w:cs="Arial"/>
          <w:b/>
          <w:bCs/>
          <w:color w:val="000000"/>
          <w:sz w:val="18"/>
          <w:szCs w:val="18"/>
          <w:lang w:val="en-US"/>
        </w:rPr>
        <w:t>Outcome 7: Indigenous</w:t>
      </w:r>
      <w:r w:rsidRPr="00DC6CEC">
        <w:rPr>
          <w:rFonts w:ascii="Arial" w:hAnsi="Arial" w:cs="Arial"/>
          <w:bCs/>
          <w:color w:val="000000"/>
          <w:sz w:val="18"/>
          <w:szCs w:val="18"/>
          <w:lang w:val="en-US"/>
        </w:rPr>
        <w:t xml:space="preserve"> – Closing the gap in Indigenous disadvantage with improved wellbeing, capacity to participate economically and socially and to manage life-transitions for Indigenous Australians through Indigenous engagement, coordinated whole of government policy advice and target</w:t>
      </w:r>
      <w:r>
        <w:rPr>
          <w:rFonts w:ascii="Arial" w:hAnsi="Arial" w:cs="Arial"/>
          <w:bCs/>
          <w:color w:val="000000"/>
          <w:sz w:val="18"/>
          <w:szCs w:val="18"/>
          <w:lang w:val="en-US"/>
        </w:rPr>
        <w:t>ed</w:t>
      </w:r>
      <w:r w:rsidRPr="00DC6CEC">
        <w:rPr>
          <w:rFonts w:ascii="Arial" w:hAnsi="Arial" w:cs="Arial"/>
          <w:bCs/>
          <w:color w:val="000000"/>
          <w:sz w:val="18"/>
          <w:szCs w:val="18"/>
          <w:lang w:val="en-US"/>
        </w:rPr>
        <w:t xml:space="preserve"> support services.</w:t>
      </w:r>
    </w:p>
    <w:p w:rsidR="007452AA" w:rsidRDefault="00232123" w:rsidP="001015C2">
      <w:pPr>
        <w:pStyle w:val="FigureHeading"/>
      </w:pPr>
      <w:r>
        <w:br w:type="page"/>
      </w:r>
      <w:r w:rsidR="007452AA" w:rsidRPr="00421739">
        <w:lastRenderedPageBreak/>
        <w:t>Figure 1: Families, Housing, Community S</w:t>
      </w:r>
      <w:r w:rsidR="007452AA">
        <w:t>ervices and Indigenous Affairs p</w:t>
      </w:r>
      <w:r w:rsidR="007452AA" w:rsidRPr="00421739">
        <w:t xml:space="preserve">ortfolio structure and </w:t>
      </w:r>
      <w:r w:rsidR="007452AA" w:rsidRPr="001015C2">
        <w:t>outcomes</w:t>
      </w:r>
      <w:r w:rsidR="007452AA" w:rsidRPr="00421739">
        <w:t xml:space="preserve"> (continued)</w:t>
      </w:r>
    </w:p>
    <w:p w:rsidR="00120BB5" w:rsidRPr="00FF206D" w:rsidRDefault="00120BB5" w:rsidP="00FF206D">
      <w:pPr>
        <w:pBdr>
          <w:top w:val="single" w:sz="4" w:space="0" w:color="auto"/>
          <w:left w:val="single" w:sz="4" w:space="4" w:color="auto"/>
          <w:bottom w:val="single" w:sz="4" w:space="0" w:color="auto"/>
          <w:right w:val="single" w:sz="4" w:space="4" w:color="auto"/>
        </w:pBdr>
        <w:rPr>
          <w:rFonts w:ascii="Arial" w:hAnsi="Arial" w:cs="Arial"/>
          <w:sz w:val="18"/>
          <w:szCs w:val="18"/>
        </w:rPr>
      </w:pPr>
      <w:r w:rsidRPr="00FF206D">
        <w:rPr>
          <w:rFonts w:ascii="Arial" w:hAnsi="Arial" w:cs="Arial"/>
          <w:b/>
          <w:sz w:val="18"/>
          <w:szCs w:val="18"/>
        </w:rPr>
        <w:t>Aboriginal Hostels Limited</w:t>
      </w:r>
      <w:r w:rsidRPr="00FF206D">
        <w:rPr>
          <w:rFonts w:ascii="Arial" w:hAnsi="Arial" w:cs="Arial"/>
          <w:sz w:val="18"/>
          <w:szCs w:val="18"/>
        </w:rPr>
        <w:tab/>
      </w:r>
      <w:r w:rsidRPr="00FF206D">
        <w:rPr>
          <w:rFonts w:ascii="Arial" w:hAnsi="Arial" w:cs="Arial"/>
          <w:sz w:val="18"/>
          <w:szCs w:val="18"/>
        </w:rPr>
        <w:tab/>
        <w:t>Chief Executive Officer: Ms Joy Savage</w:t>
      </w:r>
    </w:p>
    <w:p w:rsidR="00120BB5" w:rsidRDefault="00120BB5" w:rsidP="00FF206D">
      <w:pPr>
        <w:pBdr>
          <w:top w:val="single" w:sz="4" w:space="0" w:color="auto"/>
          <w:left w:val="single" w:sz="4" w:space="4" w:color="auto"/>
          <w:bottom w:val="single" w:sz="4" w:space="0" w:color="auto"/>
          <w:right w:val="single" w:sz="4" w:space="4" w:color="auto"/>
        </w:pBdr>
        <w:spacing w:after="0"/>
        <w:rPr>
          <w:rFonts w:ascii="Arial" w:hAnsi="Arial" w:cs="Arial"/>
          <w:sz w:val="18"/>
          <w:szCs w:val="18"/>
        </w:rPr>
      </w:pPr>
      <w:r w:rsidRPr="00FF206D">
        <w:rPr>
          <w:rFonts w:ascii="Arial" w:hAnsi="Arial" w:cs="Arial"/>
          <w:b/>
          <w:sz w:val="18"/>
          <w:szCs w:val="18"/>
        </w:rPr>
        <w:t>Outcome:</w:t>
      </w:r>
      <w:r w:rsidRPr="00FF206D">
        <w:rPr>
          <w:rFonts w:ascii="Arial" w:hAnsi="Arial" w:cs="Arial"/>
          <w:sz w:val="18"/>
          <w:szCs w:val="18"/>
        </w:rPr>
        <w:t xml:space="preserve"> Improved access to education, employment, health and other services for Aboriginal and Torres Strait Islander people travelling or relocating through the operation of temporary hostel accommodation services. </w:t>
      </w:r>
    </w:p>
    <w:p w:rsidR="00120BB5" w:rsidRPr="00FF206D" w:rsidRDefault="00120BB5" w:rsidP="00BA1221">
      <w:pPr>
        <w:pBdr>
          <w:left w:val="single" w:sz="4" w:space="4" w:color="auto"/>
          <w:bottom w:val="single" w:sz="4" w:space="1" w:color="auto"/>
          <w:right w:val="single" w:sz="4" w:space="4" w:color="auto"/>
        </w:pBdr>
        <w:rPr>
          <w:rFonts w:ascii="Arial" w:hAnsi="Arial" w:cs="Arial"/>
          <w:sz w:val="18"/>
          <w:szCs w:val="18"/>
        </w:rPr>
      </w:pPr>
      <w:r w:rsidRPr="00FF206D">
        <w:rPr>
          <w:rFonts w:ascii="Arial" w:hAnsi="Arial" w:cs="Arial"/>
          <w:b/>
          <w:sz w:val="18"/>
          <w:szCs w:val="18"/>
        </w:rPr>
        <w:t>Australian Institute of Family Studies</w:t>
      </w:r>
      <w:r w:rsidRPr="00FF206D">
        <w:rPr>
          <w:rFonts w:ascii="Arial" w:hAnsi="Arial" w:cs="Arial"/>
          <w:sz w:val="18"/>
          <w:szCs w:val="18"/>
        </w:rPr>
        <w:tab/>
        <w:t>Director: Professor Alan Hayes</w:t>
      </w:r>
      <w:r w:rsidR="00B758C3" w:rsidRPr="00FF206D">
        <w:rPr>
          <w:rFonts w:ascii="Arial" w:hAnsi="Arial" w:cs="Arial"/>
          <w:sz w:val="18"/>
          <w:szCs w:val="18"/>
        </w:rPr>
        <w:t xml:space="preserve"> AM</w:t>
      </w:r>
    </w:p>
    <w:p w:rsidR="00FF206D" w:rsidRPr="00FF206D" w:rsidRDefault="00120BB5" w:rsidP="00FF206D">
      <w:pPr>
        <w:pBdr>
          <w:left w:val="single" w:sz="4" w:space="4" w:color="auto"/>
          <w:bottom w:val="single" w:sz="4" w:space="1" w:color="auto"/>
          <w:right w:val="single" w:sz="4" w:space="4" w:color="auto"/>
        </w:pBdr>
        <w:spacing w:after="0"/>
        <w:rPr>
          <w:rFonts w:ascii="Arial" w:hAnsi="Arial" w:cs="Arial"/>
          <w:sz w:val="18"/>
          <w:szCs w:val="18"/>
        </w:rPr>
      </w:pPr>
      <w:r w:rsidRPr="00BA1221">
        <w:rPr>
          <w:rFonts w:ascii="Arial" w:hAnsi="Arial" w:cs="Arial"/>
          <w:b/>
          <w:sz w:val="18"/>
          <w:szCs w:val="18"/>
        </w:rPr>
        <w:t>Outcome:</w:t>
      </w:r>
      <w:r w:rsidRPr="00FF206D">
        <w:rPr>
          <w:rFonts w:ascii="Arial" w:hAnsi="Arial" w:cs="Arial"/>
          <w:sz w:val="18"/>
          <w:szCs w:val="18"/>
        </w:rPr>
        <w:t xml:space="preserve"> To increase understanding of factors affecting how Australian families function by conducting research and communicating findings to policy-makers, service providers and the broader community. </w:t>
      </w:r>
    </w:p>
    <w:p w:rsidR="00381DC2" w:rsidRPr="00FF206D" w:rsidRDefault="004E564F" w:rsidP="00BA1221">
      <w:pPr>
        <w:pBdr>
          <w:left w:val="single" w:sz="4" w:space="4" w:color="auto"/>
          <w:right w:val="single" w:sz="4" w:space="4" w:color="auto"/>
        </w:pBdr>
        <w:rPr>
          <w:rFonts w:ascii="Arial" w:hAnsi="Arial" w:cs="Arial"/>
          <w:sz w:val="18"/>
          <w:szCs w:val="18"/>
        </w:rPr>
      </w:pPr>
      <w:proofErr w:type="spellStart"/>
      <w:r w:rsidRPr="00FF206D">
        <w:rPr>
          <w:rFonts w:ascii="Arial" w:hAnsi="Arial" w:cs="Arial"/>
          <w:b/>
          <w:sz w:val="18"/>
          <w:szCs w:val="18"/>
        </w:rPr>
        <w:t>DisabilityCare</w:t>
      </w:r>
      <w:proofErr w:type="spellEnd"/>
      <w:r w:rsidRPr="00FF206D">
        <w:rPr>
          <w:rFonts w:ascii="Arial" w:hAnsi="Arial" w:cs="Arial"/>
          <w:b/>
          <w:sz w:val="18"/>
          <w:szCs w:val="18"/>
        </w:rPr>
        <w:t xml:space="preserve"> Australia</w:t>
      </w:r>
      <w:r w:rsidR="00D564CF" w:rsidRPr="00FF206D">
        <w:rPr>
          <w:rFonts w:ascii="Arial" w:hAnsi="Arial" w:cs="Arial"/>
          <w:sz w:val="18"/>
          <w:szCs w:val="18"/>
        </w:rPr>
        <w:tab/>
      </w:r>
      <w:r w:rsidR="00D564CF" w:rsidRPr="00FF206D">
        <w:rPr>
          <w:rFonts w:ascii="Arial" w:hAnsi="Arial" w:cs="Arial"/>
          <w:sz w:val="18"/>
          <w:szCs w:val="18"/>
        </w:rPr>
        <w:tab/>
      </w:r>
      <w:r w:rsidR="00D564CF" w:rsidRPr="00FF206D">
        <w:rPr>
          <w:rFonts w:ascii="Arial" w:hAnsi="Arial" w:cs="Arial"/>
          <w:sz w:val="18"/>
          <w:szCs w:val="18"/>
        </w:rPr>
        <w:tab/>
      </w:r>
      <w:r w:rsidR="00381DC2" w:rsidRPr="00FF206D">
        <w:rPr>
          <w:rFonts w:ascii="Arial" w:hAnsi="Arial" w:cs="Arial"/>
          <w:sz w:val="18"/>
          <w:szCs w:val="18"/>
        </w:rPr>
        <w:t xml:space="preserve">Chief Executive Officer: </w:t>
      </w:r>
      <w:r w:rsidR="00593578" w:rsidRPr="00FF206D">
        <w:rPr>
          <w:rFonts w:ascii="Arial" w:hAnsi="Arial" w:cs="Arial"/>
          <w:sz w:val="18"/>
          <w:szCs w:val="18"/>
        </w:rPr>
        <w:t xml:space="preserve">Mr </w:t>
      </w:r>
      <w:r w:rsidRPr="00FF206D">
        <w:rPr>
          <w:rFonts w:ascii="Arial" w:hAnsi="Arial" w:cs="Arial"/>
          <w:sz w:val="18"/>
          <w:szCs w:val="18"/>
        </w:rPr>
        <w:t>David Bowen</w:t>
      </w:r>
    </w:p>
    <w:p w:rsidR="00381DC2" w:rsidRPr="00FF206D" w:rsidRDefault="00381DC2" w:rsidP="00BA1221">
      <w:pPr>
        <w:pBdr>
          <w:left w:val="single" w:sz="4" w:space="4" w:color="auto"/>
          <w:right w:val="single" w:sz="4" w:space="4" w:color="auto"/>
        </w:pBdr>
        <w:spacing w:after="0"/>
        <w:rPr>
          <w:rFonts w:ascii="Arial" w:hAnsi="Arial" w:cs="Arial"/>
          <w:sz w:val="18"/>
          <w:szCs w:val="18"/>
        </w:rPr>
      </w:pPr>
      <w:r w:rsidRPr="00BA1221">
        <w:rPr>
          <w:rFonts w:ascii="Arial" w:hAnsi="Arial" w:cs="Arial"/>
          <w:b/>
          <w:sz w:val="18"/>
          <w:szCs w:val="18"/>
        </w:rPr>
        <w:t>Outcome</w:t>
      </w:r>
      <w:r w:rsidRPr="00FF206D">
        <w:rPr>
          <w:rFonts w:ascii="Arial" w:hAnsi="Arial" w:cs="Arial"/>
          <w:sz w:val="18"/>
          <w:szCs w:val="18"/>
        </w:rPr>
        <w:t xml:space="preserve">: </w:t>
      </w:r>
      <w:r w:rsidR="004E564F" w:rsidRPr="00FF206D">
        <w:rPr>
          <w:rFonts w:ascii="Arial" w:hAnsi="Arial" w:cs="Arial"/>
          <w:sz w:val="18"/>
          <w:szCs w:val="18"/>
        </w:rPr>
        <w:t xml:space="preserve">To implement a National Disability Insurance Scheme, </w:t>
      </w:r>
      <w:proofErr w:type="spellStart"/>
      <w:r w:rsidR="004E564F" w:rsidRPr="00FF206D">
        <w:rPr>
          <w:rFonts w:ascii="Arial" w:hAnsi="Arial" w:cs="Arial"/>
          <w:sz w:val="18"/>
          <w:szCs w:val="18"/>
        </w:rPr>
        <w:t>DisabilityCare</w:t>
      </w:r>
      <w:proofErr w:type="spellEnd"/>
      <w:r w:rsidR="004E564F" w:rsidRPr="00FF206D">
        <w:rPr>
          <w:rFonts w:ascii="Arial" w:hAnsi="Arial" w:cs="Arial"/>
          <w:sz w:val="18"/>
          <w:szCs w:val="18"/>
        </w:rPr>
        <w:t xml:space="preserve"> Australia, that provides individual control and choice in the delivery of reasonable and necessary care and supports to improve the independence, social and economic participation of eligible people with disability, their families and carers, and associated referral services and activities.</w:t>
      </w:r>
    </w:p>
    <w:p w:rsidR="00120BB5" w:rsidRPr="00FF206D" w:rsidRDefault="00120BB5" w:rsidP="00BA1221">
      <w:pPr>
        <w:pBdr>
          <w:top w:val="single" w:sz="4" w:space="1" w:color="auto"/>
          <w:left w:val="single" w:sz="4" w:space="4" w:color="auto"/>
          <w:bottom w:val="single" w:sz="4" w:space="1" w:color="auto"/>
          <w:right w:val="single" w:sz="4" w:space="4" w:color="auto"/>
        </w:pBdr>
        <w:rPr>
          <w:rFonts w:ascii="Arial" w:hAnsi="Arial" w:cs="Arial"/>
          <w:sz w:val="18"/>
          <w:szCs w:val="18"/>
        </w:rPr>
      </w:pPr>
      <w:r w:rsidRPr="00BA1221">
        <w:rPr>
          <w:rFonts w:ascii="Arial" w:hAnsi="Arial" w:cs="Arial"/>
          <w:b/>
          <w:sz w:val="18"/>
          <w:szCs w:val="18"/>
        </w:rPr>
        <w:t>Indigenous Business Australia</w:t>
      </w:r>
      <w:r w:rsidRPr="00FF206D">
        <w:rPr>
          <w:rFonts w:ascii="Arial" w:hAnsi="Arial" w:cs="Arial"/>
          <w:sz w:val="18"/>
          <w:szCs w:val="18"/>
        </w:rPr>
        <w:tab/>
      </w:r>
      <w:r w:rsidRPr="00FF206D">
        <w:rPr>
          <w:rFonts w:ascii="Arial" w:hAnsi="Arial" w:cs="Arial"/>
          <w:sz w:val="18"/>
          <w:szCs w:val="18"/>
        </w:rPr>
        <w:tab/>
        <w:t>Chief Executive Officer: Mr Christopher Fry</w:t>
      </w:r>
    </w:p>
    <w:p w:rsidR="00120BB5" w:rsidRDefault="00120BB5" w:rsidP="00BA1221">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r w:rsidRPr="00BA1221">
        <w:rPr>
          <w:rFonts w:ascii="Arial" w:hAnsi="Arial" w:cs="Arial"/>
          <w:b/>
          <w:sz w:val="18"/>
          <w:szCs w:val="18"/>
        </w:rPr>
        <w:t>Outcome:</w:t>
      </w:r>
      <w:r w:rsidRPr="00FF206D">
        <w:rPr>
          <w:rFonts w:ascii="Arial" w:hAnsi="Arial" w:cs="Arial"/>
          <w:sz w:val="18"/>
          <w:szCs w:val="18"/>
        </w:rPr>
        <w:t xml:space="preserve"> Improved wealth acquisition to support the economic independence of Aboriginal and Torres Strait Islander peoples through commercial enterprise, asset acquisition, construction and access to concessional home and business loans.</w:t>
      </w:r>
    </w:p>
    <w:p w:rsidR="00120BB5" w:rsidRPr="00FF206D" w:rsidRDefault="00120BB5" w:rsidP="00BA1221">
      <w:pPr>
        <w:pBdr>
          <w:left w:val="single" w:sz="4" w:space="4" w:color="auto"/>
          <w:bottom w:val="single" w:sz="4" w:space="1" w:color="auto"/>
          <w:right w:val="single" w:sz="4" w:space="4" w:color="auto"/>
        </w:pBdr>
        <w:rPr>
          <w:rFonts w:ascii="Arial" w:hAnsi="Arial" w:cs="Arial"/>
          <w:sz w:val="18"/>
          <w:szCs w:val="18"/>
        </w:rPr>
      </w:pPr>
      <w:r w:rsidRPr="00BA1221">
        <w:rPr>
          <w:rFonts w:ascii="Arial" w:hAnsi="Arial" w:cs="Arial"/>
          <w:b/>
          <w:sz w:val="18"/>
          <w:szCs w:val="18"/>
        </w:rPr>
        <w:t>Indigenous Land Corporation</w:t>
      </w:r>
      <w:r w:rsidRPr="00FF206D">
        <w:rPr>
          <w:rFonts w:ascii="Arial" w:hAnsi="Arial" w:cs="Arial"/>
          <w:sz w:val="18"/>
          <w:szCs w:val="18"/>
        </w:rPr>
        <w:tab/>
      </w:r>
      <w:r w:rsidRPr="00FF206D">
        <w:rPr>
          <w:rFonts w:ascii="Arial" w:hAnsi="Arial" w:cs="Arial"/>
          <w:sz w:val="18"/>
          <w:szCs w:val="18"/>
        </w:rPr>
        <w:tab/>
      </w:r>
      <w:r w:rsidR="00BD36E3" w:rsidRPr="00FF206D">
        <w:rPr>
          <w:rFonts w:ascii="Arial" w:hAnsi="Arial" w:cs="Arial"/>
          <w:sz w:val="18"/>
          <w:szCs w:val="18"/>
        </w:rPr>
        <w:t xml:space="preserve">Acting </w:t>
      </w:r>
      <w:r w:rsidRPr="00FF206D">
        <w:rPr>
          <w:rFonts w:ascii="Arial" w:hAnsi="Arial" w:cs="Arial"/>
          <w:sz w:val="18"/>
          <w:szCs w:val="18"/>
        </w:rPr>
        <w:t xml:space="preserve">Chief Executive Officer: Mr </w:t>
      </w:r>
      <w:r w:rsidR="00E7665E" w:rsidRPr="00FF206D">
        <w:rPr>
          <w:rFonts w:ascii="Arial" w:hAnsi="Arial" w:cs="Arial"/>
          <w:sz w:val="18"/>
          <w:szCs w:val="18"/>
        </w:rPr>
        <w:t xml:space="preserve">Bruce </w:t>
      </w:r>
      <w:proofErr w:type="spellStart"/>
      <w:r w:rsidR="00E7665E" w:rsidRPr="00FF206D">
        <w:rPr>
          <w:rFonts w:ascii="Arial" w:hAnsi="Arial" w:cs="Arial"/>
          <w:sz w:val="18"/>
          <w:szCs w:val="18"/>
        </w:rPr>
        <w:t>Gemmell</w:t>
      </w:r>
      <w:proofErr w:type="spellEnd"/>
    </w:p>
    <w:p w:rsidR="00120BB5" w:rsidRPr="00FF206D" w:rsidRDefault="00120BB5" w:rsidP="00BA1221">
      <w:pPr>
        <w:pBdr>
          <w:left w:val="single" w:sz="4" w:space="4" w:color="auto"/>
          <w:bottom w:val="single" w:sz="4" w:space="1" w:color="auto"/>
          <w:right w:val="single" w:sz="4" w:space="4" w:color="auto"/>
        </w:pBdr>
        <w:spacing w:after="0"/>
        <w:rPr>
          <w:rFonts w:ascii="Arial" w:hAnsi="Arial" w:cs="Arial"/>
          <w:sz w:val="18"/>
          <w:szCs w:val="18"/>
        </w:rPr>
      </w:pPr>
      <w:r w:rsidRPr="00BA1221">
        <w:rPr>
          <w:rFonts w:ascii="Arial" w:hAnsi="Arial" w:cs="Arial"/>
          <w:b/>
          <w:sz w:val="18"/>
          <w:szCs w:val="18"/>
        </w:rPr>
        <w:t>Outcome:</w:t>
      </w:r>
      <w:r w:rsidRPr="00FF206D">
        <w:rPr>
          <w:rFonts w:ascii="Arial" w:hAnsi="Arial" w:cs="Arial"/>
          <w:sz w:val="18"/>
          <w:szCs w:val="18"/>
        </w:rPr>
        <w:t xml:space="preserve"> Enhanced socio-economic development, maintenance of cultural identity and protection of the environment by Indigenous Australians through land acquisition and management.</w:t>
      </w:r>
    </w:p>
    <w:p w:rsidR="00120BB5" w:rsidRPr="00BA1221" w:rsidRDefault="00120BB5" w:rsidP="00BA1221">
      <w:pPr>
        <w:pBdr>
          <w:left w:val="single" w:sz="4" w:space="4" w:color="auto"/>
          <w:right w:val="single" w:sz="4" w:space="4" w:color="auto"/>
        </w:pBdr>
        <w:rPr>
          <w:rFonts w:ascii="Arial" w:hAnsi="Arial" w:cs="Arial"/>
          <w:b/>
          <w:sz w:val="18"/>
          <w:szCs w:val="18"/>
        </w:rPr>
      </w:pPr>
      <w:r w:rsidRPr="00BA1221">
        <w:rPr>
          <w:rFonts w:ascii="Arial" w:hAnsi="Arial" w:cs="Arial"/>
          <w:b/>
          <w:sz w:val="18"/>
          <w:szCs w:val="18"/>
        </w:rPr>
        <w:t>Northern Territory Land Councils</w:t>
      </w:r>
    </w:p>
    <w:p w:rsidR="00E7665E" w:rsidRPr="00FF206D" w:rsidRDefault="00FD7973" w:rsidP="00BA1221">
      <w:pPr>
        <w:pBdr>
          <w:left w:val="single" w:sz="4" w:space="4" w:color="auto"/>
          <w:right w:val="single" w:sz="4" w:space="4" w:color="auto"/>
        </w:pBdr>
        <w:spacing w:after="0"/>
        <w:rPr>
          <w:rFonts w:ascii="Arial" w:hAnsi="Arial" w:cs="Arial"/>
          <w:sz w:val="18"/>
          <w:szCs w:val="18"/>
        </w:rPr>
      </w:pPr>
      <w:proofErr w:type="spellStart"/>
      <w:r w:rsidRPr="00FF206D">
        <w:rPr>
          <w:rFonts w:ascii="Arial" w:hAnsi="Arial" w:cs="Arial"/>
          <w:sz w:val="18"/>
          <w:szCs w:val="18"/>
        </w:rPr>
        <w:t>Anindilyakwa</w:t>
      </w:r>
      <w:proofErr w:type="spellEnd"/>
      <w:r w:rsidRPr="00FF206D">
        <w:rPr>
          <w:rFonts w:ascii="Arial" w:hAnsi="Arial" w:cs="Arial"/>
          <w:sz w:val="18"/>
          <w:szCs w:val="18"/>
        </w:rPr>
        <w:t xml:space="preserve"> </w:t>
      </w:r>
      <w:r w:rsidR="00D564CF" w:rsidRPr="00FF206D">
        <w:rPr>
          <w:rFonts w:ascii="Arial" w:hAnsi="Arial" w:cs="Arial"/>
          <w:sz w:val="18"/>
          <w:szCs w:val="18"/>
        </w:rPr>
        <w:t xml:space="preserve">Land Council </w:t>
      </w:r>
      <w:r w:rsidR="00D564CF" w:rsidRPr="00FF206D">
        <w:rPr>
          <w:rFonts w:ascii="Arial" w:hAnsi="Arial" w:cs="Arial"/>
          <w:sz w:val="18"/>
          <w:szCs w:val="18"/>
        </w:rPr>
        <w:tab/>
      </w:r>
      <w:r w:rsidR="00D564CF" w:rsidRPr="00FF206D">
        <w:rPr>
          <w:rFonts w:ascii="Arial" w:hAnsi="Arial" w:cs="Arial"/>
          <w:sz w:val="18"/>
          <w:szCs w:val="18"/>
        </w:rPr>
        <w:tab/>
        <w:t>Chief Executive Officer: Mr Mark Hewitt</w:t>
      </w:r>
    </w:p>
    <w:p w:rsidR="00D564CF" w:rsidRPr="00FF206D" w:rsidRDefault="00D564CF" w:rsidP="00BA1221">
      <w:pPr>
        <w:pBdr>
          <w:left w:val="single" w:sz="4" w:space="4" w:color="auto"/>
          <w:right w:val="single" w:sz="4" w:space="4" w:color="auto"/>
        </w:pBdr>
        <w:spacing w:after="0"/>
        <w:rPr>
          <w:rFonts w:ascii="Arial" w:hAnsi="Arial" w:cs="Arial"/>
          <w:sz w:val="18"/>
          <w:szCs w:val="18"/>
        </w:rPr>
      </w:pPr>
      <w:r w:rsidRPr="00FF206D">
        <w:rPr>
          <w:rFonts w:ascii="Arial" w:hAnsi="Arial" w:cs="Arial"/>
          <w:sz w:val="18"/>
          <w:szCs w:val="18"/>
        </w:rPr>
        <w:t>Central Land Council</w:t>
      </w:r>
      <w:r w:rsidRPr="00FF206D">
        <w:rPr>
          <w:rFonts w:ascii="Arial" w:hAnsi="Arial" w:cs="Arial"/>
          <w:sz w:val="18"/>
          <w:szCs w:val="18"/>
        </w:rPr>
        <w:tab/>
      </w:r>
      <w:r w:rsidRPr="00FF206D">
        <w:rPr>
          <w:rFonts w:ascii="Arial" w:hAnsi="Arial" w:cs="Arial"/>
          <w:sz w:val="18"/>
          <w:szCs w:val="18"/>
        </w:rPr>
        <w:tab/>
      </w:r>
      <w:r w:rsidRPr="00FF206D">
        <w:rPr>
          <w:rFonts w:ascii="Arial" w:hAnsi="Arial" w:cs="Arial"/>
          <w:sz w:val="18"/>
          <w:szCs w:val="18"/>
        </w:rPr>
        <w:tab/>
        <w:t>Chief Executive Officer: Mr David Ross</w:t>
      </w:r>
    </w:p>
    <w:p w:rsidR="00120BB5" w:rsidRPr="00FF206D" w:rsidRDefault="00FD7973" w:rsidP="00BA1221">
      <w:pPr>
        <w:pBdr>
          <w:left w:val="single" w:sz="4" w:space="4" w:color="auto"/>
          <w:right w:val="single" w:sz="4" w:space="4" w:color="auto"/>
        </w:pBdr>
        <w:spacing w:after="0"/>
        <w:rPr>
          <w:rFonts w:ascii="Arial" w:hAnsi="Arial" w:cs="Arial"/>
          <w:sz w:val="18"/>
          <w:szCs w:val="18"/>
        </w:rPr>
      </w:pPr>
      <w:r w:rsidRPr="00FF206D">
        <w:rPr>
          <w:rFonts w:ascii="Arial" w:hAnsi="Arial" w:cs="Arial"/>
          <w:sz w:val="18"/>
          <w:szCs w:val="18"/>
        </w:rPr>
        <w:t xml:space="preserve">Northern </w:t>
      </w:r>
      <w:r w:rsidR="00E7665E" w:rsidRPr="00FF206D">
        <w:rPr>
          <w:rFonts w:ascii="Arial" w:hAnsi="Arial" w:cs="Arial"/>
          <w:sz w:val="18"/>
          <w:szCs w:val="18"/>
        </w:rPr>
        <w:t>Land Council</w:t>
      </w:r>
      <w:r w:rsidR="00E7665E" w:rsidRPr="00FF206D">
        <w:rPr>
          <w:rFonts w:ascii="Arial" w:hAnsi="Arial" w:cs="Arial"/>
          <w:sz w:val="18"/>
          <w:szCs w:val="18"/>
        </w:rPr>
        <w:tab/>
      </w:r>
      <w:r w:rsidR="00E7665E" w:rsidRPr="00FF206D">
        <w:rPr>
          <w:rFonts w:ascii="Arial" w:hAnsi="Arial" w:cs="Arial"/>
          <w:sz w:val="18"/>
          <w:szCs w:val="18"/>
        </w:rPr>
        <w:tab/>
      </w:r>
      <w:r w:rsidR="00E7665E" w:rsidRPr="00FF206D">
        <w:rPr>
          <w:rFonts w:ascii="Arial" w:hAnsi="Arial" w:cs="Arial"/>
          <w:sz w:val="18"/>
          <w:szCs w:val="18"/>
        </w:rPr>
        <w:tab/>
      </w:r>
      <w:r w:rsidR="00D564CF" w:rsidRPr="00FF206D">
        <w:rPr>
          <w:rFonts w:ascii="Arial" w:hAnsi="Arial" w:cs="Arial"/>
          <w:sz w:val="18"/>
          <w:szCs w:val="18"/>
        </w:rPr>
        <w:t>Acting Chief Executive Officer: Mr Robert Graham</w:t>
      </w:r>
    </w:p>
    <w:p w:rsidR="00D564CF" w:rsidRPr="00FF206D" w:rsidRDefault="00D564CF" w:rsidP="003A2EEE">
      <w:pPr>
        <w:pBdr>
          <w:left w:val="single" w:sz="4" w:space="4" w:color="auto"/>
          <w:right w:val="single" w:sz="4" w:space="4" w:color="auto"/>
        </w:pBdr>
        <w:rPr>
          <w:rFonts w:ascii="Arial" w:hAnsi="Arial" w:cs="Arial"/>
          <w:sz w:val="18"/>
          <w:szCs w:val="18"/>
        </w:rPr>
      </w:pPr>
      <w:r w:rsidRPr="00FF206D">
        <w:rPr>
          <w:rFonts w:ascii="Arial" w:hAnsi="Arial" w:cs="Arial"/>
          <w:sz w:val="18"/>
          <w:szCs w:val="18"/>
        </w:rPr>
        <w:t>Tiwi Land Council</w:t>
      </w:r>
      <w:r w:rsidRPr="00FF206D">
        <w:rPr>
          <w:rFonts w:ascii="Arial" w:hAnsi="Arial" w:cs="Arial"/>
          <w:sz w:val="18"/>
          <w:szCs w:val="18"/>
        </w:rPr>
        <w:tab/>
      </w:r>
      <w:r w:rsidRPr="00FF206D">
        <w:rPr>
          <w:rFonts w:ascii="Arial" w:hAnsi="Arial" w:cs="Arial"/>
          <w:sz w:val="18"/>
          <w:szCs w:val="18"/>
        </w:rPr>
        <w:tab/>
      </w:r>
      <w:r w:rsidRPr="00FF206D">
        <w:rPr>
          <w:rFonts w:ascii="Arial" w:hAnsi="Arial" w:cs="Arial"/>
          <w:sz w:val="18"/>
          <w:szCs w:val="18"/>
        </w:rPr>
        <w:tab/>
      </w:r>
      <w:r w:rsidRPr="00FF206D">
        <w:rPr>
          <w:rFonts w:ascii="Arial" w:hAnsi="Arial" w:cs="Arial"/>
          <w:sz w:val="18"/>
          <w:szCs w:val="18"/>
        </w:rPr>
        <w:tab/>
        <w:t>Chief Executive Officer: Mr John S Hicks</w:t>
      </w:r>
    </w:p>
    <w:p w:rsidR="00120BB5" w:rsidRPr="00FF206D" w:rsidRDefault="00120BB5" w:rsidP="00BA1221">
      <w:pPr>
        <w:pBdr>
          <w:left w:val="single" w:sz="4" w:space="4" w:color="auto"/>
          <w:right w:val="single" w:sz="4" w:space="4" w:color="auto"/>
        </w:pBdr>
        <w:spacing w:after="0"/>
        <w:rPr>
          <w:rFonts w:ascii="Arial" w:hAnsi="Arial" w:cs="Arial"/>
          <w:sz w:val="18"/>
          <w:szCs w:val="18"/>
        </w:rPr>
      </w:pPr>
      <w:r w:rsidRPr="00BA1221">
        <w:rPr>
          <w:rFonts w:ascii="Arial" w:hAnsi="Arial" w:cs="Arial"/>
          <w:b/>
          <w:sz w:val="18"/>
          <w:szCs w:val="18"/>
        </w:rPr>
        <w:t>Objective:</w:t>
      </w:r>
      <w:r w:rsidRPr="00FF206D">
        <w:rPr>
          <w:rFonts w:ascii="Arial" w:hAnsi="Arial" w:cs="Arial"/>
          <w:sz w:val="18"/>
          <w:szCs w:val="18"/>
        </w:rPr>
        <w:t xml:space="preserve"> Represent Aboriginal interests in various processes under the Aboriginal Land Rights (Northern Territory) Act 1976. The Central Land Council and Northern Land Council are Native Title Representative Bodies under the Native Title Act 1993.</w:t>
      </w:r>
    </w:p>
    <w:p w:rsidR="00120BB5" w:rsidRPr="00FF206D" w:rsidRDefault="00120BB5" w:rsidP="00BA1221">
      <w:pPr>
        <w:pBdr>
          <w:top w:val="single" w:sz="4" w:space="1" w:color="auto"/>
          <w:left w:val="single" w:sz="4" w:space="4" w:color="auto"/>
          <w:bottom w:val="single" w:sz="4" w:space="1" w:color="auto"/>
          <w:right w:val="single" w:sz="4" w:space="4" w:color="auto"/>
        </w:pBdr>
        <w:rPr>
          <w:rFonts w:ascii="Arial" w:hAnsi="Arial" w:cs="Arial"/>
          <w:sz w:val="18"/>
          <w:szCs w:val="18"/>
        </w:rPr>
      </w:pPr>
      <w:r w:rsidRPr="00BA1221">
        <w:rPr>
          <w:rFonts w:ascii="Arial" w:hAnsi="Arial" w:cs="Arial"/>
          <w:b/>
          <w:sz w:val="18"/>
          <w:szCs w:val="18"/>
        </w:rPr>
        <w:t>Outback Stores Pty Ltd</w:t>
      </w:r>
      <w:r w:rsidRPr="00FF206D">
        <w:rPr>
          <w:rFonts w:ascii="Arial" w:hAnsi="Arial" w:cs="Arial"/>
          <w:sz w:val="18"/>
          <w:szCs w:val="18"/>
        </w:rPr>
        <w:tab/>
      </w:r>
      <w:r w:rsidRPr="00FF206D">
        <w:rPr>
          <w:rFonts w:ascii="Arial" w:hAnsi="Arial" w:cs="Arial"/>
          <w:sz w:val="18"/>
          <w:szCs w:val="18"/>
        </w:rPr>
        <w:tab/>
      </w:r>
      <w:r w:rsidRPr="00FF206D">
        <w:rPr>
          <w:rFonts w:ascii="Arial" w:hAnsi="Arial" w:cs="Arial"/>
          <w:sz w:val="18"/>
          <w:szCs w:val="18"/>
        </w:rPr>
        <w:tab/>
        <w:t>Chief Executive Officer: Mr Steve Moore</w:t>
      </w:r>
    </w:p>
    <w:p w:rsidR="00120BB5" w:rsidRPr="00FF206D" w:rsidRDefault="00120BB5" w:rsidP="00BA1221">
      <w:pPr>
        <w:pBdr>
          <w:top w:val="single" w:sz="4" w:space="1" w:color="auto"/>
          <w:left w:val="single" w:sz="4" w:space="4" w:color="auto"/>
          <w:bottom w:val="single" w:sz="4" w:space="1" w:color="auto"/>
          <w:right w:val="single" w:sz="4" w:space="4" w:color="auto"/>
        </w:pBdr>
        <w:spacing w:after="0"/>
        <w:rPr>
          <w:rFonts w:ascii="Arial" w:hAnsi="Arial" w:cs="Arial"/>
          <w:sz w:val="18"/>
          <w:szCs w:val="18"/>
        </w:rPr>
      </w:pPr>
      <w:r w:rsidRPr="00BA1221">
        <w:rPr>
          <w:rFonts w:ascii="Arial" w:hAnsi="Arial" w:cs="Arial"/>
          <w:b/>
          <w:sz w:val="18"/>
          <w:szCs w:val="18"/>
        </w:rPr>
        <w:t>Objective:</w:t>
      </w:r>
      <w:r w:rsidRPr="00FF206D">
        <w:rPr>
          <w:rFonts w:ascii="Arial" w:hAnsi="Arial" w:cs="Arial"/>
          <w:sz w:val="18"/>
          <w:szCs w:val="18"/>
        </w:rPr>
        <w:t xml:space="preserve"> To improve access to affordable, healthy food for Indigenous communities, particularly in remote areas, through providing food supply and store management and support services. </w:t>
      </w:r>
    </w:p>
    <w:p w:rsidR="00FB27C6" w:rsidRDefault="00FB27C6" w:rsidP="001015C2">
      <w:pPr>
        <w:pStyle w:val="FigureHeading"/>
        <w:rPr>
          <w:lang w:val="en-US"/>
        </w:rPr>
      </w:pPr>
      <w:r>
        <w:rPr>
          <w:lang w:val="en-US"/>
        </w:rPr>
        <w:br w:type="page"/>
      </w:r>
      <w:r w:rsidRPr="00421739">
        <w:lastRenderedPageBreak/>
        <w:t>Figure 1: Families, Housing, Community S</w:t>
      </w:r>
      <w:r>
        <w:t>ervices and Indigenous Affairs p</w:t>
      </w:r>
      <w:r w:rsidRPr="00421739">
        <w:t>ortfolio structure and outcomes (continued)</w:t>
      </w:r>
    </w:p>
    <w:p w:rsidR="009C7722" w:rsidRDefault="00120BB5" w:rsidP="005A248A">
      <w:pPr>
        <w:pBdr>
          <w:top w:val="single" w:sz="4" w:space="1" w:color="auto"/>
          <w:left w:val="single" w:sz="4" w:space="4" w:color="auto"/>
          <w:right w:val="single" w:sz="4" w:space="4" w:color="auto"/>
        </w:pBdr>
        <w:rPr>
          <w:rFonts w:ascii="Arial" w:hAnsi="Arial" w:cs="Arial"/>
          <w:sz w:val="18"/>
          <w:szCs w:val="18"/>
        </w:rPr>
      </w:pPr>
      <w:r w:rsidRPr="009C7722">
        <w:rPr>
          <w:rFonts w:ascii="Arial" w:hAnsi="Arial" w:cs="Arial"/>
          <w:b/>
          <w:sz w:val="18"/>
          <w:szCs w:val="18"/>
        </w:rPr>
        <w:t>Social Security Appeals Tribunal</w:t>
      </w:r>
      <w:r w:rsidRPr="009C7722">
        <w:rPr>
          <w:rFonts w:ascii="Arial" w:hAnsi="Arial" w:cs="Arial"/>
          <w:sz w:val="18"/>
          <w:szCs w:val="18"/>
        </w:rPr>
        <w:tab/>
      </w:r>
      <w:r w:rsidRPr="009C7722">
        <w:rPr>
          <w:rFonts w:ascii="Arial" w:hAnsi="Arial" w:cs="Arial"/>
          <w:sz w:val="18"/>
          <w:szCs w:val="18"/>
        </w:rPr>
        <w:tab/>
        <w:t xml:space="preserve">Principal Member: Ms Jane </w:t>
      </w:r>
      <w:proofErr w:type="spellStart"/>
      <w:r w:rsidRPr="009C7722">
        <w:rPr>
          <w:rFonts w:ascii="Arial" w:hAnsi="Arial" w:cs="Arial"/>
          <w:sz w:val="18"/>
          <w:szCs w:val="18"/>
        </w:rPr>
        <w:t>Macdonnell</w:t>
      </w:r>
      <w:proofErr w:type="spellEnd"/>
    </w:p>
    <w:p w:rsidR="005A248A" w:rsidRDefault="00120BB5" w:rsidP="005A248A">
      <w:pPr>
        <w:pBdr>
          <w:top w:val="single" w:sz="4" w:space="1" w:color="auto"/>
          <w:left w:val="single" w:sz="4" w:space="4" w:color="auto"/>
          <w:right w:val="single" w:sz="4" w:space="4" w:color="auto"/>
        </w:pBdr>
        <w:spacing w:after="0"/>
        <w:rPr>
          <w:rFonts w:ascii="Arial" w:hAnsi="Arial" w:cs="Arial"/>
          <w:sz w:val="18"/>
          <w:szCs w:val="18"/>
        </w:rPr>
      </w:pPr>
      <w:r w:rsidRPr="009C7722">
        <w:rPr>
          <w:rFonts w:ascii="Arial" w:hAnsi="Arial" w:cs="Arial"/>
          <w:b/>
          <w:sz w:val="18"/>
          <w:szCs w:val="18"/>
        </w:rPr>
        <w:t>Objective:</w:t>
      </w:r>
      <w:r w:rsidRPr="009C7722">
        <w:rPr>
          <w:rFonts w:ascii="Arial" w:hAnsi="Arial" w:cs="Arial"/>
          <w:sz w:val="18"/>
          <w:szCs w:val="18"/>
        </w:rPr>
        <w:t xml:space="preserve"> Conduct merit reviews of administrative decisions made under a number of enactments, in particular the social security law, family assistance law and child support law.</w:t>
      </w:r>
    </w:p>
    <w:p w:rsidR="00120BB5" w:rsidRPr="009C7722" w:rsidRDefault="00120BB5" w:rsidP="005A248A">
      <w:pPr>
        <w:pBdr>
          <w:top w:val="single" w:sz="4" w:space="2" w:color="auto"/>
          <w:left w:val="single" w:sz="4" w:space="4" w:color="auto"/>
          <w:bottom w:val="single" w:sz="4" w:space="1" w:color="auto"/>
          <w:right w:val="single" w:sz="4" w:space="4" w:color="auto"/>
        </w:pBdr>
        <w:rPr>
          <w:rFonts w:ascii="Arial" w:hAnsi="Arial" w:cs="Arial"/>
          <w:sz w:val="18"/>
          <w:szCs w:val="18"/>
        </w:rPr>
      </w:pPr>
      <w:r w:rsidRPr="009C7722">
        <w:rPr>
          <w:rFonts w:ascii="Arial" w:hAnsi="Arial" w:cs="Arial"/>
          <w:b/>
          <w:sz w:val="18"/>
          <w:szCs w:val="18"/>
        </w:rPr>
        <w:t>Torres Strait Regional Authority</w:t>
      </w:r>
      <w:r w:rsidRPr="009C7722">
        <w:rPr>
          <w:rFonts w:ascii="Arial" w:hAnsi="Arial" w:cs="Arial"/>
          <w:sz w:val="18"/>
          <w:szCs w:val="18"/>
        </w:rPr>
        <w:tab/>
      </w:r>
      <w:r w:rsidRPr="009C7722">
        <w:rPr>
          <w:rFonts w:ascii="Arial" w:hAnsi="Arial" w:cs="Arial"/>
          <w:sz w:val="18"/>
          <w:szCs w:val="18"/>
        </w:rPr>
        <w:tab/>
        <w:t xml:space="preserve">Chief </w:t>
      </w:r>
      <w:r w:rsidR="00FB27C6" w:rsidRPr="009C7722">
        <w:rPr>
          <w:rFonts w:ascii="Arial" w:hAnsi="Arial" w:cs="Arial"/>
          <w:sz w:val="18"/>
          <w:szCs w:val="18"/>
        </w:rPr>
        <w:t xml:space="preserve">Executive Officer: Mr Wayne See </w:t>
      </w:r>
      <w:proofErr w:type="spellStart"/>
      <w:r w:rsidRPr="009C7722">
        <w:rPr>
          <w:rFonts w:ascii="Arial" w:hAnsi="Arial" w:cs="Arial"/>
          <w:sz w:val="18"/>
          <w:szCs w:val="18"/>
        </w:rPr>
        <w:t>Kee</w:t>
      </w:r>
      <w:proofErr w:type="spellEnd"/>
    </w:p>
    <w:p w:rsidR="00120BB5" w:rsidRPr="009C7722" w:rsidRDefault="00120BB5" w:rsidP="005A248A">
      <w:pPr>
        <w:pBdr>
          <w:top w:val="single" w:sz="4" w:space="2" w:color="auto"/>
          <w:left w:val="single" w:sz="4" w:space="4" w:color="auto"/>
          <w:bottom w:val="single" w:sz="4" w:space="1" w:color="auto"/>
          <w:right w:val="single" w:sz="4" w:space="4" w:color="auto"/>
        </w:pBdr>
        <w:spacing w:after="0"/>
        <w:rPr>
          <w:rFonts w:ascii="Arial" w:hAnsi="Arial" w:cs="Arial"/>
          <w:sz w:val="18"/>
          <w:szCs w:val="18"/>
        </w:rPr>
      </w:pPr>
      <w:r w:rsidRPr="009C7722">
        <w:rPr>
          <w:rFonts w:ascii="Arial" w:hAnsi="Arial" w:cs="Arial"/>
          <w:b/>
          <w:sz w:val="18"/>
          <w:szCs w:val="18"/>
        </w:rPr>
        <w:t>Outcome:</w:t>
      </w:r>
      <w:r w:rsidRPr="009C7722">
        <w:rPr>
          <w:rFonts w:ascii="Arial" w:hAnsi="Arial" w:cs="Arial"/>
          <w:sz w:val="18"/>
          <w:szCs w:val="18"/>
        </w:rPr>
        <w:t xml:space="preserve"> Progress towards closing the gap for Torres Strait Islander and Aboriginal people living in the Torres Strait Region through development planning, coordination, sustainable resource management, and preservation and promotion of Indigenous culture.</w:t>
      </w:r>
    </w:p>
    <w:p w:rsidR="00120BB5" w:rsidRPr="009C7722" w:rsidRDefault="00120BB5" w:rsidP="005A248A">
      <w:pPr>
        <w:pBdr>
          <w:left w:val="single" w:sz="4" w:space="4" w:color="auto"/>
          <w:bottom w:val="single" w:sz="2" w:space="1" w:color="auto"/>
          <w:right w:val="single" w:sz="4" w:space="4" w:color="auto"/>
        </w:pBdr>
        <w:rPr>
          <w:rFonts w:ascii="Arial" w:hAnsi="Arial" w:cs="Arial"/>
          <w:sz w:val="18"/>
          <w:szCs w:val="18"/>
        </w:rPr>
      </w:pPr>
      <w:r w:rsidRPr="009C7722">
        <w:rPr>
          <w:rFonts w:ascii="Arial" w:hAnsi="Arial" w:cs="Arial"/>
          <w:b/>
          <w:sz w:val="18"/>
          <w:szCs w:val="18"/>
        </w:rPr>
        <w:t>Workplace Gender Equality Agency</w:t>
      </w:r>
      <w:r w:rsidRPr="009C7722">
        <w:rPr>
          <w:rFonts w:ascii="Arial" w:hAnsi="Arial" w:cs="Arial"/>
          <w:b/>
          <w:sz w:val="18"/>
          <w:szCs w:val="18"/>
        </w:rPr>
        <w:tab/>
      </w:r>
      <w:r w:rsidR="009C7722">
        <w:rPr>
          <w:rFonts w:ascii="Arial" w:hAnsi="Arial" w:cs="Arial"/>
          <w:sz w:val="18"/>
          <w:szCs w:val="18"/>
        </w:rPr>
        <w:tab/>
      </w:r>
      <w:r w:rsidRPr="009C7722">
        <w:rPr>
          <w:rFonts w:ascii="Arial" w:hAnsi="Arial" w:cs="Arial"/>
          <w:sz w:val="18"/>
          <w:szCs w:val="18"/>
        </w:rPr>
        <w:t>Director: Ms Helen Conway</w:t>
      </w:r>
    </w:p>
    <w:p w:rsidR="005A248A" w:rsidRPr="009C7722" w:rsidRDefault="00120BB5" w:rsidP="005A248A">
      <w:pPr>
        <w:pBdr>
          <w:left w:val="single" w:sz="4" w:space="4" w:color="auto"/>
          <w:bottom w:val="single" w:sz="2" w:space="1" w:color="auto"/>
          <w:right w:val="single" w:sz="4" w:space="4" w:color="auto"/>
        </w:pBdr>
        <w:spacing w:after="0"/>
        <w:rPr>
          <w:rFonts w:ascii="Arial" w:hAnsi="Arial" w:cs="Arial"/>
          <w:sz w:val="18"/>
          <w:szCs w:val="18"/>
        </w:rPr>
      </w:pPr>
      <w:r w:rsidRPr="009C7722">
        <w:rPr>
          <w:rFonts w:ascii="Arial" w:hAnsi="Arial" w:cs="Arial"/>
          <w:b/>
          <w:sz w:val="18"/>
          <w:szCs w:val="18"/>
        </w:rPr>
        <w:t>Outcome:</w:t>
      </w:r>
      <w:r w:rsidRPr="009C7722">
        <w:rPr>
          <w:rFonts w:ascii="Arial" w:hAnsi="Arial" w:cs="Arial"/>
          <w:sz w:val="18"/>
          <w:szCs w:val="18"/>
        </w:rPr>
        <w:t xml:space="preserve"> </w:t>
      </w:r>
      <w:r w:rsidR="00927941" w:rsidRPr="009C7722">
        <w:rPr>
          <w:rFonts w:ascii="Arial" w:hAnsi="Arial" w:cs="Arial"/>
          <w:sz w:val="18"/>
          <w:szCs w:val="18"/>
        </w:rPr>
        <w:t>Promote and improve gender equality in Australian workplaces including through the provision of advice and assistance to employers and the assessment and measurement of workplace gender data</w:t>
      </w:r>
      <w:r w:rsidRPr="009C7722">
        <w:rPr>
          <w:rFonts w:ascii="Arial" w:hAnsi="Arial" w:cs="Arial"/>
          <w:sz w:val="18"/>
          <w:szCs w:val="18"/>
        </w:rPr>
        <w:t>.</w:t>
      </w:r>
    </w:p>
    <w:p w:rsidR="00120BB5" w:rsidRPr="009C7722" w:rsidRDefault="00120BB5" w:rsidP="005A248A">
      <w:pPr>
        <w:pBdr>
          <w:top w:val="single" w:sz="2" w:space="1" w:color="auto"/>
          <w:left w:val="single" w:sz="2" w:space="4" w:color="auto"/>
          <w:bottom w:val="single" w:sz="2" w:space="1" w:color="auto"/>
          <w:right w:val="single" w:sz="2" w:space="4" w:color="auto"/>
        </w:pBdr>
        <w:rPr>
          <w:rFonts w:ascii="Arial" w:hAnsi="Arial" w:cs="Arial"/>
          <w:sz w:val="18"/>
          <w:szCs w:val="18"/>
        </w:rPr>
      </w:pPr>
      <w:r w:rsidRPr="009C7722">
        <w:rPr>
          <w:rFonts w:ascii="Arial" w:hAnsi="Arial" w:cs="Arial"/>
          <w:b/>
          <w:sz w:val="18"/>
          <w:szCs w:val="18"/>
        </w:rPr>
        <w:t>Wreck Bay Aboriginal Community Council</w:t>
      </w:r>
      <w:r w:rsidR="00FB27C6" w:rsidRPr="009C7722">
        <w:rPr>
          <w:rFonts w:ascii="Arial" w:hAnsi="Arial" w:cs="Arial"/>
          <w:b/>
          <w:sz w:val="18"/>
          <w:szCs w:val="18"/>
        </w:rPr>
        <w:tab/>
      </w:r>
      <w:r w:rsidRPr="009C7722">
        <w:rPr>
          <w:rFonts w:ascii="Arial" w:hAnsi="Arial" w:cs="Arial"/>
          <w:sz w:val="18"/>
          <w:szCs w:val="18"/>
        </w:rPr>
        <w:t>Chief Executive Officer: Mr Mal Hansen</w:t>
      </w:r>
    </w:p>
    <w:p w:rsidR="00120BB5" w:rsidRPr="009C7722" w:rsidRDefault="00120BB5" w:rsidP="005A248A">
      <w:pPr>
        <w:pBdr>
          <w:top w:val="single" w:sz="2" w:space="1" w:color="auto"/>
          <w:left w:val="single" w:sz="2" w:space="4" w:color="auto"/>
          <w:bottom w:val="single" w:sz="2" w:space="1" w:color="auto"/>
          <w:right w:val="single" w:sz="2" w:space="4" w:color="auto"/>
        </w:pBdr>
        <w:spacing w:after="0"/>
        <w:rPr>
          <w:rFonts w:ascii="Arial" w:hAnsi="Arial" w:cs="Arial"/>
          <w:sz w:val="18"/>
          <w:szCs w:val="18"/>
        </w:rPr>
      </w:pPr>
      <w:r w:rsidRPr="009C7722">
        <w:rPr>
          <w:rFonts w:ascii="Arial" w:hAnsi="Arial" w:cs="Arial"/>
          <w:b/>
          <w:sz w:val="18"/>
          <w:szCs w:val="18"/>
        </w:rPr>
        <w:t>Objective:</w:t>
      </w:r>
      <w:r w:rsidRPr="009C7722">
        <w:rPr>
          <w:rFonts w:ascii="Arial" w:hAnsi="Arial" w:cs="Arial"/>
          <w:sz w:val="18"/>
          <w:szCs w:val="18"/>
        </w:rPr>
        <w:t xml:space="preserve"> Established by the Aboriginal Land Grant (Jervis Bay Territory) Act 1986 to hold title to land and provide council services to the Aboriginal Community of Jervis Bay.</w:t>
      </w:r>
    </w:p>
    <w:p w:rsidR="007452AA" w:rsidRPr="00421739" w:rsidRDefault="00FB27C6" w:rsidP="00300B26">
      <w:pPr>
        <w:pStyle w:val="Heading2"/>
        <w:spacing w:after="120"/>
      </w:pPr>
      <w:r>
        <w:br w:type="page"/>
      </w:r>
      <w:r w:rsidR="007452AA" w:rsidRPr="00421739">
        <w:lastRenderedPageBreak/>
        <w:t xml:space="preserve">Portfolio </w:t>
      </w:r>
      <w:r w:rsidR="007452AA" w:rsidRPr="001015C2">
        <w:t>resources</w:t>
      </w:r>
    </w:p>
    <w:p w:rsidR="007452AA" w:rsidRDefault="007452AA" w:rsidP="00E25557">
      <w:pPr>
        <w:spacing w:after="0"/>
      </w:pPr>
      <w:r w:rsidRPr="00421739">
        <w:t>Table 1 shows the additional resources provided to the portfol</w:t>
      </w:r>
      <w:r>
        <w:t xml:space="preserve">io in the </w:t>
      </w:r>
      <w:r w:rsidR="009A7B26" w:rsidRPr="005E0AB7">
        <w:t>201</w:t>
      </w:r>
      <w:r w:rsidR="00B12538">
        <w:t>3</w:t>
      </w:r>
      <w:r w:rsidR="004E7E7F">
        <w:t>–</w:t>
      </w:r>
      <w:r w:rsidR="009A7B26" w:rsidRPr="005E0AB7">
        <w:t>1</w:t>
      </w:r>
      <w:r w:rsidR="00B12538">
        <w:t>4</w:t>
      </w:r>
      <w:r>
        <w:t xml:space="preserve"> budget year</w:t>
      </w:r>
      <w:r w:rsidR="00042738">
        <w:t>, by agency</w:t>
      </w:r>
      <w:r>
        <w:t>.</w:t>
      </w:r>
    </w:p>
    <w:p w:rsidR="007452AA" w:rsidRDefault="007452AA" w:rsidP="00300B26">
      <w:pPr>
        <w:pStyle w:val="TableHeading"/>
        <w:spacing w:before="120"/>
      </w:pPr>
      <w:r>
        <w:t xml:space="preserve">Table 1: Portfolio </w:t>
      </w:r>
      <w:r w:rsidR="004E7E7F">
        <w:t>additional r</w:t>
      </w:r>
      <w:r>
        <w:t xml:space="preserve">esources </w:t>
      </w:r>
      <w:r w:rsidR="009A7B26" w:rsidRPr="005E0AB7">
        <w:t>201</w:t>
      </w:r>
      <w:r w:rsidR="00D413A5">
        <w:t>3</w:t>
      </w:r>
      <w:r w:rsidR="00742F27">
        <w:t>–</w:t>
      </w:r>
      <w:r w:rsidR="009A7B26" w:rsidRPr="005E0AB7">
        <w:t>1</w:t>
      </w:r>
      <w:r w:rsidR="00D413A5">
        <w:t>4</w:t>
      </w:r>
    </w:p>
    <w:p w:rsidR="00C31FAA" w:rsidRPr="00C31FAA" w:rsidRDefault="0066368D" w:rsidP="00C31FAA">
      <w:pPr>
        <w:pStyle w:val="TableGraphic"/>
      </w:pPr>
      <w:r>
        <w:rPr>
          <w:noProof/>
        </w:rPr>
        <w:drawing>
          <wp:inline distT="0" distB="0" distL="0" distR="0" wp14:anchorId="1358FB95" wp14:editId="57B82CB7">
            <wp:extent cx="4890770" cy="6634480"/>
            <wp:effectExtent l="0" t="0" r="5080" b="0"/>
            <wp:docPr id="299" name="Picture 299" descr="Table 1: Portfolio additional resource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0770" cy="6634480"/>
                    </a:xfrm>
                    <a:prstGeom prst="rect">
                      <a:avLst/>
                    </a:prstGeom>
                    <a:noFill/>
                    <a:ln>
                      <a:noFill/>
                    </a:ln>
                  </pic:spPr>
                </pic:pic>
              </a:graphicData>
            </a:graphic>
          </wp:inline>
        </w:drawing>
      </w:r>
    </w:p>
    <w:p w:rsidR="00B44518" w:rsidRDefault="00B44518" w:rsidP="002968D7">
      <w:pPr>
        <w:pStyle w:val="PartHeading"/>
        <w:jc w:val="both"/>
        <w:sectPr w:rsidR="00B44518" w:rsidSect="00107652">
          <w:headerReference w:type="even" r:id="rId35"/>
          <w:headerReference w:type="default" r:id="rId36"/>
          <w:headerReference w:type="first" r:id="rId37"/>
          <w:footerReference w:type="first" r:id="rId38"/>
          <w:type w:val="oddPage"/>
          <w:pgSz w:w="11907" w:h="16840" w:code="9"/>
          <w:pgMar w:top="2466" w:right="2098" w:bottom="2466" w:left="2098" w:header="1899" w:footer="1899" w:gutter="0"/>
          <w:cols w:space="708"/>
          <w:titlePg/>
          <w:docGrid w:linePitch="360"/>
        </w:sectPr>
      </w:pPr>
      <w:bookmarkStart w:id="53" w:name="_Toc321298585"/>
      <w:bookmarkStart w:id="54" w:name="_Toc321301457"/>
      <w:bookmarkStart w:id="55" w:name="_Toc23559338"/>
      <w:bookmarkStart w:id="56" w:name="_Toc23559372"/>
      <w:bookmarkStart w:id="57" w:name="_Toc23559663"/>
      <w:bookmarkStart w:id="58" w:name="_Toc23560126"/>
      <w:bookmarkStart w:id="59" w:name="_Toc23563421"/>
      <w:bookmarkStart w:id="60" w:name="_Toc77998675"/>
      <w:bookmarkStart w:id="61" w:name="_Toc436624136"/>
      <w:bookmarkStart w:id="62" w:name="_Toc436625437"/>
      <w:bookmarkStart w:id="63" w:name="_Toc449255757"/>
      <w:bookmarkEnd w:id="46"/>
      <w:bookmarkEnd w:id="47"/>
      <w:bookmarkEnd w:id="48"/>
      <w:bookmarkEnd w:id="49"/>
      <w:bookmarkEnd w:id="50"/>
      <w:bookmarkEnd w:id="51"/>
      <w:bookmarkEnd w:id="52"/>
    </w:p>
    <w:bookmarkEnd w:id="53"/>
    <w:bookmarkEnd w:id="54"/>
    <w:p w:rsidR="00042738" w:rsidRDefault="00042738" w:rsidP="00042738">
      <w:pPr>
        <w:pStyle w:val="PartHeading"/>
      </w:pPr>
      <w:r>
        <w:lastRenderedPageBreak/>
        <w:t>Agency resources and planned performance</w:t>
      </w:r>
    </w:p>
    <w:p w:rsidR="00042738" w:rsidRPr="00042738" w:rsidRDefault="00042738" w:rsidP="00C4669D">
      <w:pPr>
        <w:pStyle w:val="TOC2"/>
        <w:rPr>
          <w:b/>
        </w:rPr>
      </w:pPr>
      <w:r w:rsidRPr="00042738">
        <w:rPr>
          <w:b/>
        </w:rPr>
        <w:t>Department of Families, Housing, Community Se</w:t>
      </w:r>
      <w:r>
        <w:rPr>
          <w:b/>
        </w:rPr>
        <w:t>rvices and Indigenous Affairs</w:t>
      </w:r>
      <w:r>
        <w:rPr>
          <w:b/>
        </w:rPr>
        <w:tab/>
      </w:r>
      <w:r w:rsidR="009A2C55">
        <w:rPr>
          <w:b/>
        </w:rPr>
        <w:t>15</w:t>
      </w:r>
    </w:p>
    <w:p w:rsidR="00042738" w:rsidRPr="00042738" w:rsidRDefault="00042738" w:rsidP="00C4669D">
      <w:pPr>
        <w:pStyle w:val="TOC2"/>
        <w:spacing w:before="240"/>
        <w:rPr>
          <w:b/>
        </w:rPr>
      </w:pPr>
      <w:r>
        <w:rPr>
          <w:b/>
        </w:rPr>
        <w:t>Aboriginal Hostels Limited</w:t>
      </w:r>
      <w:r>
        <w:rPr>
          <w:b/>
        </w:rPr>
        <w:tab/>
      </w:r>
      <w:r w:rsidR="009A2C55">
        <w:rPr>
          <w:b/>
        </w:rPr>
        <w:t>175</w:t>
      </w:r>
    </w:p>
    <w:p w:rsidR="00EF4B2B" w:rsidRDefault="00042738" w:rsidP="00EF4B2B">
      <w:pPr>
        <w:pStyle w:val="TOC2"/>
        <w:spacing w:before="240"/>
        <w:rPr>
          <w:b/>
        </w:rPr>
      </w:pPr>
      <w:r w:rsidRPr="00042738">
        <w:rPr>
          <w:b/>
        </w:rPr>
        <w:t>Australian</w:t>
      </w:r>
      <w:r>
        <w:rPr>
          <w:b/>
        </w:rPr>
        <w:t xml:space="preserve"> Institute of Family Studies</w:t>
      </w:r>
      <w:r>
        <w:rPr>
          <w:b/>
        </w:rPr>
        <w:tab/>
      </w:r>
      <w:r w:rsidR="009A2C55">
        <w:rPr>
          <w:b/>
        </w:rPr>
        <w:t>201</w:t>
      </w:r>
    </w:p>
    <w:p w:rsidR="00042738" w:rsidRPr="00042738" w:rsidRDefault="00042738" w:rsidP="00C4669D">
      <w:pPr>
        <w:pStyle w:val="TOC2"/>
        <w:spacing w:before="240"/>
        <w:rPr>
          <w:b/>
        </w:rPr>
      </w:pPr>
      <w:r w:rsidRPr="00042738">
        <w:rPr>
          <w:b/>
        </w:rPr>
        <w:t>In</w:t>
      </w:r>
      <w:r>
        <w:rPr>
          <w:b/>
        </w:rPr>
        <w:t>digenous Business Australia</w:t>
      </w:r>
      <w:r>
        <w:rPr>
          <w:b/>
        </w:rPr>
        <w:tab/>
      </w:r>
      <w:r w:rsidR="009A2C55">
        <w:rPr>
          <w:b/>
        </w:rPr>
        <w:t>225</w:t>
      </w:r>
    </w:p>
    <w:p w:rsidR="00AA314A" w:rsidRDefault="00042738" w:rsidP="00EF4B2B">
      <w:pPr>
        <w:pStyle w:val="TOC2"/>
        <w:spacing w:before="240"/>
        <w:rPr>
          <w:b/>
        </w:rPr>
      </w:pPr>
      <w:r>
        <w:rPr>
          <w:b/>
        </w:rPr>
        <w:t>Indigenous Land Corporation</w:t>
      </w:r>
      <w:r>
        <w:rPr>
          <w:b/>
        </w:rPr>
        <w:tab/>
      </w:r>
      <w:r w:rsidR="009A2C55">
        <w:rPr>
          <w:b/>
        </w:rPr>
        <w:t>255</w:t>
      </w:r>
    </w:p>
    <w:p w:rsidR="00042738" w:rsidRDefault="00042738" w:rsidP="00C4669D">
      <w:pPr>
        <w:pStyle w:val="TOC2"/>
        <w:spacing w:before="240"/>
        <w:rPr>
          <w:b/>
        </w:rPr>
      </w:pPr>
      <w:r w:rsidRPr="00042738">
        <w:rPr>
          <w:b/>
        </w:rPr>
        <w:t>Torres Strait Regional Authority</w:t>
      </w:r>
      <w:r w:rsidRPr="00042738">
        <w:rPr>
          <w:b/>
        </w:rPr>
        <w:tab/>
      </w:r>
      <w:r w:rsidR="009A2C55">
        <w:rPr>
          <w:b/>
        </w:rPr>
        <w:t>279</w:t>
      </w:r>
    </w:p>
    <w:p w:rsidR="00737E8F" w:rsidRPr="00042738" w:rsidRDefault="00737E8F" w:rsidP="00C4669D">
      <w:pPr>
        <w:pStyle w:val="TOC2"/>
        <w:spacing w:before="240"/>
        <w:rPr>
          <w:b/>
        </w:rPr>
      </w:pPr>
      <w:r>
        <w:rPr>
          <w:b/>
        </w:rPr>
        <w:t>Workplace Gender Equality Agency</w:t>
      </w:r>
      <w:r>
        <w:rPr>
          <w:b/>
        </w:rPr>
        <w:tab/>
      </w:r>
      <w:r w:rsidR="009A2C55">
        <w:rPr>
          <w:b/>
        </w:rPr>
        <w:t>305</w:t>
      </w:r>
    </w:p>
    <w:p w:rsidR="00042738" w:rsidRPr="00042738" w:rsidRDefault="00042738" w:rsidP="00042738"/>
    <w:p w:rsidR="00042738" w:rsidRDefault="00042738" w:rsidP="00042738">
      <w:pPr>
        <w:sectPr w:rsidR="00042738" w:rsidSect="0091485A">
          <w:headerReference w:type="first" r:id="rId39"/>
          <w:footerReference w:type="first" r:id="rId40"/>
          <w:type w:val="oddPage"/>
          <w:pgSz w:w="11907" w:h="16840" w:code="9"/>
          <w:pgMar w:top="2466" w:right="2098" w:bottom="2466" w:left="2098" w:header="1899" w:footer="1899" w:gutter="0"/>
          <w:cols w:space="708"/>
          <w:titlePg/>
          <w:docGrid w:linePitch="360"/>
        </w:sectPr>
      </w:pPr>
    </w:p>
    <w:p w:rsidR="007452AA" w:rsidRDefault="001D1A1B" w:rsidP="00042738">
      <w:pPr>
        <w:pStyle w:val="PartHeading"/>
        <w:spacing w:before="2160"/>
      </w:pPr>
      <w:r w:rsidRPr="00421739">
        <w:lastRenderedPageBreak/>
        <w:t>Department of Families, Housing, Community Services and Indigenous Affairs</w:t>
      </w:r>
    </w:p>
    <w:p w:rsidR="00042738" w:rsidRDefault="00042738" w:rsidP="008E4CBB">
      <w:pPr>
        <w:pStyle w:val="PartHeading"/>
        <w:spacing w:before="2160"/>
      </w:pPr>
      <w:r>
        <w:t xml:space="preserve">Agency </w:t>
      </w:r>
      <w:r w:rsidR="00DE250B">
        <w:t>r</w:t>
      </w:r>
      <w:r>
        <w:t xml:space="preserve">esources and </w:t>
      </w:r>
      <w:r w:rsidR="00DE250B">
        <w:t>p</w:t>
      </w:r>
      <w:r>
        <w:t>lanned </w:t>
      </w:r>
      <w:r w:rsidR="00DE250B">
        <w:t>p</w:t>
      </w:r>
      <w:r>
        <w:t>erformance</w:t>
      </w:r>
    </w:p>
    <w:p w:rsidR="00042738" w:rsidRDefault="00042738" w:rsidP="00042738"/>
    <w:p w:rsidR="00042738" w:rsidRDefault="00042738" w:rsidP="00042738">
      <w:pPr>
        <w:sectPr w:rsidR="00042738" w:rsidSect="0091485A">
          <w:footerReference w:type="first" r:id="rId41"/>
          <w:type w:val="oddPage"/>
          <w:pgSz w:w="11907" w:h="16840" w:code="9"/>
          <w:pgMar w:top="2466" w:right="2098" w:bottom="2466" w:left="2098" w:header="1899" w:footer="1899" w:gutter="0"/>
          <w:cols w:space="708"/>
          <w:titlePg/>
          <w:docGrid w:linePitch="360"/>
        </w:sectPr>
      </w:pPr>
    </w:p>
    <w:p w:rsidR="00042738" w:rsidRPr="00042738" w:rsidRDefault="00042738" w:rsidP="00042738">
      <w:pPr>
        <w:pStyle w:val="ContentsHeading"/>
      </w:pPr>
      <w:r>
        <w:lastRenderedPageBreak/>
        <w:t>Department of Families, Housing, Community Services and Indigenous Affairs</w:t>
      </w:r>
    </w:p>
    <w:p w:rsidR="007452AA" w:rsidRPr="0032739E" w:rsidRDefault="007452AA" w:rsidP="00F51DAC">
      <w:pPr>
        <w:pStyle w:val="TOC1"/>
      </w:pPr>
      <w:r w:rsidRPr="0032739E">
        <w:t>Section 1: Agency overview and resources</w:t>
      </w:r>
      <w:r w:rsidRPr="0032739E">
        <w:tab/>
      </w:r>
      <w:r w:rsidR="009A2C55">
        <w:t>19</w:t>
      </w:r>
    </w:p>
    <w:p w:rsidR="007452AA" w:rsidRPr="0032739E" w:rsidRDefault="007452AA" w:rsidP="00F51DAC">
      <w:pPr>
        <w:pStyle w:val="TOC2"/>
      </w:pPr>
      <w:r w:rsidRPr="0032739E">
        <w:t>1.1</w:t>
      </w:r>
      <w:r w:rsidR="003C0FAF">
        <w:t xml:space="preserve"> </w:t>
      </w:r>
      <w:r w:rsidRPr="0032739E">
        <w:t xml:space="preserve">Strategic </w:t>
      </w:r>
      <w:r w:rsidR="00BD73EB">
        <w:t>d</w:t>
      </w:r>
      <w:r w:rsidRPr="0032739E">
        <w:t>irection</w:t>
      </w:r>
      <w:r w:rsidR="007342F6">
        <w:t xml:space="preserve"> statement</w:t>
      </w:r>
      <w:r w:rsidRPr="0032739E">
        <w:tab/>
      </w:r>
      <w:r w:rsidR="009A2C55">
        <w:t>19</w:t>
      </w:r>
    </w:p>
    <w:p w:rsidR="007452AA" w:rsidRPr="0032739E" w:rsidRDefault="007452AA" w:rsidP="00F51DAC">
      <w:pPr>
        <w:pStyle w:val="TOC2"/>
      </w:pPr>
      <w:r w:rsidRPr="0032739E">
        <w:t>1.2</w:t>
      </w:r>
      <w:r w:rsidR="003C0FAF">
        <w:t xml:space="preserve"> </w:t>
      </w:r>
      <w:r w:rsidRPr="0032739E">
        <w:t xml:space="preserve">Agency </w:t>
      </w:r>
      <w:r w:rsidR="00BD73EB">
        <w:t>r</w:t>
      </w:r>
      <w:r w:rsidRPr="0032739E">
        <w:t xml:space="preserve">esource </w:t>
      </w:r>
      <w:r w:rsidR="00BD73EB">
        <w:t>s</w:t>
      </w:r>
      <w:r w:rsidRPr="0032739E">
        <w:t>tatement</w:t>
      </w:r>
      <w:r w:rsidRPr="0032739E">
        <w:tab/>
      </w:r>
      <w:r w:rsidR="009A2C55">
        <w:t>30</w:t>
      </w:r>
    </w:p>
    <w:p w:rsidR="007452AA" w:rsidRPr="0032739E" w:rsidRDefault="007452AA" w:rsidP="00F51DAC">
      <w:pPr>
        <w:pStyle w:val="TOC2"/>
      </w:pPr>
      <w:r w:rsidRPr="0032739E">
        <w:t>1.3</w:t>
      </w:r>
      <w:r w:rsidR="003C0FAF">
        <w:t xml:space="preserve"> </w:t>
      </w:r>
      <w:r w:rsidR="00042738">
        <w:t>Budget measures</w:t>
      </w:r>
      <w:r w:rsidRPr="0032739E">
        <w:tab/>
      </w:r>
      <w:r w:rsidR="009A2C55">
        <w:t>33</w:t>
      </w:r>
    </w:p>
    <w:p w:rsidR="007452AA" w:rsidRPr="0032739E" w:rsidRDefault="007452AA" w:rsidP="00F51DAC">
      <w:pPr>
        <w:pStyle w:val="TOC1"/>
      </w:pPr>
      <w:r w:rsidRPr="0032739E">
        <w:t xml:space="preserve">Section 2: </w:t>
      </w:r>
      <w:r w:rsidR="00042738">
        <w:t>O</w:t>
      </w:r>
      <w:r w:rsidRPr="0032739E">
        <w:t>utcomes and planned performance</w:t>
      </w:r>
      <w:r w:rsidRPr="0032739E">
        <w:tab/>
      </w:r>
      <w:r w:rsidR="009A2C55">
        <w:t>40</w:t>
      </w:r>
    </w:p>
    <w:p w:rsidR="007452AA" w:rsidRPr="0032739E" w:rsidRDefault="007452AA" w:rsidP="00F51DAC">
      <w:pPr>
        <w:pStyle w:val="TOC2"/>
      </w:pPr>
      <w:r w:rsidRPr="0032739E">
        <w:t>2.1</w:t>
      </w:r>
      <w:r w:rsidR="003C0FAF">
        <w:t xml:space="preserve"> </w:t>
      </w:r>
      <w:r w:rsidR="00042738">
        <w:t>Outcomes and</w:t>
      </w:r>
      <w:r w:rsidRPr="0032739E">
        <w:t xml:space="preserve"> performance information</w:t>
      </w:r>
      <w:r w:rsidRPr="0032739E">
        <w:tab/>
      </w:r>
      <w:r w:rsidR="009A2C55">
        <w:t>40</w:t>
      </w:r>
    </w:p>
    <w:p w:rsidR="007452AA" w:rsidRPr="0032739E" w:rsidRDefault="007452AA" w:rsidP="00F51DAC">
      <w:pPr>
        <w:pStyle w:val="TOC1"/>
      </w:pPr>
      <w:r w:rsidRPr="0032739E">
        <w:t>Section 3: Explanatory tables and budgeted financial statements</w:t>
      </w:r>
      <w:r w:rsidRPr="0032739E">
        <w:tab/>
      </w:r>
      <w:r w:rsidR="009A2C55">
        <w:t>154</w:t>
      </w:r>
    </w:p>
    <w:p w:rsidR="007452AA" w:rsidRPr="0032739E" w:rsidRDefault="007452AA" w:rsidP="00F51DAC">
      <w:pPr>
        <w:pStyle w:val="TOC2"/>
      </w:pPr>
      <w:r w:rsidRPr="0032739E">
        <w:t>3.1</w:t>
      </w:r>
      <w:r w:rsidR="003C0FAF">
        <w:t xml:space="preserve"> </w:t>
      </w:r>
      <w:r w:rsidRPr="0032739E">
        <w:t>Explanatory tables</w:t>
      </w:r>
      <w:r w:rsidRPr="0032739E">
        <w:tab/>
      </w:r>
      <w:r w:rsidR="009A2C55">
        <w:t>154</w:t>
      </w:r>
    </w:p>
    <w:p w:rsidR="007452AA" w:rsidRDefault="007452AA" w:rsidP="00F51DAC">
      <w:pPr>
        <w:pStyle w:val="TOC2"/>
      </w:pPr>
      <w:r w:rsidRPr="0032739E">
        <w:t>3.2</w:t>
      </w:r>
      <w:r w:rsidR="003C0FAF">
        <w:t xml:space="preserve"> </w:t>
      </w:r>
      <w:r w:rsidRPr="0032739E">
        <w:t>Budgeted financial statements</w:t>
      </w:r>
      <w:r w:rsidRPr="0032739E">
        <w:tab/>
      </w:r>
      <w:r w:rsidR="009A2C55">
        <w:t>160</w:t>
      </w:r>
    </w:p>
    <w:p w:rsidR="00042738" w:rsidRPr="00042738" w:rsidRDefault="00042738" w:rsidP="00042738"/>
    <w:p w:rsidR="00B44518" w:rsidRDefault="00B44518" w:rsidP="008A3A4E">
      <w:pPr>
        <w:keepNext/>
        <w:spacing w:line="240" w:lineRule="auto"/>
        <w:jc w:val="center"/>
        <w:outlineLvl w:val="0"/>
        <w:rPr>
          <w:rFonts w:ascii="Arial" w:hAnsi="Arial"/>
          <w:b/>
          <w:smallCaps/>
          <w:kern w:val="28"/>
          <w:sz w:val="34"/>
        </w:rPr>
        <w:sectPr w:rsidR="00B44518" w:rsidSect="0091485A">
          <w:footerReference w:type="first" r:id="rId42"/>
          <w:type w:val="oddPage"/>
          <w:pgSz w:w="11907" w:h="16840" w:code="9"/>
          <w:pgMar w:top="2466" w:right="2098" w:bottom="2466" w:left="2098" w:header="1899" w:footer="1899" w:gutter="0"/>
          <w:cols w:space="708"/>
          <w:titlePg/>
          <w:docGrid w:linePitch="360"/>
        </w:sectPr>
      </w:pPr>
      <w:bookmarkStart w:id="64" w:name="_Toc490972399"/>
      <w:bookmarkStart w:id="65" w:name="_Toc491014616"/>
      <w:bookmarkStart w:id="66" w:name="_Toc491014758"/>
      <w:bookmarkStart w:id="67" w:name="_Toc491014938"/>
      <w:bookmarkStart w:id="68" w:name="_Toc491015085"/>
      <w:bookmarkStart w:id="69" w:name="_Toc491029232"/>
      <w:bookmarkStart w:id="70" w:name="_Toc491030321"/>
      <w:bookmarkStart w:id="71" w:name="_Toc491030781"/>
      <w:bookmarkStart w:id="72" w:name="_Toc491031344"/>
      <w:bookmarkStart w:id="73" w:name="_Toc491031931"/>
      <w:bookmarkStart w:id="74" w:name="_Toc491032101"/>
      <w:bookmarkStart w:id="75" w:name="_Toc491032212"/>
      <w:bookmarkStart w:id="76" w:name="_Toc491032319"/>
      <w:bookmarkStart w:id="77" w:name="_Toc491771706"/>
      <w:bookmarkStart w:id="78" w:name="_Toc491773281"/>
      <w:bookmarkStart w:id="79" w:name="_Toc23559340"/>
      <w:bookmarkStart w:id="80" w:name="_Toc23559374"/>
      <w:bookmarkStart w:id="81" w:name="_Toc23559665"/>
      <w:bookmarkStart w:id="82" w:name="_Toc23560128"/>
      <w:bookmarkStart w:id="83" w:name="_Toc23563423"/>
      <w:bookmarkStart w:id="84" w:name="_Toc77998677"/>
      <w:bookmarkStart w:id="85" w:name="_Toc79399716"/>
      <w:bookmarkStart w:id="86" w:name="_Toc112211956"/>
      <w:bookmarkStart w:id="87" w:name="_Toc112212050"/>
      <w:bookmarkStart w:id="88" w:name="_Toc112137868"/>
      <w:bookmarkStart w:id="89" w:name="_Toc112137890"/>
      <w:bookmarkStart w:id="90" w:name="_Toc210646448"/>
      <w:bookmarkStart w:id="91" w:name="_Toc210698427"/>
      <w:bookmarkStart w:id="92" w:name="_Toc210703208"/>
      <w:bookmarkStart w:id="93" w:name="OLE_LINK12"/>
      <w:bookmarkStart w:id="94" w:name="OLE_LINK13"/>
      <w:bookmarkEnd w:id="55"/>
      <w:bookmarkEnd w:id="56"/>
      <w:bookmarkEnd w:id="57"/>
      <w:bookmarkEnd w:id="58"/>
      <w:bookmarkEnd w:id="59"/>
      <w:bookmarkEnd w:id="60"/>
    </w:p>
    <w:p w:rsidR="007452AA" w:rsidRPr="00042738" w:rsidRDefault="001D1A1B" w:rsidP="00042738">
      <w:pPr>
        <w:pStyle w:val="Heading1"/>
      </w:pPr>
      <w:r w:rsidRPr="00042738">
        <w:lastRenderedPageBreak/>
        <w:t>Department of Families, Housing, Community Services and Indigenous Affairs</w:t>
      </w:r>
    </w:p>
    <w:p w:rsidR="007452AA" w:rsidRPr="004C416C" w:rsidRDefault="007452AA" w:rsidP="00F51DAC">
      <w:pPr>
        <w:pStyle w:val="Heading2"/>
      </w:pPr>
      <w:r w:rsidRPr="004C416C">
        <w:t>Section 1</w:t>
      </w:r>
      <w:bookmarkStart w:id="95" w:name="_Toc446237031"/>
      <w:bookmarkStart w:id="96" w:name="_Toc449255758"/>
      <w:bookmarkEnd w:id="61"/>
      <w:bookmarkEnd w:id="62"/>
      <w:bookmarkEnd w:id="63"/>
      <w:r w:rsidRPr="004C416C">
        <w:t>: Agency overview and resources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5"/>
      <w:bookmarkEnd w:id="96"/>
    </w:p>
    <w:p w:rsidR="007452AA" w:rsidRDefault="007452AA" w:rsidP="00510087">
      <w:pPr>
        <w:pStyle w:val="Heading3"/>
        <w:numPr>
          <w:ilvl w:val="1"/>
          <w:numId w:val="28"/>
        </w:numPr>
      </w:pPr>
      <w:bookmarkStart w:id="97" w:name="_Toc210703209"/>
      <w:bookmarkStart w:id="98" w:name="_Toc210646449"/>
      <w:bookmarkStart w:id="99" w:name="_Toc210698428"/>
      <w:r w:rsidRPr="005D4E72">
        <w:t xml:space="preserve">Strategic </w:t>
      </w:r>
      <w:r w:rsidR="001D1A1B" w:rsidRPr="00AD1D92">
        <w:t>d</w:t>
      </w:r>
      <w:r w:rsidRPr="00354330">
        <w:t>irection</w:t>
      </w:r>
      <w:bookmarkEnd w:id="97"/>
      <w:bookmarkEnd w:id="98"/>
      <w:bookmarkEnd w:id="99"/>
      <w:r w:rsidR="002C76FA">
        <w:t xml:space="preserve"> statement</w:t>
      </w:r>
    </w:p>
    <w:p w:rsidR="00A434FA" w:rsidRDefault="00A434FA" w:rsidP="00A434FA">
      <w:r>
        <w:t>The Department of Families, Housing, Community Services and Indigenous Affairs (FaHCSIA) is the Australian Government’s lead agency in the development and delivery of social policy.</w:t>
      </w:r>
    </w:p>
    <w:p w:rsidR="00B11AC2" w:rsidRDefault="00A434FA" w:rsidP="00A434FA">
      <w:r>
        <w:t>FaHCSIA</w:t>
      </w:r>
      <w:r w:rsidR="00D70AAF">
        <w:t>’s purpose</w:t>
      </w:r>
      <w:r>
        <w:t xml:space="preserve"> is</w:t>
      </w:r>
      <w:r w:rsidR="00D70AAF">
        <w:t xml:space="preserve"> to </w:t>
      </w:r>
      <w:r>
        <w:t>improve the lives of Australians</w:t>
      </w:r>
      <w:r w:rsidR="00D70AAF">
        <w:t xml:space="preserve"> by creating opportunities for economic and social participation </w:t>
      </w:r>
      <w:r>
        <w:t>and build</w:t>
      </w:r>
      <w:r w:rsidR="00D70AAF">
        <w:t>ing</w:t>
      </w:r>
      <w:r>
        <w:t xml:space="preserve"> a strong</w:t>
      </w:r>
      <w:r w:rsidR="00D70AAF">
        <w:t>er</w:t>
      </w:r>
      <w:r>
        <w:t xml:space="preserve"> and fair</w:t>
      </w:r>
      <w:r w:rsidR="00D70AAF">
        <w:t>er</w:t>
      </w:r>
      <w:r>
        <w:t xml:space="preserve"> society.</w:t>
      </w:r>
    </w:p>
    <w:p w:rsidR="00510087" w:rsidRDefault="00A434FA" w:rsidP="00A434FA">
      <w:pPr>
        <w:pStyle w:val="BulletIntro"/>
      </w:pPr>
      <w:r w:rsidRPr="00A434FA">
        <w:t>FaHCSIA’s outcomes reflect the seven core areas in which the Department seeks to assist people:</w:t>
      </w:r>
    </w:p>
    <w:p w:rsidR="00510087" w:rsidRDefault="00510087" w:rsidP="0055685F">
      <w:pPr>
        <w:ind w:left="283"/>
      </w:pPr>
      <w:r>
        <w:t>1.</w:t>
      </w:r>
      <w:r>
        <w:tab/>
        <w:t>Families and Children</w:t>
      </w:r>
    </w:p>
    <w:p w:rsidR="00510087" w:rsidRDefault="00510087" w:rsidP="0055685F">
      <w:pPr>
        <w:ind w:left="283"/>
      </w:pPr>
      <w:r>
        <w:t>2.</w:t>
      </w:r>
      <w:r>
        <w:tab/>
        <w:t>Housing</w:t>
      </w:r>
    </w:p>
    <w:p w:rsidR="00510087" w:rsidRDefault="00510087" w:rsidP="0055685F">
      <w:pPr>
        <w:ind w:left="283"/>
      </w:pPr>
      <w:r>
        <w:t>3.</w:t>
      </w:r>
      <w:r>
        <w:tab/>
        <w:t>Community Capability and the Vulnerable</w:t>
      </w:r>
    </w:p>
    <w:p w:rsidR="00510087" w:rsidRDefault="00510087" w:rsidP="0055685F">
      <w:pPr>
        <w:ind w:left="283"/>
      </w:pPr>
      <w:r>
        <w:t>4.</w:t>
      </w:r>
      <w:r>
        <w:tab/>
        <w:t>Seniors</w:t>
      </w:r>
    </w:p>
    <w:p w:rsidR="00510087" w:rsidRDefault="00510087" w:rsidP="0055685F">
      <w:pPr>
        <w:ind w:left="283"/>
      </w:pPr>
      <w:r>
        <w:t>5.</w:t>
      </w:r>
      <w:r>
        <w:tab/>
        <w:t>Disability and Carers</w:t>
      </w:r>
    </w:p>
    <w:p w:rsidR="00510087" w:rsidRDefault="00510087" w:rsidP="0055685F">
      <w:pPr>
        <w:ind w:left="283"/>
      </w:pPr>
      <w:r>
        <w:t>6.</w:t>
      </w:r>
      <w:r>
        <w:tab/>
        <w:t>Women</w:t>
      </w:r>
    </w:p>
    <w:p w:rsidR="00510087" w:rsidRDefault="00510087" w:rsidP="0055685F">
      <w:pPr>
        <w:ind w:left="283"/>
      </w:pPr>
      <w:r>
        <w:t>7.</w:t>
      </w:r>
      <w:r>
        <w:tab/>
        <w:t>Indigenous</w:t>
      </w:r>
      <w:r w:rsidR="004A7A31">
        <w:t>.</w:t>
      </w:r>
    </w:p>
    <w:p w:rsidR="00510087" w:rsidRDefault="00A434FA" w:rsidP="00510087">
      <w:r w:rsidRPr="00A434FA">
        <w:t>Detailed outcome statements for the seven areas can be found in Section 2 of these Portfolio Budget Statements (PB Statements).</w:t>
      </w:r>
      <w:r w:rsidR="00510087">
        <w:t xml:space="preserve"> </w:t>
      </w:r>
    </w:p>
    <w:p w:rsidR="00510087" w:rsidRDefault="00A434FA" w:rsidP="00A434FA">
      <w:pPr>
        <w:pStyle w:val="BulletIntro"/>
      </w:pPr>
      <w:r w:rsidRPr="00A434FA">
        <w:t>FaHCSIA works in four main ways to achieve its outcomes. They are:</w:t>
      </w:r>
    </w:p>
    <w:p w:rsidR="00A434FA" w:rsidRDefault="000E7253" w:rsidP="00A434FA">
      <w:pPr>
        <w:pStyle w:val="Bullet"/>
      </w:pPr>
      <w:r>
        <w:t>P</w:t>
      </w:r>
      <w:r w:rsidR="00A709D2">
        <w:t>ayments to individuals –</w:t>
      </w:r>
      <w:r w:rsidR="00A434FA">
        <w:t xml:space="preserve"> FaHCSIA makes direct payments to individuals through the Department of Human Services and other agencies. Primary examples of these payments include the Age Pension, the Disability Support Pension and the Family Tax Benefit.</w:t>
      </w:r>
    </w:p>
    <w:p w:rsidR="00A434FA" w:rsidRDefault="00A434FA" w:rsidP="00A434FA">
      <w:pPr>
        <w:pStyle w:val="Bullet"/>
      </w:pPr>
      <w:r>
        <w:lastRenderedPageBreak/>
        <w:t>Working with the states and territories – FaHCSIA works with the states and territories to achieve outcomes in their areas of responsibility, including disability services, tackling Indigenous disadvantage, concessions, the welfare of children and housing.</w:t>
      </w:r>
    </w:p>
    <w:p w:rsidR="00A434FA" w:rsidRDefault="00A434FA" w:rsidP="00A434FA">
      <w:pPr>
        <w:pStyle w:val="Bullet"/>
      </w:pPr>
      <w:r>
        <w:t>Funding a broad range of community-based organisations – FaHCSIA funds community-based organisations to deliver a range of local services, including family relationship services, family support, community-based mental health services, early intervention support, emergency relief and supported employment for people with disability.</w:t>
      </w:r>
    </w:p>
    <w:p w:rsidR="00510087" w:rsidRDefault="00A434FA" w:rsidP="00A434FA">
      <w:pPr>
        <w:pStyle w:val="BulletLast"/>
      </w:pPr>
      <w:r>
        <w:t>Developing, adv</w:t>
      </w:r>
      <w:r w:rsidR="000D5FBE">
        <w:t>ising on and co</w:t>
      </w:r>
      <w:r>
        <w:t xml:space="preserve">ordinating policy – FaHCSIA supports its ministers in their policy roles by providing advice on social policy, building the evidence base for decisions and policy implementation, and in whole-of-government policy coordination for Indigenous </w:t>
      </w:r>
      <w:r w:rsidR="000E7253">
        <w:t>a</w:t>
      </w:r>
      <w:r>
        <w:t xml:space="preserve">ffairs and </w:t>
      </w:r>
      <w:r w:rsidR="000E7253">
        <w:t>w</w:t>
      </w:r>
      <w:r>
        <w:t>omen.</w:t>
      </w:r>
    </w:p>
    <w:p w:rsidR="00510087" w:rsidRDefault="00510087" w:rsidP="0055685F">
      <w:pPr>
        <w:pStyle w:val="Heading4"/>
      </w:pPr>
      <w:r>
        <w:t xml:space="preserve">Key </w:t>
      </w:r>
      <w:r w:rsidR="004A7A31">
        <w:t>p</w:t>
      </w:r>
      <w:r>
        <w:t>riorities for 2013</w:t>
      </w:r>
      <w:r w:rsidR="00C425EC">
        <w:t>–</w:t>
      </w:r>
      <w:r>
        <w:t>14</w:t>
      </w:r>
    </w:p>
    <w:p w:rsidR="00A434FA" w:rsidRDefault="00A434FA" w:rsidP="00A434FA">
      <w:r>
        <w:t xml:space="preserve">The 2013–14 Budget continues to build on the Government’s key reforms, including helping people with disability and their </w:t>
      </w:r>
      <w:proofErr w:type="spellStart"/>
      <w:r>
        <w:t>carers</w:t>
      </w:r>
      <w:proofErr w:type="spellEnd"/>
      <w:r>
        <w:t xml:space="preserve">, supporting families and seniors, and tackling Indigenous disadvantage. </w:t>
      </w:r>
    </w:p>
    <w:p w:rsidR="00510087" w:rsidRDefault="00A434FA" w:rsidP="00A434FA">
      <w:r>
        <w:t xml:space="preserve">Major initiatives in the 2013–14 Budget include significant investment in the </w:t>
      </w:r>
      <w:r w:rsidR="00830798">
        <w:t>roll-out</w:t>
      </w:r>
      <w:r>
        <w:t xml:space="preserve"> of </w:t>
      </w:r>
      <w:proofErr w:type="spellStart"/>
      <w:r w:rsidR="00484798">
        <w:t>DisabilityCare</w:t>
      </w:r>
      <w:proofErr w:type="spellEnd"/>
      <w:r w:rsidR="00484798">
        <w:t xml:space="preserve"> Australia, </w:t>
      </w:r>
      <w:r w:rsidR="000E7253">
        <w:t>the national disability insurance scheme</w:t>
      </w:r>
      <w:r w:rsidR="00A709D2">
        <w:t>;</w:t>
      </w:r>
      <w:r w:rsidR="000E7253">
        <w:t xml:space="preserve"> </w:t>
      </w:r>
      <w:r>
        <w:t>initiatives to close the gap between Indigenous and non-Indigenous Australians</w:t>
      </w:r>
      <w:r w:rsidR="00A709D2">
        <w:t>;</w:t>
      </w:r>
      <w:r>
        <w:t xml:space="preserve"> </w:t>
      </w:r>
      <w:r w:rsidR="005B6AD2">
        <w:t xml:space="preserve">additional support for senior Australians; </w:t>
      </w:r>
      <w:r>
        <w:t>support for the Royal Commission into Institutional Responses to Child Sexual Abuse</w:t>
      </w:r>
      <w:r w:rsidR="00A709D2">
        <w:t>;</w:t>
      </w:r>
      <w:r>
        <w:t xml:space="preserve"> and support for people affected by past forced adoptions.</w:t>
      </w:r>
    </w:p>
    <w:p w:rsidR="00F90D2F" w:rsidRDefault="00F90D2F" w:rsidP="00F90D2F">
      <w:pPr>
        <w:pStyle w:val="Heading4"/>
      </w:pPr>
      <w:r>
        <w:t>Supporting people with disability, their families and carers</w:t>
      </w:r>
    </w:p>
    <w:p w:rsidR="00F90D2F" w:rsidRDefault="00F90D2F" w:rsidP="00F90D2F">
      <w:r>
        <w:t xml:space="preserve">The Australian Government will continue to drive fundamental disability reform through the </w:t>
      </w:r>
      <w:r w:rsidR="00830798">
        <w:t>roll-out</w:t>
      </w:r>
      <w:r>
        <w:t xml:space="preserve"> of </w:t>
      </w:r>
      <w:proofErr w:type="spellStart"/>
      <w:r>
        <w:t>DisabilityCare</w:t>
      </w:r>
      <w:proofErr w:type="spellEnd"/>
      <w:r>
        <w:t xml:space="preserve"> Australia</w:t>
      </w:r>
      <w:r w:rsidR="00593578">
        <w:t>,</w:t>
      </w:r>
      <w:r>
        <w:t xml:space="preserve"> the national disability insurance scheme.</w:t>
      </w:r>
    </w:p>
    <w:p w:rsidR="00F90D2F" w:rsidRDefault="00F90D2F" w:rsidP="00F90D2F">
      <w:proofErr w:type="spellStart"/>
      <w:r>
        <w:t>DisabilityCare</w:t>
      </w:r>
      <w:proofErr w:type="spellEnd"/>
      <w:r>
        <w:t xml:space="preserve"> Australia will support people with significant and permanent disability, their families and carers</w:t>
      </w:r>
      <w:r w:rsidR="005B6AD2">
        <w:t xml:space="preserve"> to access care and support to meet their individual needs</w:t>
      </w:r>
      <w:r w:rsidR="00785D90">
        <w:t>.</w:t>
      </w:r>
      <w:r>
        <w:t xml:space="preserve"> It will also provide peace of mind for all Australians that if they or a family member </w:t>
      </w:r>
      <w:r w:rsidRPr="00785D90">
        <w:t>acquire</w:t>
      </w:r>
      <w:r>
        <w:t xml:space="preserve"> a disability, the</w:t>
      </w:r>
      <w:r w:rsidR="005B6AD2">
        <w:t>y will get the care and</w:t>
      </w:r>
      <w:r>
        <w:t xml:space="preserve"> support they need </w:t>
      </w:r>
      <w:r w:rsidR="00850B77">
        <w:t>over their lifetime</w:t>
      </w:r>
      <w:r>
        <w:t>.</w:t>
      </w:r>
    </w:p>
    <w:p w:rsidR="00F90D2F" w:rsidRDefault="00F90D2F" w:rsidP="00F90D2F">
      <w:proofErr w:type="spellStart"/>
      <w:r>
        <w:t>DisabilityCare</w:t>
      </w:r>
      <w:proofErr w:type="spellEnd"/>
      <w:r>
        <w:t xml:space="preserve"> Australia will give people with significant and permanent disability choice and control over the support they receive.</w:t>
      </w:r>
      <w:r w:rsidR="002658B5">
        <w:t xml:space="preserve"> </w:t>
      </w:r>
      <w:proofErr w:type="spellStart"/>
      <w:r w:rsidR="002658B5" w:rsidRPr="002658B5">
        <w:t>DisabilityCare</w:t>
      </w:r>
      <w:proofErr w:type="spellEnd"/>
      <w:r w:rsidR="002658B5" w:rsidRPr="002658B5">
        <w:t xml:space="preserve"> Australia will also assist current</w:t>
      </w:r>
      <w:r w:rsidR="00CD3B7B">
        <w:t>ly</w:t>
      </w:r>
      <w:r w:rsidR="002658B5" w:rsidRPr="002658B5">
        <w:t xml:space="preserve"> </w:t>
      </w:r>
      <w:r w:rsidR="00710027">
        <w:t xml:space="preserve">funded providers </w:t>
      </w:r>
      <w:r w:rsidR="002658B5" w:rsidRPr="002658B5">
        <w:t xml:space="preserve">of disability supports to </w:t>
      </w:r>
      <w:r w:rsidR="00CD3B7B">
        <w:t>make</w:t>
      </w:r>
      <w:r w:rsidR="002658B5" w:rsidRPr="002658B5">
        <w:t xml:space="preserve"> the transition to the national disability insurance scheme, including those </w:t>
      </w:r>
      <w:r w:rsidR="00CD3B7B">
        <w:t xml:space="preserve">providers </w:t>
      </w:r>
      <w:r w:rsidR="002658B5" w:rsidRPr="002658B5">
        <w:t>affected by individualised funding</w:t>
      </w:r>
      <w:r w:rsidR="00CD3B7B">
        <w:t xml:space="preserve"> arrangements</w:t>
      </w:r>
      <w:r w:rsidR="002658B5" w:rsidRPr="002658B5">
        <w:t>.</w:t>
      </w:r>
    </w:p>
    <w:p w:rsidR="00F90D2F" w:rsidRDefault="00F90D2F" w:rsidP="00F90D2F">
      <w:r>
        <w:lastRenderedPageBreak/>
        <w:t xml:space="preserve">The Australian Government provided $1 billion in </w:t>
      </w:r>
      <w:r w:rsidR="00062167">
        <w:t xml:space="preserve">the </w:t>
      </w:r>
      <w:r>
        <w:t>2012–13 Budget to launch the scheme from 1 July 2013. About 2</w:t>
      </w:r>
      <w:r w:rsidR="003378D0">
        <w:t>6</w:t>
      </w:r>
      <w:r>
        <w:t>,000 people</w:t>
      </w:r>
      <w:r w:rsidR="00785D90">
        <w:t xml:space="preserve"> </w:t>
      </w:r>
      <w:r>
        <w:t>with significant and permanent disabilit</w:t>
      </w:r>
      <w:r w:rsidR="00662568">
        <w:t>y</w:t>
      </w:r>
      <w:r>
        <w:t xml:space="preserve">, </w:t>
      </w:r>
      <w:r w:rsidR="00662568">
        <w:t xml:space="preserve">and </w:t>
      </w:r>
      <w:r>
        <w:t xml:space="preserve">their families and carers, will benefit from the first stage of </w:t>
      </w:r>
      <w:proofErr w:type="spellStart"/>
      <w:r>
        <w:t>Disa</w:t>
      </w:r>
      <w:r w:rsidR="00B60A94">
        <w:t>bilityCare</w:t>
      </w:r>
      <w:proofErr w:type="spellEnd"/>
      <w:r w:rsidR="00B60A94">
        <w:t xml:space="preserve"> Australia.</w:t>
      </w:r>
    </w:p>
    <w:p w:rsidR="00B60A94" w:rsidRDefault="00B60A94" w:rsidP="00F90D2F">
      <w:r w:rsidRPr="00B60A94">
        <w:t xml:space="preserve">The </w:t>
      </w:r>
      <w:r w:rsidR="003B4BFD">
        <w:t xml:space="preserve">scheme will </w:t>
      </w:r>
      <w:r w:rsidRPr="00B60A94">
        <w:t xml:space="preserve">launch </w:t>
      </w:r>
      <w:r w:rsidR="003B4BFD">
        <w:t xml:space="preserve">in </w:t>
      </w:r>
      <w:r w:rsidRPr="00B60A94">
        <w:t xml:space="preserve">the Barwon </w:t>
      </w:r>
      <w:r w:rsidR="00350037">
        <w:t>area</w:t>
      </w:r>
      <w:r w:rsidRPr="00B60A94">
        <w:t xml:space="preserve"> of Victoria, the Hunter </w:t>
      </w:r>
      <w:r w:rsidR="00350037">
        <w:t>area</w:t>
      </w:r>
      <w:r w:rsidRPr="00B60A94">
        <w:t xml:space="preserve"> </w:t>
      </w:r>
      <w:r w:rsidR="00785D90">
        <w:t>in</w:t>
      </w:r>
      <w:r w:rsidRPr="00B60A94">
        <w:t xml:space="preserve"> New South Wales, Tasmania and South Australia from July 2013, and </w:t>
      </w:r>
      <w:r w:rsidR="003B4BFD">
        <w:t xml:space="preserve">in </w:t>
      </w:r>
      <w:r w:rsidRPr="00B60A94">
        <w:t>the Australian Capital Territory and the Barkly region in the Northern Territory from July 2014.</w:t>
      </w:r>
    </w:p>
    <w:p w:rsidR="002658B5" w:rsidRDefault="003B4BFD" w:rsidP="002658B5">
      <w:r w:rsidRPr="003B4BFD">
        <w:t>The Australian Government will provide $14.3 billion over seven years from 2012</w:t>
      </w:r>
      <w:r w:rsidR="00C35EF6">
        <w:t>–</w:t>
      </w:r>
      <w:r w:rsidRPr="003B4BFD">
        <w:t xml:space="preserve">13 to move to full implementation of </w:t>
      </w:r>
      <w:proofErr w:type="spellStart"/>
      <w:r w:rsidRPr="003B4BFD">
        <w:t>DisabilityCare</w:t>
      </w:r>
      <w:proofErr w:type="spellEnd"/>
      <w:r w:rsidRPr="003B4BFD">
        <w:t xml:space="preserve"> Australia</w:t>
      </w:r>
      <w:r w:rsidR="00572098">
        <w:t>, including</w:t>
      </w:r>
      <w:r w:rsidRPr="003B4BFD">
        <w:t xml:space="preserve"> launch funding</w:t>
      </w:r>
      <w:r w:rsidR="00572098">
        <w:t>.</w:t>
      </w:r>
      <w:r w:rsidRPr="003B4BFD">
        <w:t xml:space="preserve"> </w:t>
      </w:r>
      <w:r w:rsidR="002658B5">
        <w:t>This is the Commonwealth’s share of the</w:t>
      </w:r>
      <w:r w:rsidR="00710027">
        <w:t xml:space="preserve"> additional</w:t>
      </w:r>
      <w:r w:rsidR="002658B5">
        <w:t xml:space="preserve"> costs</w:t>
      </w:r>
      <w:r w:rsidR="00710027">
        <w:t xml:space="preserve"> over that period</w:t>
      </w:r>
      <w:r w:rsidR="002658B5">
        <w:t xml:space="preserve"> for </w:t>
      </w:r>
      <w:proofErr w:type="spellStart"/>
      <w:r w:rsidR="002658B5">
        <w:t>DisabilityCare</w:t>
      </w:r>
      <w:proofErr w:type="spellEnd"/>
      <w:r w:rsidR="002658B5">
        <w:t xml:space="preserve"> Australia</w:t>
      </w:r>
      <w:r w:rsidR="00695EF3">
        <w:t>,</w:t>
      </w:r>
      <w:r w:rsidR="002658B5">
        <w:t xml:space="preserve"> assuming all </w:t>
      </w:r>
      <w:r w:rsidR="00E33045">
        <w:t>s</w:t>
      </w:r>
      <w:r w:rsidR="002658B5">
        <w:t xml:space="preserve">tates and </w:t>
      </w:r>
      <w:r w:rsidR="00E33045">
        <w:t>t</w:t>
      </w:r>
      <w:r w:rsidR="002658B5">
        <w:t>erritories accept the funding offer based on the agreement reached with New South Wales on 6 December 2012.</w:t>
      </w:r>
    </w:p>
    <w:p w:rsidR="00F90D2F" w:rsidRDefault="0083543E" w:rsidP="00F90D2F">
      <w:r>
        <w:t>The</w:t>
      </w:r>
      <w:r w:rsidR="00F90D2F">
        <w:t xml:space="preserve"> Australian Government has reached historic agreements with the</w:t>
      </w:r>
      <w:r w:rsidR="00785D90">
        <w:t xml:space="preserve"> governments of</w:t>
      </w:r>
      <w:r w:rsidR="00F90D2F">
        <w:t xml:space="preserve"> New South Wales</w:t>
      </w:r>
      <w:r w:rsidR="00785D90">
        <w:t>, Victoria,</w:t>
      </w:r>
      <w:r>
        <w:t xml:space="preserve"> Queensland,</w:t>
      </w:r>
      <w:r w:rsidR="00785D90">
        <w:t xml:space="preserve"> </w:t>
      </w:r>
      <w:r w:rsidR="00F90D2F">
        <w:t>South Australia</w:t>
      </w:r>
      <w:r w:rsidR="00785D90">
        <w:t>, Tasmania, the Australian Capital Territory</w:t>
      </w:r>
      <w:r w:rsidR="00F90D2F">
        <w:t xml:space="preserve"> </w:t>
      </w:r>
      <w:r w:rsidR="00896AE3">
        <w:t xml:space="preserve">and the Northern Territory </w:t>
      </w:r>
      <w:r w:rsidR="00F90D2F">
        <w:t xml:space="preserve">for the full </w:t>
      </w:r>
      <w:r w:rsidR="00830798">
        <w:t>roll-out</w:t>
      </w:r>
      <w:r w:rsidR="00F90D2F">
        <w:t xml:space="preserve"> of the scheme by July 201</w:t>
      </w:r>
      <w:r w:rsidR="00785D90">
        <w:t>9</w:t>
      </w:r>
      <w:r w:rsidR="00F90D2F">
        <w:t>.</w:t>
      </w:r>
    </w:p>
    <w:p w:rsidR="00DC29B2" w:rsidRDefault="00DC29B2" w:rsidP="00D5509E">
      <w:pPr>
        <w:pStyle w:val="Bullet"/>
      </w:pPr>
      <w:proofErr w:type="spellStart"/>
      <w:r>
        <w:t>DisabilityCare</w:t>
      </w:r>
      <w:proofErr w:type="spellEnd"/>
      <w:r>
        <w:t xml:space="preserve"> Australia will be in place across N</w:t>
      </w:r>
      <w:r w:rsidR="00E90D6E">
        <w:t xml:space="preserve">ew </w:t>
      </w:r>
      <w:r>
        <w:t>S</w:t>
      </w:r>
      <w:r w:rsidR="00E90D6E">
        <w:t xml:space="preserve">outh </w:t>
      </w:r>
      <w:r>
        <w:t>W</w:t>
      </w:r>
      <w:r w:rsidR="00E90D6E">
        <w:t>ales</w:t>
      </w:r>
      <w:r>
        <w:t xml:space="preserve"> from July 2018. This will provide support to around 150,000</w:t>
      </w:r>
      <w:r w:rsidR="00695EF3">
        <w:t> </w:t>
      </w:r>
      <w:r>
        <w:t>NSW residents with significant and permanent disability.</w:t>
      </w:r>
    </w:p>
    <w:p w:rsidR="00DC29B2" w:rsidRDefault="00DC29B2" w:rsidP="00D5509E">
      <w:pPr>
        <w:pStyle w:val="Bullet"/>
      </w:pPr>
      <w:proofErr w:type="spellStart"/>
      <w:r>
        <w:t>DisabilityCare</w:t>
      </w:r>
      <w:proofErr w:type="spellEnd"/>
      <w:r>
        <w:t xml:space="preserve"> Australia will be in place across Victoria from July 2019, covering more than 100,000</w:t>
      </w:r>
      <w:r w:rsidR="00695EF3">
        <w:t> </w:t>
      </w:r>
      <w:r>
        <w:t>Victorian residents with significant and permanent disability.</w:t>
      </w:r>
    </w:p>
    <w:p w:rsidR="00DC29B2" w:rsidRDefault="00DC29B2" w:rsidP="00D5509E">
      <w:pPr>
        <w:pStyle w:val="Bullet"/>
      </w:pPr>
      <w:proofErr w:type="spellStart"/>
      <w:r>
        <w:t>DisabilityCare</w:t>
      </w:r>
      <w:proofErr w:type="spellEnd"/>
      <w:r>
        <w:t xml:space="preserve"> Australia will be in place across Queensland from July 2019, covering around 97,000</w:t>
      </w:r>
      <w:r w:rsidR="00695EF3">
        <w:t> </w:t>
      </w:r>
      <w:r>
        <w:t>Queensland residents with significant and permanent disability.</w:t>
      </w:r>
    </w:p>
    <w:p w:rsidR="00DC29B2" w:rsidRDefault="00DC29B2" w:rsidP="00D5509E">
      <w:pPr>
        <w:pStyle w:val="Bullet"/>
      </w:pPr>
      <w:proofErr w:type="spellStart"/>
      <w:r>
        <w:t>DisabilityCare</w:t>
      </w:r>
      <w:proofErr w:type="spellEnd"/>
      <w:r>
        <w:t xml:space="preserve"> will be in place Australia across South Australia from July 2018, covering around 33,000</w:t>
      </w:r>
      <w:r w:rsidR="00695EF3">
        <w:t> </w:t>
      </w:r>
      <w:r>
        <w:t>South Australian residents with significant and permanent disability.</w:t>
      </w:r>
    </w:p>
    <w:p w:rsidR="00DC29B2" w:rsidRDefault="00DC29B2" w:rsidP="00D5509E">
      <w:pPr>
        <w:pStyle w:val="Bullet"/>
      </w:pPr>
      <w:proofErr w:type="spellStart"/>
      <w:r>
        <w:t>DisabilityCare</w:t>
      </w:r>
      <w:proofErr w:type="spellEnd"/>
      <w:r>
        <w:t xml:space="preserve"> Australia will be in place across Tasmania from July 2019, covering around 11,000</w:t>
      </w:r>
      <w:r w:rsidR="00695EF3">
        <w:t> </w:t>
      </w:r>
      <w:r>
        <w:t>Tasmanian residents with significant and permanent disability.</w:t>
      </w:r>
    </w:p>
    <w:p w:rsidR="00DC29B2" w:rsidRDefault="00DC29B2" w:rsidP="00D5509E">
      <w:pPr>
        <w:pStyle w:val="Bullet"/>
      </w:pPr>
      <w:proofErr w:type="spellStart"/>
      <w:r>
        <w:t>DisabilityCare</w:t>
      </w:r>
      <w:proofErr w:type="spellEnd"/>
      <w:r>
        <w:t xml:space="preserve"> Australia will be in place across the A</w:t>
      </w:r>
      <w:r w:rsidR="00E90D6E">
        <w:t xml:space="preserve">ustralian </w:t>
      </w:r>
      <w:r>
        <w:t>C</w:t>
      </w:r>
      <w:r w:rsidR="00E90D6E">
        <w:t xml:space="preserve">apital </w:t>
      </w:r>
      <w:r>
        <w:t>T</w:t>
      </w:r>
      <w:r w:rsidR="00E90D6E">
        <w:t>erritory</w:t>
      </w:r>
      <w:r>
        <w:t xml:space="preserve"> from July 2016, covering more than 5,000</w:t>
      </w:r>
      <w:r w:rsidR="00695EF3">
        <w:t> </w:t>
      </w:r>
      <w:r>
        <w:t>ACT residents with significant and permanent disability.</w:t>
      </w:r>
    </w:p>
    <w:p w:rsidR="00DC29B2" w:rsidRDefault="00DC29B2" w:rsidP="00D5509E">
      <w:pPr>
        <w:pStyle w:val="Bullet"/>
      </w:pPr>
      <w:proofErr w:type="spellStart"/>
      <w:r>
        <w:t>DisabilityCare</w:t>
      </w:r>
      <w:proofErr w:type="spellEnd"/>
      <w:r>
        <w:t xml:space="preserve"> Australia will be in place across the N</w:t>
      </w:r>
      <w:r w:rsidR="00E90D6E">
        <w:t xml:space="preserve">orthern </w:t>
      </w:r>
      <w:r>
        <w:t>T</w:t>
      </w:r>
      <w:r w:rsidR="00E90D6E">
        <w:t>erritory</w:t>
      </w:r>
      <w:r>
        <w:t xml:space="preserve"> from July 2019 covering around 7,000</w:t>
      </w:r>
      <w:r w:rsidR="00695EF3">
        <w:t> </w:t>
      </w:r>
      <w:r>
        <w:t xml:space="preserve">people in the </w:t>
      </w:r>
      <w:r w:rsidR="00E90D6E">
        <w:t xml:space="preserve">Territory </w:t>
      </w:r>
      <w:r>
        <w:t>with significant and permanent disability.</w:t>
      </w:r>
    </w:p>
    <w:p w:rsidR="00F90D2F" w:rsidRDefault="00F90D2F" w:rsidP="00F90D2F">
      <w:r>
        <w:lastRenderedPageBreak/>
        <w:t xml:space="preserve">The Government will continue to </w:t>
      </w:r>
      <w:r w:rsidR="00896AE3">
        <w:t>pursue</w:t>
      </w:r>
      <w:r>
        <w:t xml:space="preserve"> the national </w:t>
      </w:r>
      <w:r w:rsidR="00830798">
        <w:t>roll-out</w:t>
      </w:r>
      <w:r>
        <w:t xml:space="preserve"> of </w:t>
      </w:r>
      <w:proofErr w:type="spellStart"/>
      <w:r>
        <w:t>DisabilityCare</w:t>
      </w:r>
      <w:proofErr w:type="spellEnd"/>
      <w:r>
        <w:t xml:space="preserve"> Australia, so that all Australians can </w:t>
      </w:r>
      <w:r w:rsidR="00F96CBF">
        <w:t>have peace of mind</w:t>
      </w:r>
      <w:r>
        <w:t xml:space="preserve"> that if they</w:t>
      </w:r>
      <w:r w:rsidR="00F96CBF">
        <w:t xml:space="preserve"> or a loved one</w:t>
      </w:r>
      <w:r>
        <w:t xml:space="preserve"> have or acquire a significant and permanent disability they will have their needs met in a way that supports them to live with dignity and choice.</w:t>
      </w:r>
    </w:p>
    <w:p w:rsidR="00F96CBF" w:rsidRDefault="00F96CBF" w:rsidP="00F90D2F">
      <w:r>
        <w:t xml:space="preserve">To complement the broader inclusion aims of </w:t>
      </w:r>
      <w:proofErr w:type="spellStart"/>
      <w:r>
        <w:t>DisabilityCare</w:t>
      </w:r>
      <w:proofErr w:type="spellEnd"/>
      <w:r>
        <w:t xml:space="preserve"> Australia in 2013–14, FaHCSIA will further progress work with the states and territories to implement the National Disability Strategy 2010–2020. This strategy seeks to bring about change in all mainstream and specialist services and programs, as well as community infrastructure, to ensure that they are accessible and responsive to the needs of people with disability. Work with state and territory governments on key priority areas under the National Disability Agreement is also progressing.</w:t>
      </w:r>
    </w:p>
    <w:p w:rsidR="00F90D2F" w:rsidRDefault="00F90D2F" w:rsidP="00F90D2F">
      <w:r>
        <w:t>FaHCSIA will</w:t>
      </w:r>
      <w:r w:rsidR="00F96CBF">
        <w:t xml:space="preserve"> also</w:t>
      </w:r>
      <w:r>
        <w:t xml:space="preserve"> continue to work with Australian Disability Enterprises to prepare for </w:t>
      </w:r>
      <w:proofErr w:type="spellStart"/>
      <w:r>
        <w:t>DisabilityCare</w:t>
      </w:r>
      <w:proofErr w:type="spellEnd"/>
      <w:r>
        <w:t xml:space="preserve"> Australia through </w:t>
      </w:r>
      <w:r w:rsidR="006474EA">
        <w:t>the</w:t>
      </w:r>
      <w:r>
        <w:t xml:space="preserve"> 10-year Australian Government </w:t>
      </w:r>
      <w:r w:rsidR="00F71733">
        <w:t>v</w:t>
      </w:r>
      <w:r w:rsidR="00F71733" w:rsidRPr="0040773D">
        <w:t xml:space="preserve">ision </w:t>
      </w:r>
      <w:r w:rsidRPr="0040773D">
        <w:t xml:space="preserve">for </w:t>
      </w:r>
      <w:r w:rsidR="00865DB0">
        <w:t>i</w:t>
      </w:r>
      <w:r w:rsidR="00865DB0" w:rsidRPr="0040773D">
        <w:t xml:space="preserve">nclusive </w:t>
      </w:r>
      <w:r w:rsidR="00F71733">
        <w:t>e</w:t>
      </w:r>
      <w:r w:rsidR="00F71733" w:rsidRPr="0040773D">
        <w:t>mployment</w:t>
      </w:r>
      <w:r>
        <w:t>.</w:t>
      </w:r>
    </w:p>
    <w:p w:rsidR="00F90D2F" w:rsidRDefault="00F90D2F" w:rsidP="00F90D2F">
      <w:r>
        <w:t>Monitoring the impact of reforms to the Disability Support Pension</w:t>
      </w:r>
      <w:r w:rsidR="00B60A94">
        <w:t xml:space="preserve"> (DSP)</w:t>
      </w:r>
      <w:r>
        <w:t xml:space="preserve"> to help people with disability to work wherever possible also remains a key priority for the Government.</w:t>
      </w:r>
      <w:r w:rsidR="00B60A94">
        <w:t xml:space="preserve"> These reforms include</w:t>
      </w:r>
      <w:r>
        <w:t xml:space="preserve"> new participation requirements </w:t>
      </w:r>
      <w:r w:rsidR="00B60A94">
        <w:t>for young people on the DSP, more generous rules for people on the DSP who work, and changes to the impairment tables that assess a person’s eligibility for the DSP.</w:t>
      </w:r>
    </w:p>
    <w:p w:rsidR="00F90D2F" w:rsidRDefault="00F90D2F" w:rsidP="00F90D2F">
      <w:r>
        <w:t>In 2013–14, FaHCSIA will further expand community-based mental health services, including new Personal Helpers and Mentors employment services.</w:t>
      </w:r>
    </w:p>
    <w:p w:rsidR="00510087" w:rsidRDefault="00510087" w:rsidP="0055685F">
      <w:pPr>
        <w:pStyle w:val="Heading4"/>
      </w:pPr>
      <w:r>
        <w:t xml:space="preserve">Providing </w:t>
      </w:r>
      <w:r w:rsidR="004A7A31">
        <w:t>s</w:t>
      </w:r>
      <w:r>
        <w:t xml:space="preserve">upport and </w:t>
      </w:r>
      <w:r w:rsidR="004A7A31">
        <w:t>o</w:t>
      </w:r>
      <w:r>
        <w:t xml:space="preserve">pportunities for Australian </w:t>
      </w:r>
      <w:r w:rsidR="004A7A31">
        <w:t>f</w:t>
      </w:r>
      <w:r>
        <w:t>amilies</w:t>
      </w:r>
    </w:p>
    <w:p w:rsidR="00A434FA" w:rsidRDefault="00A434FA" w:rsidP="00A434FA">
      <w:r>
        <w:t>Improving the wellbeing of families and children continues to be a key priority for the Government.</w:t>
      </w:r>
    </w:p>
    <w:p w:rsidR="00A434FA" w:rsidRDefault="00A434FA" w:rsidP="00A434FA">
      <w:r>
        <w:t>Programs are designed to give children the best possible start in life</w:t>
      </w:r>
      <w:r w:rsidR="000E7253">
        <w:t xml:space="preserve"> and</w:t>
      </w:r>
      <w:r>
        <w:t xml:space="preserve"> help families </w:t>
      </w:r>
      <w:r w:rsidR="000E7253">
        <w:t>with the costs of raising children.</w:t>
      </w:r>
    </w:p>
    <w:p w:rsidR="00A434FA" w:rsidRDefault="00A434FA" w:rsidP="00A434FA">
      <w:r>
        <w:t xml:space="preserve">The Schoolkids Bonus, which began on 1 January 2013, is assisting about 1.3 million low- and medium-income families with </w:t>
      </w:r>
      <w:r w:rsidR="00D70AAF">
        <w:t xml:space="preserve">children with </w:t>
      </w:r>
      <w:r>
        <w:t xml:space="preserve">the costs of </w:t>
      </w:r>
      <w:r w:rsidR="00D70AAF">
        <w:t>education</w:t>
      </w:r>
      <w:r>
        <w:t xml:space="preserve">. The Schoolkids Bonus helps parents buy uniforms, shoes, school books and stationery, as well as assisting with other costs like school excursions, music lessons and sports registration fees. The </w:t>
      </w:r>
      <w:r w:rsidR="000E7253">
        <w:t xml:space="preserve">second Schoolkids Bonus payment will be paid in </w:t>
      </w:r>
      <w:r>
        <w:t>July</w:t>
      </w:r>
      <w:r w:rsidR="000E7253">
        <w:t xml:space="preserve"> 2013</w:t>
      </w:r>
      <w:r>
        <w:t>.</w:t>
      </w:r>
    </w:p>
    <w:p w:rsidR="00A434FA" w:rsidRDefault="00A434FA" w:rsidP="00A434FA">
      <w:r>
        <w:t>On 1 January 2013, the Australian Government expanded the Paid Parental Leave scheme to include Dad and Partner Pay, giving fathers and partners the opportunity to bond with their child and encourage them to take on a greater role in caring for their child.</w:t>
      </w:r>
    </w:p>
    <w:p w:rsidR="00A434FA" w:rsidRDefault="00A434FA" w:rsidP="00A434FA">
      <w:r>
        <w:lastRenderedPageBreak/>
        <w:t>In the 2013–14 Budget, the Government is making changes to the family payment system to make it fairer and simpler, and ensure its long-term sustainability.</w:t>
      </w:r>
    </w:p>
    <w:p w:rsidR="00D70AAF" w:rsidRDefault="00D70AAF" w:rsidP="00A434FA">
      <w:r>
        <w:t xml:space="preserve">From 1 March 2014, the Baby Bonus will be replaced by </w:t>
      </w:r>
      <w:r w:rsidR="00F96CBF">
        <w:t>a loading on</w:t>
      </w:r>
      <w:r>
        <w:t xml:space="preserve"> Family Tax Benefit </w:t>
      </w:r>
      <w:r w:rsidR="00F96CBF">
        <w:t xml:space="preserve">(FTB) </w:t>
      </w:r>
      <w:r>
        <w:t xml:space="preserve">Part A </w:t>
      </w:r>
      <w:r w:rsidR="00A55954">
        <w:t>payments when eligible families have a new baby.</w:t>
      </w:r>
      <w:r>
        <w:t xml:space="preserve"> The payment, worth $2,000 for the first child and $1,000 for subsequent children, will be paid as an initial instalment of $500, with </w:t>
      </w:r>
      <w:r w:rsidR="00A709D2">
        <w:t xml:space="preserve">the </w:t>
      </w:r>
      <w:r>
        <w:t xml:space="preserve">rest paid </w:t>
      </w:r>
      <w:r w:rsidR="00A55954">
        <w:t>in normal fortnightly FTB payments. These new arrangements more closely reflect the essential upfront costs of having a baby and better target assistance now that Australia has a national Paid Parental Leave scheme. Families who receive Paid Parental Leave will not receive the higher payment</w:t>
      </w:r>
      <w:r>
        <w:t>.</w:t>
      </w:r>
    </w:p>
    <w:p w:rsidR="00D70AAF" w:rsidRDefault="00D70AAF" w:rsidP="00A434FA">
      <w:r>
        <w:t xml:space="preserve">The Budget also </w:t>
      </w:r>
      <w:r w:rsidR="00A55954">
        <w:t xml:space="preserve">continues </w:t>
      </w:r>
      <w:r>
        <w:t xml:space="preserve">indexation </w:t>
      </w:r>
      <w:r w:rsidR="00543B1E">
        <w:t xml:space="preserve">pauses </w:t>
      </w:r>
      <w:r w:rsidR="00A709D2">
        <w:t>o</w:t>
      </w:r>
      <w:r w:rsidR="00543B1E">
        <w:t>n the high</w:t>
      </w:r>
      <w:r w:rsidR="004D07EE">
        <w:t xml:space="preserve"> </w:t>
      </w:r>
      <w:r w:rsidR="00E90D6E">
        <w:t>income-</w:t>
      </w:r>
      <w:r w:rsidR="004D07EE">
        <w:t xml:space="preserve">free area </w:t>
      </w:r>
      <w:r w:rsidR="00543B1E">
        <w:t xml:space="preserve">for </w:t>
      </w:r>
      <w:r w:rsidR="00E90D6E">
        <w:t>FTB </w:t>
      </w:r>
      <w:r w:rsidR="00865DB0">
        <w:t>Part </w:t>
      </w:r>
      <w:r w:rsidR="00543B1E">
        <w:t xml:space="preserve">A and </w:t>
      </w:r>
      <w:r w:rsidR="00B10D06">
        <w:t xml:space="preserve">on </w:t>
      </w:r>
      <w:r w:rsidR="00543B1E">
        <w:t xml:space="preserve">the income limits for </w:t>
      </w:r>
      <w:r w:rsidR="00A55954">
        <w:t>FTB</w:t>
      </w:r>
      <w:r w:rsidR="00543B1E">
        <w:t xml:space="preserve"> Part B, Paid Parental Leave, and Dad and Partner Pay. In addition, the annual </w:t>
      </w:r>
      <w:r w:rsidR="00A55954">
        <w:t>FTB</w:t>
      </w:r>
      <w:r w:rsidR="00543B1E">
        <w:t xml:space="preserve"> Part A and Part B end-of-year supplements will remain at their current level until 30 June 2017.</w:t>
      </w:r>
    </w:p>
    <w:p w:rsidR="00A55954" w:rsidRDefault="00A55954" w:rsidP="006D2B7E">
      <w:pPr>
        <w:pStyle w:val="BulletIntro"/>
      </w:pPr>
      <w:r>
        <w:t>Other reforms to family payments in the budget are:</w:t>
      </w:r>
    </w:p>
    <w:p w:rsidR="00543B1E" w:rsidRDefault="00543B1E" w:rsidP="006D2B7E">
      <w:pPr>
        <w:pStyle w:val="Bullet"/>
      </w:pPr>
      <w:r>
        <w:t xml:space="preserve">From 1 January 2014, </w:t>
      </w:r>
      <w:r w:rsidR="00A55954">
        <w:t>FTB</w:t>
      </w:r>
      <w:r>
        <w:t xml:space="preserve"> Part A will be better targeted to families with teenagers who are in school.</w:t>
      </w:r>
    </w:p>
    <w:p w:rsidR="00A434FA" w:rsidRDefault="00E4405A" w:rsidP="006D2B7E">
      <w:pPr>
        <w:pStyle w:val="Bullet"/>
      </w:pPr>
      <w:r>
        <w:t xml:space="preserve">The </w:t>
      </w:r>
      <w:r w:rsidR="00A434FA">
        <w:t xml:space="preserve">period for claiming </w:t>
      </w:r>
      <w:r w:rsidR="00830798">
        <w:t xml:space="preserve">the </w:t>
      </w:r>
      <w:r w:rsidR="00A55954">
        <w:t>FTB</w:t>
      </w:r>
      <w:r w:rsidR="00A434FA">
        <w:t xml:space="preserve"> and </w:t>
      </w:r>
      <w:r w:rsidR="000D5FBE">
        <w:t>C</w:t>
      </w:r>
      <w:r w:rsidR="00A434FA">
        <w:t xml:space="preserve">hild </w:t>
      </w:r>
      <w:r w:rsidR="000D5FBE">
        <w:t>C</w:t>
      </w:r>
      <w:r w:rsidR="00A434FA">
        <w:t xml:space="preserve">are </w:t>
      </w:r>
      <w:r w:rsidR="000D5FBE">
        <w:t>B</w:t>
      </w:r>
      <w:r w:rsidR="00A434FA">
        <w:t xml:space="preserve">enefit, and the period for lodging a tax return to receive the end-of-year </w:t>
      </w:r>
      <w:r w:rsidR="00A55954">
        <w:t>FTB</w:t>
      </w:r>
      <w:r w:rsidR="00A434FA">
        <w:t xml:space="preserve"> supplements, </w:t>
      </w:r>
      <w:r w:rsidR="00A55954">
        <w:t xml:space="preserve">will be reduced </w:t>
      </w:r>
      <w:r w:rsidR="00A434FA">
        <w:t>from two years to one year</w:t>
      </w:r>
      <w:r w:rsidR="00A55954">
        <w:t xml:space="preserve"> from </w:t>
      </w:r>
      <w:r w:rsidR="00687B08">
        <w:t>the 2012–13 entitlement year, meaning families will only have until 30 June 2014 for that year</w:t>
      </w:r>
      <w:r w:rsidR="00593578">
        <w:t>.</w:t>
      </w:r>
    </w:p>
    <w:p w:rsidR="00510087" w:rsidRDefault="00A434FA" w:rsidP="006D2B7E">
      <w:pPr>
        <w:pStyle w:val="BulletLast"/>
      </w:pPr>
      <w:r>
        <w:t xml:space="preserve">From 1 July 2014, </w:t>
      </w:r>
      <w:r w:rsidR="00A55954">
        <w:t>the rules for receiving family payments when over</w:t>
      </w:r>
      <w:r w:rsidR="00593578">
        <w:t>s</w:t>
      </w:r>
      <w:r w:rsidR="00A55954">
        <w:t>eas will change so that families</w:t>
      </w:r>
      <w:r w:rsidR="007766C5">
        <w:t xml:space="preserve"> who are temporarily overseas</w:t>
      </w:r>
      <w:r w:rsidR="00A55954">
        <w:t xml:space="preserve"> can </w:t>
      </w:r>
      <w:r w:rsidR="007766C5">
        <w:t xml:space="preserve">only continue to receive payments </w:t>
      </w:r>
      <w:r w:rsidR="00A55954">
        <w:t xml:space="preserve">for one year, rather than </w:t>
      </w:r>
      <w:r w:rsidR="007766C5">
        <w:t>three years</w:t>
      </w:r>
      <w:r w:rsidR="00A55954">
        <w:t>.</w:t>
      </w:r>
      <w:r>
        <w:t xml:space="preserve"> These payments include </w:t>
      </w:r>
      <w:r w:rsidR="00865DB0">
        <w:t>FTB</w:t>
      </w:r>
      <w:r w:rsidR="00E90D6E">
        <w:t> </w:t>
      </w:r>
      <w:r>
        <w:t>Part</w:t>
      </w:r>
      <w:r w:rsidR="007766C5">
        <w:t> </w:t>
      </w:r>
      <w:r>
        <w:t>A, the Schoolkids Bonus, Paid Parental Leave and Dad and Partner Pay.</w:t>
      </w:r>
    </w:p>
    <w:p w:rsidR="00510087" w:rsidRDefault="00510087" w:rsidP="0055685F">
      <w:pPr>
        <w:pStyle w:val="Heading4"/>
      </w:pPr>
      <w:r>
        <w:t xml:space="preserve">Closing the Gap on Indigenous </w:t>
      </w:r>
      <w:r w:rsidR="00691EBF">
        <w:t>d</w:t>
      </w:r>
      <w:r>
        <w:t>isadvantage</w:t>
      </w:r>
    </w:p>
    <w:p w:rsidR="002E62C5" w:rsidRPr="002E62C5" w:rsidRDefault="002E62C5" w:rsidP="00CE6400">
      <w:r w:rsidRPr="002E62C5">
        <w:t>The 2013</w:t>
      </w:r>
      <w:r>
        <w:rPr>
          <w:b/>
          <w:bCs/>
        </w:rPr>
        <w:t>–</w:t>
      </w:r>
      <w:r w:rsidRPr="002E62C5">
        <w:t xml:space="preserve">14 Budget continues the commitment to Closing the Gap with more than </w:t>
      </w:r>
      <w:r w:rsidRPr="008D40DD">
        <w:t>$</w:t>
      </w:r>
      <w:r w:rsidR="008D40DD">
        <w:t>1.6 b</w:t>
      </w:r>
      <w:r w:rsidRPr="002E62C5">
        <w:t xml:space="preserve">illion in funding for improved health outcomes, essential services, welfare reform, recognition and engagement, and Indigenous languages and art. </w:t>
      </w:r>
    </w:p>
    <w:p w:rsidR="002E62C5" w:rsidRPr="002E62C5" w:rsidRDefault="002E62C5" w:rsidP="00CE6400">
      <w:r w:rsidRPr="002E62C5">
        <w:t xml:space="preserve">Through a coordinated approach, the Closing the Gap framework has ended the previous ad hoc approach to addressing Indigenous disadvantage. </w:t>
      </w:r>
    </w:p>
    <w:p w:rsidR="002E62C5" w:rsidRPr="002E62C5" w:rsidRDefault="002E62C5" w:rsidP="00CE6400">
      <w:r w:rsidRPr="002E62C5">
        <w:t>Closing the Gap has involved unprecedented levels of investment by governments across seven interlinked areas, known as ‘building blocks’. This investment has been driven by three imperatives: overcoming decades of underinvestment in infrastructure, supporting personal responsibility and building respect between Indigenous and non-Indigenous Australians.</w:t>
      </w:r>
    </w:p>
    <w:p w:rsidR="002E62C5" w:rsidRPr="002E62C5" w:rsidRDefault="002E62C5" w:rsidP="00CE6400">
      <w:r w:rsidRPr="002E62C5">
        <w:lastRenderedPageBreak/>
        <w:t>Under the Closing the Gap framework, six ambitious targets have been set to close the gap between Indigenous and non-Indigenous people. These relate to life expectancy, child mortality, education and employment.</w:t>
      </w:r>
    </w:p>
    <w:p w:rsidR="002E62C5" w:rsidRPr="002E62C5" w:rsidRDefault="002E62C5" w:rsidP="00CE6400">
      <w:r w:rsidRPr="002E62C5">
        <w:t>The Closing the Gap target that all Indigenous four-year-olds living in remote communities have access to early childhood education will be met in 2013. And two other targets, relating to mortality rates for Indigenous children and education attainment rates, are either on track to be met or are ahead of schedule.</w:t>
      </w:r>
    </w:p>
    <w:p w:rsidR="002E62C5" w:rsidRPr="002E62C5" w:rsidRDefault="002E62C5" w:rsidP="00CE6400">
      <w:r w:rsidRPr="002E62C5">
        <w:t xml:space="preserve">These advances will be maintained to ensure the benefits flow through to other </w:t>
      </w:r>
      <w:proofErr w:type="gramStart"/>
      <w:r w:rsidRPr="002E62C5">
        <w:t>Closing</w:t>
      </w:r>
      <w:proofErr w:type="gramEnd"/>
      <w:r w:rsidRPr="002E62C5">
        <w:t xml:space="preserve"> the Gap targets and further address Indigenous disadvantage. </w:t>
      </w:r>
    </w:p>
    <w:p w:rsidR="002E62C5" w:rsidRPr="002E62C5" w:rsidRDefault="002E62C5" w:rsidP="00CE6400">
      <w:r w:rsidRPr="002E62C5">
        <w:t>Significant investment in areas such as health, education and infrastructure will build on the Government’s achievements in reducing Indigenous disadvantage.</w:t>
      </w:r>
    </w:p>
    <w:p w:rsidR="002E62C5" w:rsidRPr="002E62C5" w:rsidRDefault="002E62C5" w:rsidP="00CE6400">
      <w:r w:rsidRPr="002E62C5">
        <w:t xml:space="preserve">The Government will provide </w:t>
      </w:r>
      <w:r w:rsidRPr="008D40DD">
        <w:t>$</w:t>
      </w:r>
      <w:r w:rsidR="008D40DD">
        <w:t>24.5</w:t>
      </w:r>
      <w:r w:rsidRPr="002E62C5">
        <w:t xml:space="preserve"> </w:t>
      </w:r>
      <w:r w:rsidR="008D40DD">
        <w:t xml:space="preserve">million </w:t>
      </w:r>
      <w:r w:rsidRPr="002E62C5">
        <w:t xml:space="preserve">to continue and enhance Cape York Welfare </w:t>
      </w:r>
      <w:r w:rsidR="00440880">
        <w:t xml:space="preserve">Reform </w:t>
      </w:r>
      <w:r w:rsidRPr="002E62C5">
        <w:t>measures in the communities of Aurukun</w:t>
      </w:r>
      <w:r w:rsidR="00440880">
        <w:t>,</w:t>
      </w:r>
      <w:r w:rsidR="00440880" w:rsidRPr="00440880">
        <w:t xml:space="preserve"> </w:t>
      </w:r>
      <w:r w:rsidR="00440880" w:rsidRPr="002E62C5">
        <w:t>Coen,</w:t>
      </w:r>
      <w:r w:rsidRPr="002E62C5">
        <w:t xml:space="preserve"> Hope Vale </w:t>
      </w:r>
      <w:r w:rsidR="00440880">
        <w:t xml:space="preserve">and Mossman Gorge </w:t>
      </w:r>
      <w:r w:rsidRPr="002E62C5">
        <w:t xml:space="preserve">to December 2015. This will embed and continue </w:t>
      </w:r>
      <w:r w:rsidR="00440880">
        <w:t>an</w:t>
      </w:r>
      <w:r w:rsidR="00440880" w:rsidRPr="002E62C5">
        <w:t xml:space="preserve"> </w:t>
      </w:r>
      <w:r w:rsidRPr="002E62C5">
        <w:t xml:space="preserve">innovative approach </w:t>
      </w:r>
      <w:r w:rsidR="00440880">
        <w:t>that</w:t>
      </w:r>
      <w:r w:rsidR="00440880" w:rsidRPr="002E62C5">
        <w:t xml:space="preserve"> </w:t>
      </w:r>
      <w:r w:rsidRPr="002E62C5">
        <w:t>has led to substantial improvements especially in school attendance and</w:t>
      </w:r>
      <w:r w:rsidR="00E90D6E">
        <w:t xml:space="preserve"> the</w:t>
      </w:r>
      <w:r w:rsidRPr="002E62C5">
        <w:t xml:space="preserve"> restoration of local authority.</w:t>
      </w:r>
    </w:p>
    <w:p w:rsidR="002E62C5" w:rsidRPr="002E62C5" w:rsidRDefault="002E62C5" w:rsidP="00CE6400">
      <w:r w:rsidRPr="002E62C5">
        <w:t xml:space="preserve">The Budget will provide </w:t>
      </w:r>
      <w:r w:rsidRPr="008D40DD">
        <w:t>$</w:t>
      </w:r>
      <w:r w:rsidR="008D40DD">
        <w:t>44.1 million</w:t>
      </w:r>
      <w:r w:rsidRPr="002E62C5">
        <w:t xml:space="preserve"> to extend the Municipal and Essential Services program to 30 June 2014, which will ensure that Indigenous Australians in remote communities across Queensland, </w:t>
      </w:r>
      <w:r w:rsidR="00440880" w:rsidRPr="002E62C5">
        <w:t>South Australia,</w:t>
      </w:r>
      <w:r w:rsidR="00440880">
        <w:t xml:space="preserve"> </w:t>
      </w:r>
      <w:r w:rsidR="00440880" w:rsidRPr="002E62C5">
        <w:t>Tasmania</w:t>
      </w:r>
      <w:r w:rsidR="00440880">
        <w:t>,</w:t>
      </w:r>
      <w:r w:rsidR="00440880" w:rsidRPr="002E62C5">
        <w:t xml:space="preserve"> </w:t>
      </w:r>
      <w:r w:rsidRPr="002E62C5">
        <w:t xml:space="preserve">Victoria and </w:t>
      </w:r>
      <w:r w:rsidR="00440880" w:rsidRPr="002E62C5">
        <w:t>Western Australia</w:t>
      </w:r>
      <w:r w:rsidR="00440880" w:rsidRPr="002E62C5" w:rsidDel="00440880">
        <w:t xml:space="preserve"> </w:t>
      </w:r>
      <w:r w:rsidRPr="002E62C5">
        <w:t>continue to receive municipal and essential services.</w:t>
      </w:r>
    </w:p>
    <w:p w:rsidR="002E62C5" w:rsidRPr="002E62C5" w:rsidRDefault="002E62C5" w:rsidP="00CE6400">
      <w:r w:rsidRPr="002E62C5">
        <w:t>The Australian Government is committed to constitutional recognition for Indigenous people and believes a referendum to bring about such change should be held when it has the most chance of success.</w:t>
      </w:r>
    </w:p>
    <w:p w:rsidR="002E62C5" w:rsidRPr="002E62C5" w:rsidRDefault="002E62C5" w:rsidP="00CE6400">
      <w:r w:rsidRPr="002E62C5">
        <w:t>To help make this a reality, Reconciliation Australia has been provided with $10</w:t>
      </w:r>
      <w:r>
        <w:t> </w:t>
      </w:r>
      <w:r w:rsidRPr="002E62C5">
        <w:t xml:space="preserve">million to promote public awareness and community support for Indigenous constitutional recognition. </w:t>
      </w:r>
    </w:p>
    <w:p w:rsidR="002E62C5" w:rsidRPr="002E62C5" w:rsidRDefault="002E62C5" w:rsidP="00CE6400">
      <w:r w:rsidRPr="002E62C5">
        <w:t xml:space="preserve">An </w:t>
      </w:r>
      <w:r w:rsidRPr="006D2B7E">
        <w:t>Act of Recognition</w:t>
      </w:r>
      <w:r w:rsidRPr="002E62C5">
        <w:t xml:space="preserve"> was enacted by the Australian Parliament earlier this year to recognise the unique and special place of Aboriginal and Torres Strait Islander peoples as the first people of Australia. </w:t>
      </w:r>
    </w:p>
    <w:p w:rsidR="002E62C5" w:rsidRPr="002E62C5" w:rsidRDefault="002E62C5" w:rsidP="00CE6400">
      <w:r w:rsidRPr="002E62C5">
        <w:t>The Government is continuing to work with organisations such as Reconciliation Australia</w:t>
      </w:r>
      <w:r w:rsidR="00397B88">
        <w:t xml:space="preserve"> and</w:t>
      </w:r>
      <w:r w:rsidRPr="002E62C5">
        <w:t xml:space="preserve"> the National Congress of Australia’s First Peoples</w:t>
      </w:r>
      <w:r w:rsidR="00397B88">
        <w:t xml:space="preserve"> </w:t>
      </w:r>
      <w:r w:rsidRPr="002E62C5">
        <w:t>to promote reconciliation and build stronger relations between Indigenous and non-Indigenous Australians.</w:t>
      </w:r>
    </w:p>
    <w:p w:rsidR="002E62C5" w:rsidRPr="002E62C5" w:rsidRDefault="002E62C5" w:rsidP="00CE6400">
      <w:r w:rsidRPr="002E62C5">
        <w:lastRenderedPageBreak/>
        <w:t xml:space="preserve">This Budget builds on other major </w:t>
      </w:r>
      <w:r w:rsidR="00820EFD">
        <w:t>g</w:t>
      </w:r>
      <w:r w:rsidRPr="002E62C5">
        <w:t xml:space="preserve">overnment reforms that FaHCSIA significantly contributes to, including the $3.4 billion Stronger Futures in the Northern Territory package, the $1.5 billion Remote Jobs and Communities </w:t>
      </w:r>
      <w:r w:rsidR="00B6221A">
        <w:t>Program</w:t>
      </w:r>
      <w:r w:rsidRPr="002E62C5">
        <w:t xml:space="preserve"> and the $5.5</w:t>
      </w:r>
      <w:r>
        <w:t> </w:t>
      </w:r>
      <w:r w:rsidRPr="002E62C5">
        <w:t>billion National Partnership Agreement on Remote Indigenous Housing.</w:t>
      </w:r>
    </w:p>
    <w:p w:rsidR="002E62C5" w:rsidRPr="002E62C5" w:rsidRDefault="002E62C5" w:rsidP="00CE6400">
      <w:r w:rsidRPr="002E62C5">
        <w:t>Stronger Futures in the Northern Territory is a 10-year commitment by the Australian Government to work with Aboriginal people in the Northern Territory to build strong, independent lives, where communities, families and children are safe and healthy.</w:t>
      </w:r>
    </w:p>
    <w:p w:rsidR="002E62C5" w:rsidRPr="002E62C5" w:rsidRDefault="002E62C5" w:rsidP="00CE6400">
      <w:r w:rsidRPr="002E62C5">
        <w:t xml:space="preserve">The </w:t>
      </w:r>
      <w:r w:rsidR="00820EFD" w:rsidRPr="002E62C5">
        <w:t xml:space="preserve">Remote Jobs and Communities </w:t>
      </w:r>
      <w:r w:rsidR="00B6221A">
        <w:t>Program</w:t>
      </w:r>
      <w:r w:rsidR="00820EFD" w:rsidRPr="002E62C5">
        <w:t xml:space="preserve"> </w:t>
      </w:r>
      <w:r w:rsidRPr="002E62C5">
        <w:t>will start on 1 July 2013 and provide a simpler, more integrated and flexible approach to participation and employment services for people living in remote areas of Australia.</w:t>
      </w:r>
    </w:p>
    <w:p w:rsidR="002E62C5" w:rsidRPr="002E62C5" w:rsidRDefault="002E62C5" w:rsidP="00CE6400">
      <w:r w:rsidRPr="002E62C5">
        <w:t xml:space="preserve">Under the </w:t>
      </w:r>
      <w:r w:rsidR="00F55C41" w:rsidRPr="002E62C5">
        <w:t>National Partnership Agreement on Remote Indigenous Housing</w:t>
      </w:r>
      <w:r w:rsidRPr="002E62C5">
        <w:t>, more than 5</w:t>
      </w:r>
      <w:r>
        <w:t>,</w:t>
      </w:r>
      <w:r w:rsidRPr="002E62C5">
        <w:t>300 homes in remote Indigenous communities have been rebuilt or refurbished, nearly two years ahead of schedule. The Government is also on track to meet its ambitious target of 4</w:t>
      </w:r>
      <w:r>
        <w:t>,</w:t>
      </w:r>
      <w:r w:rsidRPr="002E62C5">
        <w:t>200 new homes being built by 2018, with more than 1</w:t>
      </w:r>
      <w:r>
        <w:t>,</w:t>
      </w:r>
      <w:r w:rsidRPr="002E62C5">
        <w:t>600 houses having been constructed to date.</w:t>
      </w:r>
    </w:p>
    <w:p w:rsidR="00510087" w:rsidRDefault="002E62C5" w:rsidP="002E62C5">
      <w:r w:rsidRPr="002E62C5">
        <w:t xml:space="preserve">Major </w:t>
      </w:r>
      <w:r w:rsidR="00820EFD">
        <w:t>g</w:t>
      </w:r>
      <w:r w:rsidRPr="002E62C5">
        <w:t xml:space="preserve">overnment initiatives such as </w:t>
      </w:r>
      <w:proofErr w:type="spellStart"/>
      <w:r w:rsidRPr="002E62C5">
        <w:t>DisabilityCare</w:t>
      </w:r>
      <w:proofErr w:type="spellEnd"/>
      <w:r w:rsidRPr="002E62C5">
        <w:t xml:space="preserve"> Australia, the National Plan for School Improvement and the delivery of vital homelessness services will also help to improve the lives of Indigenous Australians.</w:t>
      </w:r>
    </w:p>
    <w:p w:rsidR="00510087" w:rsidRDefault="00510087" w:rsidP="0055685F">
      <w:pPr>
        <w:pStyle w:val="Heading4"/>
      </w:pPr>
      <w:r>
        <w:t xml:space="preserve">Supporting </w:t>
      </w:r>
      <w:r w:rsidR="00883528">
        <w:t>s</w:t>
      </w:r>
      <w:r>
        <w:t>eniors</w:t>
      </w:r>
    </w:p>
    <w:p w:rsidR="00A434FA" w:rsidRDefault="00A434FA" w:rsidP="00A434FA">
      <w:r>
        <w:t>FaHCSIA programs support the Government’s commitment to the wellbeing of senior Australians.</w:t>
      </w:r>
    </w:p>
    <w:p w:rsidR="00A434FA" w:rsidRDefault="00A434FA" w:rsidP="00A434FA">
      <w:r>
        <w:t>A key part of this support is the payment of the Age Pension and its supplements, and the provision of concessions, to those senior Australians who need help with their living costs.</w:t>
      </w:r>
    </w:p>
    <w:p w:rsidR="00A434FA" w:rsidRDefault="00A434FA" w:rsidP="00A434FA">
      <w:r>
        <w:t>FaHCSIA continues to implement the Government’s Secure and Sustainable Pension reforms.</w:t>
      </w:r>
      <w:r w:rsidR="00E90D6E">
        <w:t xml:space="preserve"> Under</w:t>
      </w:r>
      <w:r>
        <w:t xml:space="preserve"> these reforms</w:t>
      </w:r>
      <w:r w:rsidR="00E90D6E">
        <w:t>, since</w:t>
      </w:r>
      <w:r>
        <w:t xml:space="preserve"> September 2009 the maximum rate of the pension has increased by $207 a fortnight for single pensioners and $236 a fortnight for pensioner couples combined on the maximum rate.</w:t>
      </w:r>
    </w:p>
    <w:p w:rsidR="00A434FA" w:rsidRDefault="00A434FA" w:rsidP="00A434FA">
      <w:r>
        <w:t>These increases are helping around 2.3 million Australian age pensioners to better manage their living costs.</w:t>
      </w:r>
    </w:p>
    <w:p w:rsidR="00CC303A" w:rsidRDefault="00CC303A" w:rsidP="00CC303A">
      <w:r>
        <w:t>The 2013</w:t>
      </w:r>
      <w:r w:rsidR="00C2656B">
        <w:t>–</w:t>
      </w:r>
      <w:r>
        <w:t>14 Budget delivers additional support to senior Australians.</w:t>
      </w:r>
    </w:p>
    <w:p w:rsidR="00CC303A" w:rsidRDefault="00CC303A" w:rsidP="00CC303A">
      <w:r>
        <w:lastRenderedPageBreak/>
        <w:t xml:space="preserve">From 1 July 2014, the Government will commence a three-year trial of a program to help seniors of </w:t>
      </w:r>
      <w:r w:rsidR="00C2656B">
        <w:t xml:space="preserve">Age Pension </w:t>
      </w:r>
      <w:r>
        <w:t>age who want to downsize their home</w:t>
      </w:r>
      <w:r w:rsidR="003B4BFD">
        <w:t xml:space="preserve"> into more appropriate housing as they age.</w:t>
      </w:r>
      <w:r>
        <w:t xml:space="preserve"> Eligible seniors who downsize their home will be able to invest at least 80 per cent of excess sale proceeds from the sale of their former home (up to a cap of $200,000) into a special account. The special account would be exempt from the pension income and assets tests for up to </w:t>
      </w:r>
      <w:r w:rsidR="00C2656B">
        <w:t xml:space="preserve">10 </w:t>
      </w:r>
      <w:r>
        <w:t>years.</w:t>
      </w:r>
    </w:p>
    <w:p w:rsidR="00CC303A" w:rsidRDefault="00CC303A" w:rsidP="00CC303A">
      <w:r>
        <w:t>From 1</w:t>
      </w:r>
      <w:r w:rsidR="00F0287D">
        <w:t> </w:t>
      </w:r>
      <w:r>
        <w:t>July</w:t>
      </w:r>
      <w:r w:rsidR="00F0287D">
        <w:t> </w:t>
      </w:r>
      <w:r>
        <w:t xml:space="preserve">2013, organisations hosting a Broadband for </w:t>
      </w:r>
      <w:proofErr w:type="gramStart"/>
      <w:r>
        <w:t>Seniors</w:t>
      </w:r>
      <w:proofErr w:type="gramEnd"/>
      <w:r>
        <w:t xml:space="preserve"> kiosk will be able to apply for new technology and a $2,000 training grant. Through the kiosks, senior Australians will have free access to the updated technology, and to training on issues of particular concern to them, such as cyber security and </w:t>
      </w:r>
      <w:proofErr w:type="spellStart"/>
      <w:r>
        <w:t>cybersafety</w:t>
      </w:r>
      <w:proofErr w:type="spellEnd"/>
      <w:r>
        <w:t>. Improving confidence in the use of computers and the internet will enable senior Australians to fully participate in the digital economy, remain connected with family and friends and enjoy the benefits offered by the National Broadband Network.</w:t>
      </w:r>
    </w:p>
    <w:p w:rsidR="00A434FA" w:rsidRDefault="00A434FA" w:rsidP="00A434FA">
      <w:r>
        <w:t>To help ensure that the pension system is fairer and more sustainable for older Australians into the future, some changes will be made to the Pension Bonus Scheme and to the income test treatment of superannuation account-based income streams.</w:t>
      </w:r>
    </w:p>
    <w:p w:rsidR="00A434FA" w:rsidRDefault="00A434FA" w:rsidP="00A434FA">
      <w:r>
        <w:t>As part of the Government’s Secure and Sustainable Pension Reforms in 2009, the Pension Bonus Scheme was closed to people who were not eligible by 20</w:t>
      </w:r>
      <w:r w:rsidR="00F0287D">
        <w:t> </w:t>
      </w:r>
      <w:r>
        <w:t>September</w:t>
      </w:r>
      <w:r w:rsidR="001A25A8">
        <w:t> </w:t>
      </w:r>
      <w:r>
        <w:t>2009. People who were eligible for the scheme</w:t>
      </w:r>
      <w:r w:rsidR="006E4549">
        <w:t>,</w:t>
      </w:r>
      <w:r>
        <w:t xml:space="preserve"> but had not registered</w:t>
      </w:r>
      <w:r w:rsidR="006E4549">
        <w:t>,</w:t>
      </w:r>
      <w:r>
        <w:t xml:space="preserve"> were still able to backdate their registration.</w:t>
      </w:r>
      <w:r w:rsidR="00A55954">
        <w:t xml:space="preserve"> </w:t>
      </w:r>
      <w:r>
        <w:t>The backdating provision for the Pension Bonus Scheme will cease from 1 March 2014. Eligible senior Australians may still register for the scheme before this date.</w:t>
      </w:r>
    </w:p>
    <w:p w:rsidR="00510087" w:rsidRDefault="00A434FA" w:rsidP="00A434FA">
      <w:r>
        <w:t>From 1</w:t>
      </w:r>
      <w:r w:rsidR="00F0287D">
        <w:t> </w:t>
      </w:r>
      <w:r>
        <w:t>January</w:t>
      </w:r>
      <w:r w:rsidR="00F0287D">
        <w:t> </w:t>
      </w:r>
      <w:r>
        <w:t>2015, the normal pension deeming rules will apply to new superannuation account-based income streams assessed by Centrelink</w:t>
      </w:r>
      <w:r w:rsidR="00D95979">
        <w:t xml:space="preserve"> under the pension income test</w:t>
      </w:r>
      <w:r>
        <w:t>. Such products held by pensioners before that date will be grandfathered and the existing rules will apply</w:t>
      </w:r>
      <w:r w:rsidR="00D5509E">
        <w:t>,</w:t>
      </w:r>
      <w:r>
        <w:t xml:space="preserve"> unless they </w:t>
      </w:r>
      <w:r w:rsidR="00D95979">
        <w:t xml:space="preserve">choose to </w:t>
      </w:r>
      <w:r>
        <w:t>change their product and/or buy a new product</w:t>
      </w:r>
      <w:r w:rsidR="00D95979">
        <w:t xml:space="preserve"> on or after 1</w:t>
      </w:r>
      <w:r w:rsidR="00F0287D">
        <w:t> </w:t>
      </w:r>
      <w:r w:rsidR="00D95979">
        <w:t>January</w:t>
      </w:r>
      <w:r w:rsidR="00F0287D">
        <w:t> </w:t>
      </w:r>
      <w:r w:rsidR="00D95979">
        <w:t>2015</w:t>
      </w:r>
      <w:r>
        <w:t>.</w:t>
      </w:r>
    </w:p>
    <w:p w:rsidR="00F05018" w:rsidRDefault="00F05018" w:rsidP="006D2B7E">
      <w:pPr>
        <w:pStyle w:val="Heading4"/>
      </w:pPr>
      <w:r>
        <w:t>Household Assistance Package</w:t>
      </w:r>
    </w:p>
    <w:p w:rsidR="00F05018" w:rsidRDefault="00F05018" w:rsidP="00F05018">
      <w:r>
        <w:t xml:space="preserve">In May 2012, the Government launched the Household Assistance Package as part of its plan for a clean energy future, which includes the introduction of a price on carbon. FaHCSIA led the development of the package, which helps millions of families, seniors, </w:t>
      </w:r>
      <w:proofErr w:type="gramStart"/>
      <w:r>
        <w:t>people</w:t>
      </w:r>
      <w:proofErr w:type="gramEnd"/>
      <w:r>
        <w:t xml:space="preserve"> with disability, carers and other eligible individuals with any increases in </w:t>
      </w:r>
      <w:r w:rsidR="000E7C0C">
        <w:t>day-to-</w:t>
      </w:r>
      <w:r>
        <w:t>day expenses that result from carbon pricing.</w:t>
      </w:r>
    </w:p>
    <w:p w:rsidR="003B4BFD" w:rsidRDefault="003B4BFD" w:rsidP="003B4BFD">
      <w:r>
        <w:t xml:space="preserve">For pensioners (including </w:t>
      </w:r>
      <w:r w:rsidR="001A56C9">
        <w:t xml:space="preserve">people on </w:t>
      </w:r>
      <w:r>
        <w:t>age, disability, veterans and carers</w:t>
      </w:r>
      <w:r w:rsidR="001A56C9">
        <w:t xml:space="preserve"> pensions</w:t>
      </w:r>
      <w:r>
        <w:t>), the ongoing Clean Energy Supplement, which is part of the Household Assistance Package, began in March 2013. The Government is helping around 3.5 million pensioners with ongoing assistance through this supplement, which is also paid to eligible Commonwealth Seniors Health Card holders. The supplement provides assistance of around $350 a year to singles and around $530 for couples combined.</w:t>
      </w:r>
    </w:p>
    <w:p w:rsidR="003B4BFD" w:rsidRDefault="003B4BFD" w:rsidP="003B4BFD">
      <w:r>
        <w:lastRenderedPageBreak/>
        <w:t>Family Tax Benefit recipients will receive ongoing household assistance from 1</w:t>
      </w:r>
      <w:r w:rsidR="001A25A8">
        <w:t> </w:t>
      </w:r>
      <w:r>
        <w:t>July</w:t>
      </w:r>
      <w:r w:rsidR="001A25A8">
        <w:t> </w:t>
      </w:r>
      <w:r>
        <w:t>2013 through increases to their regular payments.</w:t>
      </w:r>
    </w:p>
    <w:p w:rsidR="003B4BFD" w:rsidRDefault="003B4BFD" w:rsidP="003B4BFD">
      <w:r w:rsidRPr="003B4BFD">
        <w:t xml:space="preserve">These permanent increases follow the initial advance payment already delivered to people receiving government payments to cover </w:t>
      </w:r>
      <w:r w:rsidR="00443E99">
        <w:t xml:space="preserve">the </w:t>
      </w:r>
      <w:r w:rsidRPr="003B4BFD">
        <w:t>period from 1 July 2012, when the carbon price was introduced.</w:t>
      </w:r>
    </w:p>
    <w:p w:rsidR="00F05018" w:rsidRPr="00F05018" w:rsidRDefault="00715D62" w:rsidP="00F05018">
      <w:r>
        <w:t>When</w:t>
      </w:r>
      <w:r w:rsidR="00F05018">
        <w:t xml:space="preserve"> announcing its Clean Energy Future Plan, the Government committed to reviewing the adequacy of the </w:t>
      </w:r>
      <w:r w:rsidR="001A56C9">
        <w:t xml:space="preserve">package </w:t>
      </w:r>
      <w:r w:rsidR="00F05018">
        <w:t xml:space="preserve">annually in the </w:t>
      </w:r>
      <w:r w:rsidR="001A56C9">
        <w:t xml:space="preserve">budget </w:t>
      </w:r>
      <w:r w:rsidR="00F05018">
        <w:t>context over the fixed price period from July 2012 to June 2015. The first annual review of the Household Assistance Package found</w:t>
      </w:r>
      <w:r w:rsidR="001A56C9">
        <w:t xml:space="preserve"> that</w:t>
      </w:r>
      <w:r w:rsidR="00F05018">
        <w:t xml:space="preserve"> it </w:t>
      </w:r>
      <w:r w:rsidR="003B4BFD">
        <w:t xml:space="preserve">is </w:t>
      </w:r>
      <w:r w:rsidR="00F05018">
        <w:t>delivering adequate levels of assistance relative to the impact of the carbon price on the costs of living in 2012–13, consistent with the Government’s commitment to households.</w:t>
      </w:r>
    </w:p>
    <w:p w:rsidR="00510087" w:rsidRDefault="00510087" w:rsidP="0055685F">
      <w:pPr>
        <w:pStyle w:val="Heading4"/>
      </w:pPr>
      <w:r w:rsidRPr="007961F1">
        <w:t>Assisting vulnerable Australians</w:t>
      </w:r>
    </w:p>
    <w:p w:rsidR="00B71A9D" w:rsidRDefault="00B71A9D" w:rsidP="00B71A9D">
      <w:r>
        <w:t>On 12 November 2012, the Prime Minister announced that a Royal Commission into Institutional Responses to Child Sexual Abuse would be established. Since this announcement, many services that provide support to victims and survivors have reported an increased demand on their services. The Government will ensure that community-based support services have adequate resources to address the increase in demand for support from people who require assistance as a result of the Royal Commission.</w:t>
      </w:r>
    </w:p>
    <w:p w:rsidR="00B71A9D" w:rsidRDefault="00B71A9D" w:rsidP="00B71A9D">
      <w:r>
        <w:t>In this Budget, the Australian Government is investing $45 million over four years to support survivors of child sexual abuse participating in the Royal Commission and affected family members.</w:t>
      </w:r>
    </w:p>
    <w:p w:rsidR="00B71A9D" w:rsidRDefault="00B71A9D" w:rsidP="00B71A9D">
      <w:r>
        <w:t>The Government also understands the need to assist Australians affected by unethical past adoption practices.</w:t>
      </w:r>
    </w:p>
    <w:p w:rsidR="00B71A9D" w:rsidRDefault="00B71A9D" w:rsidP="00B71A9D">
      <w:r>
        <w:t>On 11 March 2013, the Prime Minister delivered the National Apology to people affected by past forced adoptions and announced that the Government will invest $11.5 million over four years to provide a package of support for affected people. This includes $5 million to improve access to specialist services, counselling and supported records tracing.</w:t>
      </w:r>
    </w:p>
    <w:p w:rsidR="00B71A9D" w:rsidRDefault="00B71A9D" w:rsidP="00B71A9D">
      <w:r>
        <w:t>In addition, access to mental health professionals will be improved and guidelines and training materials will be developed to increase mental health professionals’ understanding of past adoption practices and their impact on affected people. The National Archives of Australia will also develop an exhibition that records the experiences of those affected by forced adoption to increase awareness and understanding of these experiences in the community.</w:t>
      </w:r>
    </w:p>
    <w:p w:rsidR="00A434FA" w:rsidRDefault="00A434FA" w:rsidP="00A434FA">
      <w:r>
        <w:t xml:space="preserve">The Government continues to provide support to help vulnerable Australians manage their finances as a critical foundation to social inclusion and </w:t>
      </w:r>
      <w:proofErr w:type="spellStart"/>
      <w:r>
        <w:t>life</w:t>
      </w:r>
      <w:r w:rsidR="001A56C9">
        <w:t xml:space="preserve"> </w:t>
      </w:r>
      <w:r>
        <w:t>long</w:t>
      </w:r>
      <w:proofErr w:type="spellEnd"/>
      <w:r>
        <w:t xml:space="preserve"> resilience.</w:t>
      </w:r>
    </w:p>
    <w:p w:rsidR="00A434FA" w:rsidRDefault="00A434FA" w:rsidP="00A434FA">
      <w:r>
        <w:lastRenderedPageBreak/>
        <w:t>FaHCSIA aims to build financial resilience and wellbeing for vulnerable people by providing crisis assistance and expert help with financial matters including financial counselling, microfinance products, income management and payments for individuals in special circumstances.</w:t>
      </w:r>
    </w:p>
    <w:p w:rsidR="00A434FA" w:rsidRDefault="00A434FA" w:rsidP="00A434FA">
      <w:r>
        <w:t>Income management commenced in Western Australia in 2008 and is being continued in Perth</w:t>
      </w:r>
      <w:r w:rsidR="00193033">
        <w:t xml:space="preserve"> and the</w:t>
      </w:r>
      <w:r>
        <w:t xml:space="preserve"> Peel and Kimberley region</w:t>
      </w:r>
      <w:r w:rsidR="00193033">
        <w:t>s</w:t>
      </w:r>
      <w:r>
        <w:t xml:space="preserve"> under this Budget.</w:t>
      </w:r>
    </w:p>
    <w:p w:rsidR="00A434FA" w:rsidRDefault="00A434FA" w:rsidP="00A434FA">
      <w:r>
        <w:t xml:space="preserve">The Government is providing </w:t>
      </w:r>
      <w:r w:rsidRPr="008D40DD">
        <w:t>$</w:t>
      </w:r>
      <w:r w:rsidR="008D40DD" w:rsidRPr="008D40DD">
        <w:t>3</w:t>
      </w:r>
      <w:r>
        <w:t xml:space="preserve"> million to continue to fund the Community Development Financial Institutions pilot for a further year to June 2014. The pilot fills a gap for low-income individuals and families by providing them with access to safe and affordable credit that reflects their means and their ability to repay, and provides budgeting assistance to increase their capacity to manage their money.</w:t>
      </w:r>
    </w:p>
    <w:p w:rsidR="00A434FA" w:rsidRDefault="00A434FA" w:rsidP="00A434FA">
      <w:r>
        <w:t>From 2013, Special Benefit recipients under Age Pension age are among the more than one million allowance recipients to receive the new Income Support Bonus in March and September each year. Single recipients will receive a tax-free Income Support Bonus of $210, paid in two instalments of $105, and partnered recipients will receive $175, paid in two instalments of $87.50.</w:t>
      </w:r>
    </w:p>
    <w:p w:rsidR="00A434FA" w:rsidRDefault="00A434FA" w:rsidP="00A434FA">
      <w:r>
        <w:t>The Government will also continue to deliver real action to help problem gamblers and their families.</w:t>
      </w:r>
    </w:p>
    <w:p w:rsidR="00510087" w:rsidRDefault="00A434FA" w:rsidP="00A434FA">
      <w:r>
        <w:t xml:space="preserve">The 2013–14 Budget </w:t>
      </w:r>
      <w:r w:rsidR="00D95979" w:rsidRPr="004E564F">
        <w:t>includes</w:t>
      </w:r>
      <w:r w:rsidR="00D95979">
        <w:t xml:space="preserve"> </w:t>
      </w:r>
      <w:r>
        <w:t xml:space="preserve">funding </w:t>
      </w:r>
      <w:r w:rsidR="00D95979">
        <w:t xml:space="preserve">to </w:t>
      </w:r>
      <w:r>
        <w:t xml:space="preserve">establish a new Australian Gambling Research Centre </w:t>
      </w:r>
      <w:r w:rsidR="00D95979">
        <w:t xml:space="preserve">as part of the Australian Institute of Family Studies </w:t>
      </w:r>
      <w:r>
        <w:t xml:space="preserve">to improve the evidence base </w:t>
      </w:r>
      <w:r w:rsidR="00D95979">
        <w:t xml:space="preserve">on </w:t>
      </w:r>
      <w:r>
        <w:t>problem gambling nationally.</w:t>
      </w:r>
      <w:r w:rsidR="00D95979">
        <w:t xml:space="preserve"> The Budget also includes funding for the national gambling regulator</w:t>
      </w:r>
      <w:r>
        <w:t>.</w:t>
      </w:r>
    </w:p>
    <w:p w:rsidR="00510087" w:rsidRDefault="00510087" w:rsidP="0055685F">
      <w:pPr>
        <w:pStyle w:val="Heading4"/>
      </w:pPr>
      <w:r>
        <w:t xml:space="preserve">Housing </w:t>
      </w:r>
    </w:p>
    <w:p w:rsidR="00A434FA" w:rsidRDefault="00A434FA" w:rsidP="00A434FA">
      <w:r>
        <w:t>FaHCSIA is the Australian Government’s primary agency for developing policy on</w:t>
      </w:r>
      <w:r w:rsidR="00616BEC">
        <w:t xml:space="preserve"> homelessness and</w:t>
      </w:r>
      <w:r>
        <w:t xml:space="preserve"> social and affordable housing</w:t>
      </w:r>
      <w:r w:rsidR="00616BEC">
        <w:t>,</w:t>
      </w:r>
      <w:r>
        <w:t xml:space="preserve"> and providin</w:t>
      </w:r>
      <w:r w:rsidR="00616BEC">
        <w:t>g low-income rental assistance.</w:t>
      </w:r>
    </w:p>
    <w:p w:rsidR="00A434FA" w:rsidRDefault="00D95979" w:rsidP="00A434FA">
      <w:r>
        <w:t>Safe and secure housing is a fundamental pillar of an inclusive and productive society</w:t>
      </w:r>
      <w:r w:rsidR="00A434FA">
        <w:t>.</w:t>
      </w:r>
      <w:r>
        <w:t xml:space="preserve"> Social and affordable housing policies play a pivotal role in the national economy.</w:t>
      </w:r>
    </w:p>
    <w:p w:rsidR="00A434FA" w:rsidRDefault="00A434FA" w:rsidP="00A434FA">
      <w:r>
        <w:t>The Australian Government commits substantial funds to the social housing systems provided by state and territory authorities and the community sector. The Government also funds state</w:t>
      </w:r>
      <w:r w:rsidR="00E9680A">
        <w:t xml:space="preserve"> and territory</w:t>
      </w:r>
      <w:r>
        <w:t xml:space="preserve"> and community sector services for people who are homeless or at risk of homelessness.</w:t>
      </w:r>
    </w:p>
    <w:p w:rsidR="00A434FA" w:rsidRDefault="00D95979" w:rsidP="00A434FA">
      <w:r>
        <w:t>H</w:t>
      </w:r>
      <w:r w:rsidR="00A434FA">
        <w:t xml:space="preserve">ousing affordability programs </w:t>
      </w:r>
      <w:r>
        <w:t xml:space="preserve">managed by FaHCSIA </w:t>
      </w:r>
      <w:r w:rsidR="00A434FA">
        <w:t xml:space="preserve">include the National Rental Affordability Scheme, which offers financial incentives to the business sector and community organisations to build new homes for rent at below market </w:t>
      </w:r>
      <w:r w:rsidR="003F4DF3">
        <w:t>rates</w:t>
      </w:r>
      <w:r w:rsidR="00A434FA">
        <w:t>.</w:t>
      </w:r>
    </w:p>
    <w:p w:rsidR="00A434FA" w:rsidRDefault="00A434FA" w:rsidP="00A434FA">
      <w:r>
        <w:lastRenderedPageBreak/>
        <w:t>The Building Better Regional Cities initiative supports some high-growth regional cities with investments in local infrastructure projects that will enable more affordable homes to be built.</w:t>
      </w:r>
    </w:p>
    <w:p w:rsidR="00A434FA" w:rsidRDefault="00A434FA" w:rsidP="00A434FA">
      <w:r>
        <w:t xml:space="preserve">FaHCSIA also manages the Commonwealth Rent Assistance program </w:t>
      </w:r>
      <w:r w:rsidR="001F6B95">
        <w:t xml:space="preserve">which </w:t>
      </w:r>
      <w:r>
        <w:t>help</w:t>
      </w:r>
      <w:r w:rsidR="001F6B95">
        <w:t>s</w:t>
      </w:r>
      <w:r>
        <w:t xml:space="preserve"> low-income households with the cost of renting in the private rental market.</w:t>
      </w:r>
    </w:p>
    <w:p w:rsidR="00A434FA" w:rsidRDefault="00A434FA" w:rsidP="00A434FA">
      <w:r>
        <w:t>FaHCSIA leads whole-of-government efforts to achieve the Government’s targets to reduce homelessness. Much of this work is implemented in partnership with the states and territories through the National Affordable Housing Agreement and the National Partnership Agreement on Homelessness.</w:t>
      </w:r>
    </w:p>
    <w:p w:rsidR="00510087" w:rsidRDefault="00A434FA" w:rsidP="00A434FA">
      <w:r>
        <w:t xml:space="preserve">Because responsibility for much of the service delivery in the housing and homelessness sectors rests with the states and territories, FaHCSIA works in partnership with </w:t>
      </w:r>
      <w:r w:rsidR="004040A5">
        <w:t xml:space="preserve">each and across all jurisdictions </w:t>
      </w:r>
      <w:r>
        <w:t>to improve housing outcomes for all Australians.</w:t>
      </w:r>
    </w:p>
    <w:p w:rsidR="00510087" w:rsidRDefault="00510087" w:rsidP="0055685F">
      <w:pPr>
        <w:pStyle w:val="Heading4"/>
      </w:pPr>
      <w:r>
        <w:t>Women</w:t>
      </w:r>
    </w:p>
    <w:p w:rsidR="00A434FA" w:rsidRDefault="00A434FA" w:rsidP="00A434FA">
      <w:r>
        <w:t xml:space="preserve">The Australian Government is working with states and territories to reduce violence </w:t>
      </w:r>
      <w:r w:rsidR="0003616E">
        <w:t xml:space="preserve">against women </w:t>
      </w:r>
      <w:r>
        <w:t>through the</w:t>
      </w:r>
      <w:r w:rsidR="001F6B95">
        <w:t xml:space="preserve"> implementation of the</w:t>
      </w:r>
      <w:r>
        <w:t xml:space="preserve"> National Plan to Reduce Violence against Women and their Children 2010–2022.</w:t>
      </w:r>
    </w:p>
    <w:p w:rsidR="00A434FA" w:rsidRDefault="00A434FA" w:rsidP="00A434FA">
      <w:r>
        <w:t>The Government is also working to improve women's economic outcomes. This is critical to achieving equality between women and men in Australia and will also significantly boost Australia's productivity.</w:t>
      </w:r>
    </w:p>
    <w:p w:rsidR="00510087" w:rsidRDefault="00A434FA" w:rsidP="00A434FA">
      <w:r>
        <w:t xml:space="preserve">The </w:t>
      </w:r>
      <w:r w:rsidRPr="00A434FA">
        <w:rPr>
          <w:i/>
        </w:rPr>
        <w:t>Workplace Gender Equality Act 2012</w:t>
      </w:r>
      <w:r>
        <w:t xml:space="preserve"> and the new Workplace Gender Equality Agency will support improved gender equality and workforce participation for women in Australian workplaces.</w:t>
      </w:r>
    </w:p>
    <w:p w:rsidR="007452AA" w:rsidRPr="00354330" w:rsidRDefault="00510087" w:rsidP="006D2B7E">
      <w:pPr>
        <w:pStyle w:val="Heading3"/>
      </w:pPr>
      <w:r>
        <w:br w:type="page"/>
      </w:r>
      <w:bookmarkStart w:id="100" w:name="_Toc210703210"/>
      <w:bookmarkStart w:id="101" w:name="_Toc436624139"/>
      <w:bookmarkStart w:id="102" w:name="_Toc436625440"/>
      <w:bookmarkStart w:id="103" w:name="_Toc449255760"/>
      <w:bookmarkEnd w:id="93"/>
      <w:bookmarkEnd w:id="94"/>
      <w:r w:rsidR="007452AA" w:rsidRPr="005D4E72">
        <w:lastRenderedPageBreak/>
        <w:t>1.2</w:t>
      </w:r>
      <w:bookmarkEnd w:id="100"/>
      <w:r w:rsidR="007452AA" w:rsidRPr="005D4E72">
        <w:tab/>
      </w:r>
      <w:bookmarkEnd w:id="101"/>
      <w:bookmarkEnd w:id="102"/>
      <w:bookmarkEnd w:id="103"/>
      <w:r w:rsidR="007452AA" w:rsidRPr="005D4E72">
        <w:t xml:space="preserve">Agency </w:t>
      </w:r>
      <w:r w:rsidR="001D1A1B" w:rsidRPr="005D4E72">
        <w:t>r</w:t>
      </w:r>
      <w:r w:rsidR="007452AA" w:rsidRPr="00AD1D92">
        <w:t xml:space="preserve">esource </w:t>
      </w:r>
      <w:r w:rsidR="001D1A1B" w:rsidRPr="00354330">
        <w:t>s</w:t>
      </w:r>
      <w:r w:rsidR="007452AA" w:rsidRPr="00354330">
        <w:t>tatement</w:t>
      </w:r>
    </w:p>
    <w:p w:rsidR="007452AA" w:rsidRPr="004C416C" w:rsidRDefault="002C76FA" w:rsidP="00CE6400">
      <w:pPr>
        <w:spacing w:after="120"/>
      </w:pPr>
      <w:r>
        <w:t>Table 1.1 shows the total resources from all sources. The table summarises how resources will be applied by outcome and by administered and departmental classification</w:t>
      </w:r>
      <w:r w:rsidR="007452AA" w:rsidRPr="004C416C">
        <w:t xml:space="preserve">. </w:t>
      </w:r>
    </w:p>
    <w:p w:rsidR="007452AA" w:rsidRDefault="007452AA" w:rsidP="00884D18">
      <w:pPr>
        <w:pStyle w:val="TableHeading"/>
      </w:pPr>
      <w:r w:rsidRPr="000933FA">
        <w:t xml:space="preserve">Table 1.1: </w:t>
      </w:r>
      <w:r>
        <w:t>FaHCSIA</w:t>
      </w:r>
      <w:r w:rsidRPr="000933FA">
        <w:t xml:space="preserve"> resource statement</w:t>
      </w:r>
      <w:r w:rsidR="00CC6014">
        <w:t xml:space="preserve"> – </w:t>
      </w:r>
      <w:r w:rsidR="00CD230B">
        <w:t>b</w:t>
      </w:r>
      <w:r w:rsidR="002C76FA">
        <w:t>udget</w:t>
      </w:r>
      <w:r w:rsidRPr="000933FA">
        <w:t xml:space="preserve"> estimates for </w:t>
      </w:r>
      <w:r w:rsidR="009A7B26" w:rsidRPr="00B12DDF">
        <w:t>201</w:t>
      </w:r>
      <w:r w:rsidR="002C76FA">
        <w:t>3</w:t>
      </w:r>
      <w:r w:rsidR="00742F27">
        <w:t>–</w:t>
      </w:r>
      <w:r w:rsidR="009A7B26" w:rsidRPr="00B12DDF">
        <w:t>1</w:t>
      </w:r>
      <w:r w:rsidR="002C76FA">
        <w:t>4</w:t>
      </w:r>
      <w:r w:rsidRPr="000933FA">
        <w:t xml:space="preserve"> as at </w:t>
      </w:r>
      <w:r w:rsidR="002C76FA">
        <w:t>Budget May</w:t>
      </w:r>
      <w:r w:rsidRPr="000933FA">
        <w:t xml:space="preserve"> </w:t>
      </w:r>
      <w:r w:rsidRPr="007D5377">
        <w:t>201</w:t>
      </w:r>
      <w:r w:rsidR="002508C8" w:rsidRPr="007D5377">
        <w:t>3</w:t>
      </w:r>
    </w:p>
    <w:p w:rsidR="00C31FAA" w:rsidRPr="00C31FAA" w:rsidRDefault="0066368D" w:rsidP="00C31FAA">
      <w:pPr>
        <w:pStyle w:val="TableGraphic"/>
      </w:pPr>
      <w:r>
        <w:rPr>
          <w:noProof/>
        </w:rPr>
        <w:drawing>
          <wp:inline distT="0" distB="0" distL="0" distR="0" wp14:anchorId="32CA5995" wp14:editId="17DB7ABB">
            <wp:extent cx="4878705" cy="5577011"/>
            <wp:effectExtent l="0" t="0" r="0" b="5080"/>
            <wp:docPr id="309" name="Picture 309" descr="Table 1.1: FaHCSIA resource statement – budget estimates for 2013–14 as at Budget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78705" cy="5577011"/>
                    </a:xfrm>
                    <a:prstGeom prst="rect">
                      <a:avLst/>
                    </a:prstGeom>
                    <a:noFill/>
                    <a:ln>
                      <a:noFill/>
                    </a:ln>
                  </pic:spPr>
                </pic:pic>
              </a:graphicData>
            </a:graphic>
          </wp:inline>
        </w:drawing>
      </w:r>
    </w:p>
    <w:p w:rsidR="007452AA" w:rsidRDefault="007452AA" w:rsidP="00884D18">
      <w:pPr>
        <w:pStyle w:val="TableHeading"/>
      </w:pPr>
      <w:r>
        <w:br w:type="page"/>
      </w:r>
      <w:r w:rsidRPr="000933FA">
        <w:lastRenderedPageBreak/>
        <w:t xml:space="preserve">Table 1.1: </w:t>
      </w:r>
      <w:r>
        <w:t>FaHCSIA</w:t>
      </w:r>
      <w:r w:rsidRPr="000933FA">
        <w:t xml:space="preserve"> resource statement</w:t>
      </w:r>
      <w:r w:rsidR="00CC6014">
        <w:t xml:space="preserve"> –</w:t>
      </w:r>
      <w:r w:rsidR="002C76FA" w:rsidRPr="002C76FA">
        <w:t xml:space="preserve"> </w:t>
      </w:r>
      <w:r w:rsidR="00CD230B">
        <w:t>b</w:t>
      </w:r>
      <w:r w:rsidR="002C76FA">
        <w:t>udget</w:t>
      </w:r>
      <w:r w:rsidR="002C76FA" w:rsidRPr="000933FA">
        <w:t xml:space="preserve"> estimates for </w:t>
      </w:r>
      <w:r w:rsidR="002C76FA" w:rsidRPr="00B12DDF">
        <w:t>201</w:t>
      </w:r>
      <w:r w:rsidR="002C76FA">
        <w:t>3–</w:t>
      </w:r>
      <w:r w:rsidR="002C76FA" w:rsidRPr="00B12DDF">
        <w:t>1</w:t>
      </w:r>
      <w:r w:rsidR="002C76FA">
        <w:t>4</w:t>
      </w:r>
      <w:r w:rsidR="002C76FA" w:rsidRPr="000933FA">
        <w:t xml:space="preserve"> as at </w:t>
      </w:r>
      <w:r w:rsidR="002C76FA">
        <w:t>Budget May</w:t>
      </w:r>
      <w:r w:rsidR="002C76FA" w:rsidRPr="000933FA">
        <w:t xml:space="preserve"> </w:t>
      </w:r>
      <w:r w:rsidR="002C76FA" w:rsidRPr="007D5377">
        <w:t>2013</w:t>
      </w:r>
      <w:r w:rsidRPr="005E0AB7">
        <w:t xml:space="preserve"> (continued)</w:t>
      </w:r>
    </w:p>
    <w:p w:rsidR="006A1F9D" w:rsidRPr="006A1F9D" w:rsidRDefault="0066368D" w:rsidP="006A1F9D">
      <w:pPr>
        <w:pStyle w:val="TableGraphic"/>
      </w:pPr>
      <w:r>
        <w:rPr>
          <w:noProof/>
        </w:rPr>
        <w:drawing>
          <wp:inline distT="0" distB="0" distL="0" distR="0" wp14:anchorId="5A0003FD" wp14:editId="4DA5F99E">
            <wp:extent cx="4878705" cy="6395867"/>
            <wp:effectExtent l="0" t="0" r="0" b="5080"/>
            <wp:docPr id="304" name="Picture 304" descr="Table 1.1: FaHCSIA resource statement – budget estimates for 2013–14 as at Budget May 201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78705" cy="6395867"/>
                    </a:xfrm>
                    <a:prstGeom prst="rect">
                      <a:avLst/>
                    </a:prstGeom>
                    <a:noFill/>
                    <a:ln>
                      <a:noFill/>
                    </a:ln>
                  </pic:spPr>
                </pic:pic>
              </a:graphicData>
            </a:graphic>
          </wp:inline>
        </w:drawing>
      </w:r>
    </w:p>
    <w:p w:rsidR="007452AA" w:rsidRDefault="00CD1997" w:rsidP="00ED6292">
      <w:pPr>
        <w:pStyle w:val="TableHeading"/>
      </w:pPr>
      <w:bookmarkStart w:id="104" w:name="RANGE!E64:M114"/>
      <w:bookmarkEnd w:id="104"/>
      <w:r w:rsidRPr="000933FA">
        <w:lastRenderedPageBreak/>
        <w:t xml:space="preserve">Table 1.1: </w:t>
      </w:r>
      <w:r>
        <w:t>FaHCSIA</w:t>
      </w:r>
      <w:r w:rsidRPr="000933FA">
        <w:t xml:space="preserve"> resource statement</w:t>
      </w:r>
      <w:r w:rsidR="00CC6014">
        <w:t xml:space="preserve"> –</w:t>
      </w:r>
      <w:r w:rsidR="002C76FA" w:rsidRPr="002C76FA">
        <w:t xml:space="preserve"> </w:t>
      </w:r>
      <w:r w:rsidR="00C233C5">
        <w:t>b</w:t>
      </w:r>
      <w:r w:rsidR="002C76FA">
        <w:t>udget</w:t>
      </w:r>
      <w:r w:rsidR="002C76FA" w:rsidRPr="000933FA">
        <w:t xml:space="preserve"> estimates for </w:t>
      </w:r>
      <w:r w:rsidR="002C76FA" w:rsidRPr="00B12DDF">
        <w:t>201</w:t>
      </w:r>
      <w:r w:rsidR="002C76FA">
        <w:t>3–</w:t>
      </w:r>
      <w:r w:rsidR="002C76FA" w:rsidRPr="00B12DDF">
        <w:t>1</w:t>
      </w:r>
      <w:r w:rsidR="002C76FA">
        <w:t>4</w:t>
      </w:r>
      <w:r w:rsidR="002C76FA" w:rsidRPr="000933FA">
        <w:t xml:space="preserve"> as at </w:t>
      </w:r>
      <w:r w:rsidR="002C76FA">
        <w:t>Budget May</w:t>
      </w:r>
      <w:r w:rsidR="002C76FA" w:rsidRPr="000933FA">
        <w:t xml:space="preserve"> </w:t>
      </w:r>
      <w:r w:rsidR="002C76FA" w:rsidRPr="007D5377">
        <w:t>2013</w:t>
      </w:r>
      <w:r w:rsidRPr="005E0AB7">
        <w:t xml:space="preserve"> (continued</w:t>
      </w:r>
      <w:proofErr w:type="gramStart"/>
      <w:r w:rsidRPr="005E0AB7">
        <w:t>)</w:t>
      </w:r>
      <w:proofErr w:type="gramEnd"/>
      <w:r w:rsidR="00ED6292">
        <w:br/>
      </w:r>
      <w:r w:rsidR="007452AA" w:rsidRPr="00BE1EC7">
        <w:t>Third</w:t>
      </w:r>
      <w:r w:rsidR="001D1A1B">
        <w:t>-p</w:t>
      </w:r>
      <w:r w:rsidR="007452AA" w:rsidRPr="00BE1EC7">
        <w:t xml:space="preserve">arty </w:t>
      </w:r>
      <w:r w:rsidR="001D1A1B">
        <w:t>p</w:t>
      </w:r>
      <w:r w:rsidR="007452AA" w:rsidRPr="00BE1EC7">
        <w:t xml:space="preserve">ayments </w:t>
      </w:r>
      <w:r w:rsidR="007452AA" w:rsidRPr="00884D18">
        <w:t>from</w:t>
      </w:r>
      <w:r w:rsidR="007452AA" w:rsidRPr="00BE1EC7">
        <w:t xml:space="preserve"> </w:t>
      </w:r>
      <w:r w:rsidR="007452AA" w:rsidRPr="00ED6292">
        <w:t>and</w:t>
      </w:r>
      <w:r w:rsidR="007452AA" w:rsidRPr="00BE1EC7">
        <w:t xml:space="preserve"> on behalf of other agencies</w:t>
      </w:r>
    </w:p>
    <w:p w:rsidR="006A1F9D" w:rsidRPr="006A1F9D" w:rsidRDefault="0066368D" w:rsidP="006A1F9D">
      <w:pPr>
        <w:pStyle w:val="TableGraphic"/>
      </w:pPr>
      <w:r>
        <w:rPr>
          <w:noProof/>
        </w:rPr>
        <w:drawing>
          <wp:inline distT="0" distB="0" distL="0" distR="0" wp14:anchorId="73661423" wp14:editId="2E1F7894">
            <wp:extent cx="4878705" cy="3104630"/>
            <wp:effectExtent l="0" t="0" r="0" b="635"/>
            <wp:docPr id="305" name="Picture 305" descr="Table 1.1: FaHCSIA resource statement – budget estimates for 2013–14 as at Budget May 2013 (continued)&#10;Third-party payments from and on behalf of other agenc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8705" cy="3104630"/>
                    </a:xfrm>
                    <a:prstGeom prst="rect">
                      <a:avLst/>
                    </a:prstGeom>
                    <a:noFill/>
                    <a:ln>
                      <a:noFill/>
                    </a:ln>
                  </pic:spPr>
                </pic:pic>
              </a:graphicData>
            </a:graphic>
          </wp:inline>
        </w:drawing>
      </w:r>
    </w:p>
    <w:p w:rsidR="001D1A1B" w:rsidRPr="00354330" w:rsidRDefault="001D1A1B" w:rsidP="005D4E72">
      <w:pPr>
        <w:pStyle w:val="Heading3"/>
      </w:pPr>
      <w:bookmarkStart w:id="105" w:name="OLE_LINK14"/>
      <w:bookmarkStart w:id="106" w:name="OLE_LINK15"/>
      <w:r>
        <w:br w:type="page"/>
      </w:r>
      <w:r w:rsidRPr="005D4E72">
        <w:lastRenderedPageBreak/>
        <w:t>1.3</w:t>
      </w:r>
      <w:r w:rsidRPr="005D4E72">
        <w:tab/>
      </w:r>
      <w:r w:rsidR="00476B2B">
        <w:t>Budget measures</w:t>
      </w:r>
    </w:p>
    <w:p w:rsidR="007452AA" w:rsidRDefault="002C76FA" w:rsidP="005D4E72">
      <w:r>
        <w:t>Budget measures</w:t>
      </w:r>
      <w:r w:rsidR="00476B2B">
        <w:t xml:space="preserve"> in Part 1</w:t>
      </w:r>
      <w:r>
        <w:t xml:space="preserve"> relating to FaHCSIA </w:t>
      </w:r>
      <w:proofErr w:type="gramStart"/>
      <w:r>
        <w:t>are</w:t>
      </w:r>
      <w:proofErr w:type="gramEnd"/>
      <w:r>
        <w:t xml:space="preserve"> detailed in Budget Paper No. 2 and are summarised below</w:t>
      </w:r>
      <w:r w:rsidR="007452AA" w:rsidRPr="004C416C">
        <w:t>.</w:t>
      </w:r>
    </w:p>
    <w:p w:rsidR="00730EFA" w:rsidRDefault="00730EFA" w:rsidP="00884D18">
      <w:pPr>
        <w:pStyle w:val="TableHeading"/>
      </w:pPr>
      <w:r w:rsidRPr="000933FA">
        <w:t>Table 1.</w:t>
      </w:r>
      <w:r>
        <w:t>2</w:t>
      </w:r>
      <w:r w:rsidRPr="000933FA">
        <w:t xml:space="preserve">: </w:t>
      </w:r>
      <w:r>
        <w:t>FaHCSIA</w:t>
      </w:r>
      <w:r w:rsidRPr="000933FA">
        <w:t xml:space="preserve"> </w:t>
      </w:r>
      <w:r w:rsidR="002C76FA">
        <w:t>2013</w:t>
      </w:r>
      <w:r w:rsidR="00742F27">
        <w:t>–</w:t>
      </w:r>
      <w:r>
        <w:t>1</w:t>
      </w:r>
      <w:r w:rsidR="002C76FA">
        <w:t>4</w:t>
      </w:r>
      <w:r>
        <w:t xml:space="preserve"> </w:t>
      </w:r>
      <w:r w:rsidR="00C233C5">
        <w:t>b</w:t>
      </w:r>
      <w:r>
        <w:t>udget</w:t>
      </w:r>
      <w:r w:rsidR="002C76FA">
        <w:t xml:space="preserve"> measures</w:t>
      </w:r>
      <w:r w:rsidR="000B4185">
        <w:br/>
        <w:t>Part 1: Measures announced since 2012–13 MYEFO</w:t>
      </w:r>
    </w:p>
    <w:p w:rsidR="000B4185" w:rsidRPr="000B4185" w:rsidRDefault="00DF0D28" w:rsidP="000B4185">
      <w:pPr>
        <w:pStyle w:val="TableGraphic"/>
      </w:pPr>
      <w:r>
        <w:rPr>
          <w:noProof/>
        </w:rPr>
        <w:drawing>
          <wp:inline distT="0" distB="0" distL="0" distR="0" wp14:anchorId="086194F8" wp14:editId="229CA159">
            <wp:extent cx="4867275" cy="5962650"/>
            <wp:effectExtent l="0" t="0" r="9525" b="0"/>
            <wp:docPr id="3" name="Picture 3" descr="Table 1.2: FaHCSIA 2013–14 budget measures&#10;Part 1: Measures announced since 2012–13 MYE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7275" cy="5962650"/>
                    </a:xfrm>
                    <a:prstGeom prst="rect">
                      <a:avLst/>
                    </a:prstGeom>
                    <a:noFill/>
                    <a:ln>
                      <a:noFill/>
                    </a:ln>
                  </pic:spPr>
                </pic:pic>
              </a:graphicData>
            </a:graphic>
          </wp:inline>
        </w:drawing>
      </w:r>
    </w:p>
    <w:p w:rsidR="007452AA" w:rsidRDefault="007452AA" w:rsidP="000B4185">
      <w:pPr>
        <w:pStyle w:val="TableHeading"/>
      </w:pPr>
      <w:r>
        <w:br w:type="page"/>
      </w:r>
      <w:r w:rsidRPr="000B4185">
        <w:lastRenderedPageBreak/>
        <w:t>Table</w:t>
      </w:r>
      <w:r>
        <w:t xml:space="preserve"> 1.2: </w:t>
      </w:r>
      <w:r w:rsidR="002C76FA">
        <w:t>FaHCSIA</w:t>
      </w:r>
      <w:r w:rsidR="002C76FA" w:rsidRPr="000933FA">
        <w:t xml:space="preserve"> </w:t>
      </w:r>
      <w:r w:rsidR="002C76FA">
        <w:t xml:space="preserve">2013–14 </w:t>
      </w:r>
      <w:r w:rsidR="00C233C5">
        <w:t>b</w:t>
      </w:r>
      <w:r w:rsidR="002C76FA">
        <w:t>udget measures</w:t>
      </w:r>
      <w:r w:rsidR="004D4206">
        <w:br/>
        <w:t>Part 1: Measures announced since 2012–13 MYEFO</w:t>
      </w:r>
      <w:r w:rsidR="004D4206" w:rsidRPr="005D772B">
        <w:t xml:space="preserve"> </w:t>
      </w:r>
      <w:r w:rsidRPr="005D772B">
        <w:t>(continued)</w:t>
      </w:r>
    </w:p>
    <w:p w:rsidR="00B82EB9" w:rsidRPr="000B4185" w:rsidRDefault="004321A2" w:rsidP="000B4185">
      <w:pPr>
        <w:pStyle w:val="TableGraphic"/>
      </w:pPr>
      <w:r>
        <w:rPr>
          <w:noProof/>
        </w:rPr>
        <w:drawing>
          <wp:inline distT="0" distB="0" distL="0" distR="0" wp14:anchorId="6DE69019" wp14:editId="4132F4D6">
            <wp:extent cx="4867275" cy="6667500"/>
            <wp:effectExtent l="0" t="0" r="9525" b="0"/>
            <wp:docPr id="373" name="Picture 373" descr="Table 1.2: FaHCSIA 2013–14 budget measures&#10;Part 1: Measures announced since 2012–13 MYEFO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67275" cy="6667500"/>
                    </a:xfrm>
                    <a:prstGeom prst="rect">
                      <a:avLst/>
                    </a:prstGeom>
                    <a:noFill/>
                    <a:ln>
                      <a:noFill/>
                    </a:ln>
                  </pic:spPr>
                </pic:pic>
              </a:graphicData>
            </a:graphic>
          </wp:inline>
        </w:drawing>
      </w:r>
    </w:p>
    <w:p w:rsidR="007452AA" w:rsidRDefault="007452AA" w:rsidP="00884D18">
      <w:pPr>
        <w:pStyle w:val="TableHeading"/>
      </w:pPr>
      <w:r w:rsidRPr="004C416C">
        <w:br w:type="page"/>
      </w:r>
      <w:r>
        <w:lastRenderedPageBreak/>
        <w:t xml:space="preserve">Table 1.2: </w:t>
      </w:r>
      <w:r w:rsidR="002C76FA">
        <w:t>FaHCSIA</w:t>
      </w:r>
      <w:r w:rsidR="002C76FA" w:rsidRPr="000933FA">
        <w:t xml:space="preserve"> </w:t>
      </w:r>
      <w:r w:rsidR="002C76FA">
        <w:t xml:space="preserve">2013–14 </w:t>
      </w:r>
      <w:r w:rsidR="00C233C5">
        <w:t>b</w:t>
      </w:r>
      <w:r w:rsidR="002C76FA">
        <w:t>udget measures</w:t>
      </w:r>
      <w:r w:rsidR="004D4206">
        <w:br/>
        <w:t>Part 1: Measures announced since 2012–13 MYEFO</w:t>
      </w:r>
      <w:r w:rsidR="004D4206" w:rsidRPr="005D772B">
        <w:t xml:space="preserve"> (continued)</w:t>
      </w:r>
    </w:p>
    <w:p w:rsidR="007452AA" w:rsidRPr="00675A78" w:rsidRDefault="004321A2" w:rsidP="00660127">
      <w:pPr>
        <w:pStyle w:val="TableGraphic"/>
      </w:pPr>
      <w:r>
        <w:rPr>
          <w:noProof/>
        </w:rPr>
        <w:drawing>
          <wp:inline distT="0" distB="0" distL="0" distR="0" wp14:anchorId="5AE782D8" wp14:editId="7E936EC8">
            <wp:extent cx="4878705" cy="6763875"/>
            <wp:effectExtent l="0" t="0" r="0" b="0"/>
            <wp:docPr id="375" name="Picture 375" descr="Table 1.2: FaHCSIA 2013–14 budget measures&#10;Part 1: Measures announced since 2012–13 MYEFO (continu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78705" cy="6763875"/>
                    </a:xfrm>
                    <a:prstGeom prst="rect">
                      <a:avLst/>
                    </a:prstGeom>
                    <a:noFill/>
                    <a:ln>
                      <a:noFill/>
                    </a:ln>
                  </pic:spPr>
                </pic:pic>
              </a:graphicData>
            </a:graphic>
          </wp:inline>
        </w:drawing>
      </w:r>
    </w:p>
    <w:p w:rsidR="0038693C" w:rsidRDefault="0038693C" w:rsidP="0038693C">
      <w:pPr>
        <w:pStyle w:val="TableHeading"/>
      </w:pPr>
      <w:r>
        <w:br w:type="page"/>
      </w:r>
      <w:r>
        <w:lastRenderedPageBreak/>
        <w:t xml:space="preserve">Table 1.2: </w:t>
      </w:r>
      <w:r w:rsidR="002C76FA">
        <w:t>FaHCSIA</w:t>
      </w:r>
      <w:r w:rsidR="002C76FA" w:rsidRPr="000933FA">
        <w:t xml:space="preserve"> </w:t>
      </w:r>
      <w:r w:rsidR="002C76FA">
        <w:t xml:space="preserve">2013–14 </w:t>
      </w:r>
      <w:r w:rsidR="00C233C5">
        <w:t>b</w:t>
      </w:r>
      <w:r w:rsidR="002C76FA">
        <w:t>udget measures</w:t>
      </w:r>
      <w:r w:rsidR="004D4206">
        <w:br/>
        <w:t>Part 1: Measures announced since 2012–13 MYEFO</w:t>
      </w:r>
      <w:r w:rsidR="002C76FA" w:rsidRPr="005D772B">
        <w:t xml:space="preserve"> </w:t>
      </w:r>
      <w:r w:rsidRPr="005D772B">
        <w:t>(continued)</w:t>
      </w:r>
    </w:p>
    <w:p w:rsidR="00681F50" w:rsidRDefault="004321A2" w:rsidP="00681F50">
      <w:pPr>
        <w:pStyle w:val="TableGraphic"/>
      </w:pPr>
      <w:r>
        <w:rPr>
          <w:noProof/>
        </w:rPr>
        <w:drawing>
          <wp:inline distT="0" distB="0" distL="0" distR="0" wp14:anchorId="790DF872" wp14:editId="28012F1E">
            <wp:extent cx="4867275" cy="6772275"/>
            <wp:effectExtent l="0" t="0" r="9525" b="9525"/>
            <wp:docPr id="376" name="Picture 376" descr="Table 1.2: FaHCSIA 2013–14 budget measures&#10;Part 1: Measures announced since 2012–13 MYEFO (continu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67275" cy="6772275"/>
                    </a:xfrm>
                    <a:prstGeom prst="rect">
                      <a:avLst/>
                    </a:prstGeom>
                    <a:noFill/>
                    <a:ln>
                      <a:noFill/>
                    </a:ln>
                  </pic:spPr>
                </pic:pic>
              </a:graphicData>
            </a:graphic>
          </wp:inline>
        </w:drawing>
      </w:r>
    </w:p>
    <w:p w:rsidR="00681F50" w:rsidRDefault="005149C5" w:rsidP="00681F50">
      <w:pPr>
        <w:pStyle w:val="TableHeading"/>
      </w:pPr>
      <w:r>
        <w:br w:type="page"/>
      </w:r>
      <w:r w:rsidR="00681F50">
        <w:lastRenderedPageBreak/>
        <w:t xml:space="preserve">Table 1.2: </w:t>
      </w:r>
      <w:r w:rsidR="002C76FA">
        <w:t>FaHCSIA</w:t>
      </w:r>
      <w:r w:rsidR="002C76FA" w:rsidRPr="000933FA">
        <w:t xml:space="preserve"> </w:t>
      </w:r>
      <w:r w:rsidR="002C76FA">
        <w:t xml:space="preserve">2013–14 </w:t>
      </w:r>
      <w:r w:rsidR="00C233C5">
        <w:t>b</w:t>
      </w:r>
      <w:r w:rsidR="002C76FA">
        <w:t>udget measures</w:t>
      </w:r>
      <w:r w:rsidR="004D4206">
        <w:br/>
        <w:t>Part 1: Measures announced since 2012–13 MYEFO</w:t>
      </w:r>
      <w:r w:rsidR="002C76FA" w:rsidRPr="005D772B">
        <w:t xml:space="preserve"> </w:t>
      </w:r>
      <w:r w:rsidR="00681F50" w:rsidRPr="005D772B">
        <w:t>(continued)</w:t>
      </w:r>
    </w:p>
    <w:p w:rsidR="007452AA" w:rsidRPr="009E52FF" w:rsidRDefault="004321A2" w:rsidP="0038693C">
      <w:pPr>
        <w:pStyle w:val="TableGraphic"/>
      </w:pPr>
      <w:r>
        <w:rPr>
          <w:noProof/>
        </w:rPr>
        <w:drawing>
          <wp:inline distT="0" distB="0" distL="0" distR="0" wp14:anchorId="5079558F" wp14:editId="59D4299C">
            <wp:extent cx="4878705" cy="6691864"/>
            <wp:effectExtent l="0" t="0" r="0" b="0"/>
            <wp:docPr id="379" name="Picture 379" descr="Table 1.2: FaHCSIA 2013–14 budget measures&#10;Part 1: Measures announced since 2012–13 MYEFO (continu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8705" cy="6691864"/>
                    </a:xfrm>
                    <a:prstGeom prst="rect">
                      <a:avLst/>
                    </a:prstGeom>
                    <a:noFill/>
                    <a:ln>
                      <a:noFill/>
                    </a:ln>
                  </pic:spPr>
                </pic:pic>
              </a:graphicData>
            </a:graphic>
          </wp:inline>
        </w:drawing>
      </w:r>
    </w:p>
    <w:bookmarkEnd w:id="105"/>
    <w:bookmarkEnd w:id="106"/>
    <w:p w:rsidR="004D4206" w:rsidRDefault="004D4206" w:rsidP="000B4185">
      <w:pPr>
        <w:pStyle w:val="TableHeading"/>
      </w:pPr>
      <w:r>
        <w:rPr>
          <w:highlight w:val="yellow"/>
          <w:lang w:val="en-GB"/>
        </w:rPr>
        <w:br w:type="page"/>
      </w:r>
      <w:r>
        <w:lastRenderedPageBreak/>
        <w:t>Table 1.2: FaHCSIA</w:t>
      </w:r>
      <w:r w:rsidRPr="000933FA">
        <w:t xml:space="preserve"> </w:t>
      </w:r>
      <w:r>
        <w:t>2013–14 budget measures</w:t>
      </w:r>
      <w:r>
        <w:br/>
        <w:t>Part 1: Measures announced since 2012–13 MYEFO</w:t>
      </w:r>
      <w:r w:rsidRPr="005D772B">
        <w:t xml:space="preserve"> (continued)</w:t>
      </w:r>
    </w:p>
    <w:p w:rsidR="004D4206" w:rsidRPr="004D4206" w:rsidRDefault="004321A2" w:rsidP="004D4206">
      <w:pPr>
        <w:pStyle w:val="TableGraphic"/>
        <w:rPr>
          <w:highlight w:val="yellow"/>
        </w:rPr>
      </w:pPr>
      <w:r>
        <w:rPr>
          <w:noProof/>
        </w:rPr>
        <w:drawing>
          <wp:inline distT="0" distB="0" distL="0" distR="0" wp14:anchorId="3B4D3DA2" wp14:editId="1D424246">
            <wp:extent cx="4867275" cy="5753100"/>
            <wp:effectExtent l="0" t="0" r="9525" b="0"/>
            <wp:docPr id="380" name="Picture 380" descr="Table 1.2: FaHCSIA 2013–14 budget measures&#10;Part 1: Measures announced since 2012–13 MYEFO (continu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67275" cy="5753100"/>
                    </a:xfrm>
                    <a:prstGeom prst="rect">
                      <a:avLst/>
                    </a:prstGeom>
                    <a:noFill/>
                    <a:ln>
                      <a:noFill/>
                    </a:ln>
                  </pic:spPr>
                </pic:pic>
              </a:graphicData>
            </a:graphic>
          </wp:inline>
        </w:drawing>
      </w:r>
    </w:p>
    <w:p w:rsidR="000B4185" w:rsidRDefault="000B4185" w:rsidP="000B4185">
      <w:pPr>
        <w:pStyle w:val="TableHeading"/>
      </w:pPr>
      <w:r>
        <w:rPr>
          <w:highlight w:val="yellow"/>
          <w:lang w:val="en-GB"/>
        </w:rPr>
        <w:br w:type="page"/>
      </w:r>
      <w:r>
        <w:lastRenderedPageBreak/>
        <w:t>Table 1.2: FaHCSIA</w:t>
      </w:r>
      <w:r w:rsidRPr="000933FA">
        <w:t xml:space="preserve"> </w:t>
      </w:r>
      <w:r>
        <w:t xml:space="preserve">2013–14 </w:t>
      </w:r>
      <w:r w:rsidR="00C233C5">
        <w:t>b</w:t>
      </w:r>
      <w:r>
        <w:t>udget measures</w:t>
      </w:r>
      <w:r w:rsidRPr="005D772B">
        <w:t xml:space="preserve"> (continued</w:t>
      </w:r>
      <w:proofErr w:type="gramStart"/>
      <w:r w:rsidRPr="005D772B">
        <w:t>)</w:t>
      </w:r>
      <w:proofErr w:type="gramEnd"/>
      <w:r>
        <w:br/>
        <w:t>Part 2: MYEFO measures not previously reported in a portfolio statement</w:t>
      </w:r>
    </w:p>
    <w:p w:rsidR="000B4185" w:rsidRPr="000B4185" w:rsidRDefault="004321A2" w:rsidP="000B4185">
      <w:pPr>
        <w:pStyle w:val="TableGraphic"/>
        <w:rPr>
          <w:highlight w:val="yellow"/>
        </w:rPr>
      </w:pPr>
      <w:r>
        <w:rPr>
          <w:noProof/>
        </w:rPr>
        <w:drawing>
          <wp:inline distT="0" distB="0" distL="0" distR="0" wp14:anchorId="11F549C7" wp14:editId="0A1C22AD">
            <wp:extent cx="4867275" cy="4933950"/>
            <wp:effectExtent l="0" t="0" r="9525" b="0"/>
            <wp:docPr id="381" name="Picture 381" descr="Table 1.2: FaHCSIA 2013–14 budget measures (continued)&#10;Part 2: MYEFO measures not previously reported in a portfolio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67275" cy="4933950"/>
                    </a:xfrm>
                    <a:prstGeom prst="rect">
                      <a:avLst/>
                    </a:prstGeom>
                    <a:noFill/>
                    <a:ln>
                      <a:noFill/>
                    </a:ln>
                  </pic:spPr>
                </pic:pic>
              </a:graphicData>
            </a:graphic>
          </wp:inline>
        </w:drawing>
      </w:r>
    </w:p>
    <w:p w:rsidR="007452AA" w:rsidRDefault="007452AA" w:rsidP="005D4E72">
      <w:pPr>
        <w:pStyle w:val="Heading2"/>
      </w:pPr>
      <w:r w:rsidRPr="00B06D93">
        <w:rPr>
          <w:highlight w:val="yellow"/>
          <w:lang w:val="en-GB"/>
        </w:rPr>
        <w:br w:type="page"/>
      </w:r>
      <w:bookmarkStart w:id="107" w:name="_Toc436624143"/>
      <w:bookmarkStart w:id="108" w:name="_Toc436625444"/>
      <w:bookmarkStart w:id="109" w:name="_Toc446237032"/>
      <w:bookmarkStart w:id="110" w:name="_Toc449255764"/>
      <w:bookmarkStart w:id="111" w:name="_Toc490972409"/>
      <w:bookmarkStart w:id="112" w:name="_Toc491014629"/>
      <w:bookmarkStart w:id="113" w:name="_Toc491014771"/>
      <w:bookmarkStart w:id="114" w:name="_Toc491014951"/>
      <w:bookmarkStart w:id="115" w:name="_Toc491015098"/>
      <w:bookmarkStart w:id="116" w:name="_Toc491029242"/>
      <w:bookmarkStart w:id="117" w:name="_Toc491030331"/>
      <w:bookmarkStart w:id="118" w:name="_Toc491030790"/>
      <w:bookmarkStart w:id="119" w:name="_Toc491031353"/>
      <w:bookmarkStart w:id="120" w:name="_Toc491031940"/>
      <w:bookmarkStart w:id="121" w:name="_Toc491032113"/>
      <w:bookmarkStart w:id="122" w:name="_Toc491032221"/>
      <w:bookmarkStart w:id="123" w:name="_Toc491032328"/>
      <w:bookmarkStart w:id="124" w:name="_Toc491771720"/>
      <w:bookmarkStart w:id="125" w:name="_Toc491773295"/>
      <w:bookmarkStart w:id="126" w:name="_Toc23559353"/>
      <w:bookmarkStart w:id="127" w:name="_Toc23559387"/>
      <w:bookmarkStart w:id="128" w:name="_Toc23559674"/>
      <w:bookmarkStart w:id="129" w:name="_Toc23560142"/>
      <w:bookmarkStart w:id="130" w:name="_Toc23563436"/>
      <w:bookmarkStart w:id="131" w:name="_Toc77998688"/>
      <w:bookmarkStart w:id="132" w:name="_Toc79399717"/>
      <w:bookmarkStart w:id="133" w:name="_Toc112211966"/>
      <w:bookmarkStart w:id="134" w:name="_Toc112212060"/>
      <w:bookmarkStart w:id="135" w:name="_Toc112137878"/>
      <w:bookmarkStart w:id="136" w:name="_Toc112137900"/>
      <w:bookmarkStart w:id="137" w:name="_Toc210646453"/>
      <w:bookmarkStart w:id="138" w:name="_Toc210698432"/>
      <w:bookmarkStart w:id="139" w:name="_Toc210703214"/>
      <w:r w:rsidRPr="00DC14F4">
        <w:lastRenderedPageBreak/>
        <w:t>Section 2</w:t>
      </w:r>
      <w:bookmarkEnd w:id="107"/>
      <w:bookmarkEnd w:id="108"/>
      <w:bookmarkEnd w:id="109"/>
      <w:bookmarkEnd w:id="110"/>
      <w:r w:rsidRPr="00DC14F4">
        <w:t xml:space="preserve">: </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2C76FA">
        <w:t>O</w:t>
      </w:r>
      <w:r w:rsidR="003239B5">
        <w:t>utcomes</w:t>
      </w:r>
      <w:r w:rsidRPr="00DC14F4">
        <w:t xml:space="preserve"> and </w:t>
      </w:r>
      <w:r w:rsidR="005D4E72">
        <w:t>p</w:t>
      </w:r>
      <w:r w:rsidR="003239B5">
        <w:t xml:space="preserve">lanned </w:t>
      </w:r>
      <w:r w:rsidR="005D4E72">
        <w:t>p</w:t>
      </w:r>
      <w:r w:rsidRPr="00DC14F4">
        <w:t>erformanc</w:t>
      </w:r>
      <w:bookmarkEnd w:id="138"/>
      <w:bookmarkEnd w:id="139"/>
      <w:r>
        <w:t>e</w:t>
      </w:r>
      <w:bookmarkStart w:id="140" w:name="_Toc436624145"/>
      <w:bookmarkStart w:id="141" w:name="_Toc436625446"/>
      <w:bookmarkStart w:id="142" w:name="_Toc449255766"/>
      <w:bookmarkStart w:id="143" w:name="_Toc490972410"/>
      <w:bookmarkStart w:id="144" w:name="_Toc491014630"/>
      <w:bookmarkStart w:id="145" w:name="_Toc491014772"/>
      <w:bookmarkStart w:id="146" w:name="_Toc491014952"/>
      <w:bookmarkStart w:id="147" w:name="_Toc491015099"/>
      <w:bookmarkStart w:id="148" w:name="_Toc491029243"/>
      <w:bookmarkStart w:id="149" w:name="_Toc491030332"/>
      <w:bookmarkStart w:id="150" w:name="_Toc491030791"/>
      <w:bookmarkStart w:id="151" w:name="_Toc491031354"/>
      <w:bookmarkStart w:id="152" w:name="_Toc491031941"/>
      <w:bookmarkStart w:id="153" w:name="_Toc491032114"/>
      <w:bookmarkStart w:id="154" w:name="_Toc491032222"/>
      <w:bookmarkStart w:id="155" w:name="_Toc491032329"/>
      <w:bookmarkStart w:id="156" w:name="_Toc491771721"/>
      <w:bookmarkStart w:id="157" w:name="_Toc491773296"/>
      <w:bookmarkStart w:id="158" w:name="_Toc23559354"/>
      <w:bookmarkStart w:id="159" w:name="_Toc23559388"/>
      <w:bookmarkStart w:id="160" w:name="_Toc23559675"/>
      <w:bookmarkStart w:id="161" w:name="_Toc23560143"/>
      <w:bookmarkStart w:id="162" w:name="_Toc23563437"/>
      <w:bookmarkStart w:id="163" w:name="_Toc77998689"/>
      <w:bookmarkStart w:id="164" w:name="_Toc79406118"/>
      <w:bookmarkStart w:id="165" w:name="_Toc79467820"/>
      <w:bookmarkStart w:id="166" w:name="_Toc112211967"/>
      <w:bookmarkStart w:id="167" w:name="_Toc112212061"/>
      <w:bookmarkStart w:id="168" w:name="_Toc112137879"/>
      <w:bookmarkStart w:id="169" w:name="_Toc112137901"/>
      <w:bookmarkStart w:id="170" w:name="_Toc210646454"/>
      <w:bookmarkStart w:id="171" w:name="_Toc210698433"/>
      <w:bookmarkStart w:id="172" w:name="_Toc210703215"/>
    </w:p>
    <w:p w:rsidR="007452AA" w:rsidRPr="00DC14F4" w:rsidRDefault="007452AA" w:rsidP="003B1A40">
      <w:pPr>
        <w:pStyle w:val="Heading3"/>
      </w:pPr>
      <w:r w:rsidRPr="003E5DF1">
        <w:t>2.1</w:t>
      </w:r>
      <w:r w:rsidRPr="003E5DF1">
        <w:tab/>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3E5DF1">
        <w:t>Outcomes</w:t>
      </w:r>
      <w:r w:rsidRPr="003E5DF1">
        <w:t xml:space="preserve"> and performance information</w:t>
      </w:r>
    </w:p>
    <w:p w:rsidR="00476B2B" w:rsidRDefault="00476B2B" w:rsidP="00476B2B">
      <w:bookmarkStart w:id="173" w:name="_Toc490972411"/>
      <w:bookmarkStart w:id="174" w:name="_Toc491014631"/>
      <w:bookmarkStart w:id="175" w:name="_Toc491014773"/>
      <w:bookmarkStart w:id="176" w:name="_Toc491014953"/>
      <w:bookmarkStart w:id="177" w:name="_Toc491015100"/>
      <w:r>
        <w:t xml:space="preserve">Government outcomes are the intended results, impacts or consequences of actions by the Government on the Australian community. Commonwealth programs are the primary vehicle by which </w:t>
      </w:r>
      <w:r w:rsidR="00C8102E">
        <w:t>g</w:t>
      </w:r>
      <w:r>
        <w:t xml:space="preserve">overnment agencies achieve the intended results of their outcome statements. Agencies are required to identify the programs </w:t>
      </w:r>
      <w:r w:rsidR="00E94AC5">
        <w:t xml:space="preserve">that </w:t>
      </w:r>
      <w:r>
        <w:t xml:space="preserve">contribute to </w:t>
      </w:r>
      <w:r w:rsidR="00C8102E">
        <w:t>g</w:t>
      </w:r>
      <w:r>
        <w:t xml:space="preserve">overnment outcomes over the </w:t>
      </w:r>
      <w:r w:rsidR="00E94AC5">
        <w:t>b</w:t>
      </w:r>
      <w:r>
        <w:t>udget and forward years.</w:t>
      </w:r>
    </w:p>
    <w:p w:rsidR="00F153C4" w:rsidRDefault="00476B2B" w:rsidP="00476B2B">
      <w:r>
        <w:t xml:space="preserve">Each outcome is described below together with its related programs, specifying the performance indicators and targets used to assess and monitor the performance of FaHCSIA in achieving </w:t>
      </w:r>
      <w:r w:rsidR="00C8102E">
        <w:t>g</w:t>
      </w:r>
      <w:r>
        <w:t>overnment outcomes.</w:t>
      </w:r>
    </w:p>
    <w:p w:rsidR="008F6A0E" w:rsidRDefault="008F6A0E" w:rsidP="008F6A0E">
      <w:pPr>
        <w:pStyle w:val="Heading4"/>
        <w:pBdr>
          <w:top w:val="single" w:sz="4" w:space="1" w:color="auto"/>
          <w:left w:val="single" w:sz="4" w:space="4" w:color="auto"/>
          <w:bottom w:val="single" w:sz="4" w:space="1" w:color="auto"/>
          <w:right w:val="single" w:sz="4" w:space="4" w:color="auto"/>
        </w:pBdr>
        <w:shd w:val="pct15" w:color="auto" w:fill="auto"/>
      </w:pPr>
      <w:r>
        <w:t xml:space="preserve">Outcome 1: </w:t>
      </w:r>
      <w:r w:rsidRPr="008F0D30">
        <w:t>Families</w:t>
      </w:r>
      <w:r>
        <w:t xml:space="preserve"> and Children</w:t>
      </w:r>
    </w:p>
    <w:p w:rsidR="003608C9" w:rsidRPr="008F6A0E" w:rsidRDefault="008F6A0E" w:rsidP="008F6A0E">
      <w:pPr>
        <w:pBdr>
          <w:top w:val="single" w:sz="4" w:space="1" w:color="auto"/>
          <w:left w:val="single" w:sz="4" w:space="4" w:color="auto"/>
          <w:bottom w:val="single" w:sz="4" w:space="1" w:color="auto"/>
          <w:right w:val="single" w:sz="4" w:space="4" w:color="auto"/>
        </w:pBdr>
        <w:shd w:val="pct15" w:color="auto" w:fill="auto"/>
        <w:rPr>
          <w:rFonts w:ascii="Arial" w:hAnsi="Arial" w:cs="Arial"/>
        </w:rPr>
      </w:pPr>
      <w:proofErr w:type="gramStart"/>
      <w:r w:rsidRPr="008F6A0E">
        <w:rPr>
          <w:rFonts w:ascii="Arial" w:hAnsi="Arial" w:cs="Arial"/>
        </w:rPr>
        <w:t>Improved child development, safety and family functioning through support services for all Australians, payments for low and medium income families with children and child support policy.</w:t>
      </w:r>
      <w:bookmarkEnd w:id="173"/>
      <w:bookmarkEnd w:id="174"/>
      <w:bookmarkEnd w:id="175"/>
      <w:bookmarkEnd w:id="176"/>
      <w:bookmarkEnd w:id="177"/>
      <w:proofErr w:type="gramEnd"/>
    </w:p>
    <w:p w:rsidR="007452AA" w:rsidRDefault="007452AA" w:rsidP="008F6A0E">
      <w:pPr>
        <w:pStyle w:val="Heading5"/>
      </w:pPr>
      <w:r w:rsidRPr="00DC14F4">
        <w:t>Outcome 1 strategy</w:t>
      </w:r>
    </w:p>
    <w:p w:rsidR="00F633D5" w:rsidRDefault="00F633D5" w:rsidP="00F633D5">
      <w:r>
        <w:t>FaHCSIA supports Australian families through a broad range of programs and payments, with vulnerable and at-risk children and families receiving particular support to address their needs.</w:t>
      </w:r>
    </w:p>
    <w:p w:rsidR="00F633D5" w:rsidRDefault="00F633D5" w:rsidP="00F633D5">
      <w:r>
        <w:t>Payments and services help families with the costs of raising children and to establish healthy family relationships.</w:t>
      </w:r>
    </w:p>
    <w:p w:rsidR="004040A5" w:rsidRDefault="004040A5" w:rsidP="004040A5">
      <w:r>
        <w:t>Families receive financial assistance through Family Tax Benefit (FTB) Part A, FTB</w:t>
      </w:r>
      <w:r w:rsidR="005F591B">
        <w:t> </w:t>
      </w:r>
      <w:r>
        <w:t>Part</w:t>
      </w:r>
      <w:r w:rsidR="005F591B">
        <w:t> </w:t>
      </w:r>
      <w:r>
        <w:t>B, the Schoolkids Bonus, Paid Parental Leave and Dad and Partner Pay, and</w:t>
      </w:r>
      <w:r w:rsidR="005F591B">
        <w:t> </w:t>
      </w:r>
      <w:r>
        <w:t>the Child Support Scheme.</w:t>
      </w:r>
    </w:p>
    <w:p w:rsidR="004040A5" w:rsidRDefault="004040A5" w:rsidP="004040A5">
      <w:r>
        <w:t>FTB Part A assist</w:t>
      </w:r>
      <w:r w:rsidR="005F591B">
        <w:t>s</w:t>
      </w:r>
      <w:r>
        <w:t xml:space="preserve"> low- and medium-income families with the costs of raising children. FTB Part B assists single </w:t>
      </w:r>
      <w:proofErr w:type="gramStart"/>
      <w:r>
        <w:t>parents</w:t>
      </w:r>
      <w:r w:rsidR="005F591B">
        <w:t>,</w:t>
      </w:r>
      <w:proofErr w:type="gramEnd"/>
      <w:r>
        <w:t xml:space="preserve"> and two-parent families where one income is low.</w:t>
      </w:r>
    </w:p>
    <w:p w:rsidR="004040A5" w:rsidRDefault="004040A5" w:rsidP="004040A5">
      <w:r>
        <w:t>The Child Support Scheme ensures that children from separated families benefit from the financial resources available to their parents.</w:t>
      </w:r>
    </w:p>
    <w:p w:rsidR="004040A5" w:rsidRDefault="004040A5" w:rsidP="004040A5">
      <w:r>
        <w:t>The Schoolkids Bonus began on 1 January 2013 and assists families with</w:t>
      </w:r>
      <w:r w:rsidR="005F591B">
        <w:t xml:space="preserve"> children with</w:t>
      </w:r>
      <w:r>
        <w:t xml:space="preserve"> the costs of education. A payment of $</w:t>
      </w:r>
      <w:r w:rsidR="005F591B">
        <w:t>410</w:t>
      </w:r>
      <w:r>
        <w:t xml:space="preserve"> for primary school children and $</w:t>
      </w:r>
      <w:r w:rsidR="005F591B">
        <w:t>82</w:t>
      </w:r>
      <w:r>
        <w:t xml:space="preserve">0 for secondary school children is </w:t>
      </w:r>
      <w:r w:rsidR="005F591B">
        <w:t>paid</w:t>
      </w:r>
      <w:r>
        <w:t xml:space="preserve"> in</w:t>
      </w:r>
      <w:r w:rsidR="005F591B">
        <w:t xml:space="preserve"> two instalments in</w:t>
      </w:r>
      <w:r>
        <w:t xml:space="preserve"> January and July</w:t>
      </w:r>
      <w:r w:rsidR="00616BEC">
        <w:t xml:space="preserve"> each year</w:t>
      </w:r>
      <w:r>
        <w:t>.</w:t>
      </w:r>
    </w:p>
    <w:p w:rsidR="004040A5" w:rsidRDefault="004040A5" w:rsidP="004040A5">
      <w:r>
        <w:lastRenderedPageBreak/>
        <w:t>As part of the Government’s Household Assistance Package, FTB recipients will receive ongoing household assistance from 1 July 2013 through increases to their regular payments to help them adjust to the introduction of a carbon price. These increases follow the initial payment delivered to families to cover the 12</w:t>
      </w:r>
      <w:r w:rsidR="00616BEC">
        <w:t>-</w:t>
      </w:r>
      <w:r>
        <w:t>month period from 1 July 2012, when the carbon price was introduced.</w:t>
      </w:r>
    </w:p>
    <w:p w:rsidR="00E6090F" w:rsidRDefault="00E6090F" w:rsidP="00E6090F">
      <w:r>
        <w:t>From 1 March 2014, the Baby Bonus will be replaced by a loading on FTB Part A payments when eligible families have a new baby. The payment, worth $2,000 for the first child and $1,000 for subsequent children, will be paid as an initial instalment of $500, with</w:t>
      </w:r>
      <w:r w:rsidR="002F7321">
        <w:t xml:space="preserve"> the</w:t>
      </w:r>
      <w:r>
        <w:t xml:space="preserve"> rest paid in normal fortnightly FTB payments. These new arrangements more closely reflect the essential upfront costs of having a baby, and better target assistance now that Australia has</w:t>
      </w:r>
      <w:r w:rsidR="00D45FC3">
        <w:t xml:space="preserve"> a</w:t>
      </w:r>
      <w:r>
        <w:t xml:space="preserve"> national Paid Parental Leave scheme. Families who receive Paid Parental Leave will not receive the higher payment. </w:t>
      </w:r>
    </w:p>
    <w:p w:rsidR="00E6090F" w:rsidRDefault="00E6090F" w:rsidP="00E6090F">
      <w:r>
        <w:t xml:space="preserve">The Budget also continues indexation pauses on the high-income threshold for </w:t>
      </w:r>
      <w:r w:rsidR="00FF2EBC">
        <w:t>FTB </w:t>
      </w:r>
      <w:r>
        <w:t xml:space="preserve">Part A and the income limits for </w:t>
      </w:r>
      <w:r w:rsidR="00FF2EBC">
        <w:t xml:space="preserve">FTB </w:t>
      </w:r>
      <w:r>
        <w:t xml:space="preserve">Part B, Paid Parental Leave, and Dad and Partner Pay. In addition, the annual </w:t>
      </w:r>
      <w:r w:rsidR="00FF2EBC">
        <w:t>FTB</w:t>
      </w:r>
      <w:r>
        <w:t xml:space="preserve"> Part A and Part B end-of-year supplements will remain at their current level until 30 June 2017.</w:t>
      </w:r>
    </w:p>
    <w:p w:rsidR="00E6090F" w:rsidRDefault="00E6090F" w:rsidP="00E6090F">
      <w:r>
        <w:t>From 1 January 2014, FTB Part A will be better targeted to families with teenagers who are in school. Young people aged 16 and over who have already completed Year 12, or equivalent, will no longer attract FTB Part A – though the payment will continue until the end of the calendar year in which they complete their study.</w:t>
      </w:r>
    </w:p>
    <w:p w:rsidR="00E6090F" w:rsidRDefault="00E6090F" w:rsidP="00E6090F">
      <w:r>
        <w:t xml:space="preserve">The period for claiming </w:t>
      </w:r>
      <w:r w:rsidR="00FF2EBC">
        <w:t>FTB</w:t>
      </w:r>
      <w:r>
        <w:t xml:space="preserve"> and Child Care Benefit, and the period for lodging a tax return to receive the end-of-year </w:t>
      </w:r>
      <w:r w:rsidR="00FF2EBC">
        <w:t>FTB</w:t>
      </w:r>
      <w:r>
        <w:t xml:space="preserve"> supplements, will be reduced from two years </w:t>
      </w:r>
      <w:r w:rsidR="00B65F20">
        <w:t xml:space="preserve">to one year </w:t>
      </w:r>
      <w:r>
        <w:t>after the end of the entitlement year to one year. The change applies from the 2012</w:t>
      </w:r>
      <w:r w:rsidR="00FF2EBC">
        <w:t>–</w:t>
      </w:r>
      <w:r>
        <w:t>13 entitlement year.</w:t>
      </w:r>
    </w:p>
    <w:p w:rsidR="00B65F20" w:rsidRDefault="00B65F20" w:rsidP="00D5509E">
      <w:r>
        <w:t xml:space="preserve">From 1 July 2014, the rules for receiving family payments when overseas will change so that families </w:t>
      </w:r>
      <w:r w:rsidR="00D93B5A">
        <w:t xml:space="preserve">who are </w:t>
      </w:r>
      <w:r w:rsidR="007766C5">
        <w:t xml:space="preserve">temporarily </w:t>
      </w:r>
      <w:r>
        <w:t xml:space="preserve">overseas </w:t>
      </w:r>
      <w:r w:rsidR="007766C5">
        <w:t xml:space="preserve">can only </w:t>
      </w:r>
      <w:r>
        <w:t>continue to receive payments</w:t>
      </w:r>
      <w:r w:rsidR="007766C5">
        <w:t xml:space="preserve"> for one year, rather than three years</w:t>
      </w:r>
      <w:r>
        <w:t xml:space="preserve">. These payments </w:t>
      </w:r>
      <w:r w:rsidR="007766C5">
        <w:t xml:space="preserve">will </w:t>
      </w:r>
      <w:r>
        <w:t xml:space="preserve">include </w:t>
      </w:r>
      <w:r w:rsidR="007766C5">
        <w:t xml:space="preserve">FTB </w:t>
      </w:r>
      <w:r>
        <w:t>Part A, the</w:t>
      </w:r>
      <w:r w:rsidR="007766C5">
        <w:t> </w:t>
      </w:r>
      <w:r>
        <w:t>Schoolkids Bonus, Paid Parental Leave and Dad and Partner Pay.</w:t>
      </w:r>
    </w:p>
    <w:p w:rsidR="00E6090F" w:rsidRDefault="00D93B5A" w:rsidP="00E6090F">
      <w:r>
        <w:t xml:space="preserve">Members of the Australian </w:t>
      </w:r>
      <w:r w:rsidR="00E6090F">
        <w:t xml:space="preserve">Defence </w:t>
      </w:r>
      <w:r>
        <w:t xml:space="preserve">Force </w:t>
      </w:r>
      <w:r w:rsidR="00E6090F">
        <w:t xml:space="preserve">and </w:t>
      </w:r>
      <w:r>
        <w:t xml:space="preserve">the </w:t>
      </w:r>
      <w:r w:rsidR="00E6090F">
        <w:t xml:space="preserve">Australian Federal Police </w:t>
      </w:r>
      <w:r>
        <w:t xml:space="preserve">who are </w:t>
      </w:r>
      <w:r w:rsidR="00E6090F">
        <w:t>deploy</w:t>
      </w:r>
      <w:r>
        <w:t xml:space="preserve">ed overseas will </w:t>
      </w:r>
      <w:r w:rsidR="007766C5">
        <w:t xml:space="preserve">continue to </w:t>
      </w:r>
      <w:r>
        <w:t xml:space="preserve">be </w:t>
      </w:r>
      <w:r w:rsidR="007766C5">
        <w:t>able to access these payments for up to three years</w:t>
      </w:r>
      <w:r w:rsidR="00B65F20">
        <w:t>.</w:t>
      </w:r>
    </w:p>
    <w:p w:rsidR="005F591B" w:rsidRDefault="004040A5" w:rsidP="004040A5">
      <w:r>
        <w:t>On 1 January 2013, the Australian Government expanded the Paid Parental Leave scheme to include Dad and Partner Pay. This is a dedicated, two-week payment at the rate of the national minimum wage for eligible working fathers or partners in respect of newborn or recently adopted children. Parental Leave Pay, which provides up to 18</w:t>
      </w:r>
      <w:r w:rsidR="00616BEC">
        <w:t> </w:t>
      </w:r>
      <w:r>
        <w:t>weeks of pay at the rate of the national minimum wage, has been available to eligible working parents, usually mothers, since 2011. These payments help parents take time off work to care for their child.</w:t>
      </w:r>
    </w:p>
    <w:p w:rsidR="00F633D5" w:rsidRDefault="00F633D5" w:rsidP="004040A5">
      <w:r>
        <w:lastRenderedPageBreak/>
        <w:t>The Family Support Program provides early intervention and prevention services with more intensive assistance when there are multiple indicators of disadvantage.</w:t>
      </w:r>
    </w:p>
    <w:p w:rsidR="00F633D5" w:rsidRDefault="00F633D5" w:rsidP="00F633D5">
      <w:r>
        <w:t>There is specific support for Forgotten Australians, Former Child Migrants and, from 2013, people affected by past adoption policies and practices.</w:t>
      </w:r>
    </w:p>
    <w:p w:rsidR="00F633D5" w:rsidRDefault="00F633D5" w:rsidP="00F633D5">
      <w:r>
        <w:t>Additional services will be provided to address needs associated with the Royal Commission into Institutional Responses to Child Sexual Abuse</w:t>
      </w:r>
      <w:r w:rsidR="001F6B95">
        <w:t>.</w:t>
      </w:r>
      <w:r w:rsidR="00B65F20">
        <w:t xml:space="preserve"> </w:t>
      </w:r>
      <w:r>
        <w:t>The Government is investing $</w:t>
      </w:r>
      <w:r w:rsidR="005F591B">
        <w:t>45</w:t>
      </w:r>
      <w:r>
        <w:t xml:space="preserve"> million over </w:t>
      </w:r>
      <w:r w:rsidR="005F591B">
        <w:t xml:space="preserve">four </w:t>
      </w:r>
      <w:r>
        <w:t>years to support survivors of child sex abuse who are participating in the Royal Commission.</w:t>
      </w:r>
    </w:p>
    <w:p w:rsidR="00F633D5" w:rsidRDefault="00F633D5" w:rsidP="00F633D5">
      <w:r>
        <w:t>The National Framework for Protecting Australia’s Children 2009–2020 and the National Plan to Reduce Violence against Women and their Children 2010–2022, under Outcome 6, work to improve the safety and wellbeing of families and children.</w:t>
      </w:r>
    </w:p>
    <w:p w:rsidR="00F633D5" w:rsidRDefault="00F633D5" w:rsidP="00F633D5">
      <w:r>
        <w:t>The Stronger Futures in the Northern Territory</w:t>
      </w:r>
      <w:r w:rsidR="00CB6361">
        <w:t xml:space="preserve"> – </w:t>
      </w:r>
      <w:r>
        <w:t>Child, Youth, Family and Community Wellbeing package</w:t>
      </w:r>
      <w:r w:rsidR="00616BEC">
        <w:t>,</w:t>
      </w:r>
      <w:r>
        <w:t xml:space="preserve"> aims to strengthen services that support the safety and wellbeing of children, young people and their families in remote Indigenous communities in the Northern Territory.</w:t>
      </w:r>
    </w:p>
    <w:p w:rsidR="0082101B" w:rsidRDefault="00F633D5" w:rsidP="00F633D5">
      <w:r>
        <w:t>Further information on Stronger Futures in the Northern Territory is given under Outcome 7.</w:t>
      </w:r>
    </w:p>
    <w:p w:rsidR="00173230" w:rsidRPr="008F6A0E" w:rsidRDefault="006F624A" w:rsidP="008F6A0E">
      <w:pPr>
        <w:pStyle w:val="Heading5"/>
      </w:pPr>
      <w:r>
        <w:br w:type="page"/>
      </w:r>
      <w:r w:rsidR="00173230" w:rsidRPr="008F6A0E">
        <w:lastRenderedPageBreak/>
        <w:t xml:space="preserve">Outcome </w:t>
      </w:r>
      <w:r w:rsidR="004164A2" w:rsidRPr="008F6A0E">
        <w:t>expense s</w:t>
      </w:r>
      <w:r w:rsidR="00173230" w:rsidRPr="008F6A0E">
        <w:t>tatement</w:t>
      </w:r>
    </w:p>
    <w:p w:rsidR="00CB6E4E" w:rsidRDefault="00CB6E4E" w:rsidP="00CB6E4E">
      <w:r>
        <w:t>Table 2.1 provides an overview of the total expenses for Outcome 1, by program.</w:t>
      </w:r>
    </w:p>
    <w:p w:rsidR="0062778F" w:rsidRDefault="0062778F" w:rsidP="0062778F">
      <w:pPr>
        <w:pStyle w:val="TableHeading"/>
      </w:pPr>
      <w:r w:rsidRPr="0062778F">
        <w:t>Table 2.</w:t>
      </w:r>
      <w:r>
        <w:t>1</w:t>
      </w:r>
      <w:r w:rsidRPr="0062778F">
        <w:t xml:space="preserve">: Budgeted </w:t>
      </w:r>
      <w:r w:rsidR="00C8102E">
        <w:t>e</w:t>
      </w:r>
      <w:r w:rsidRPr="0062778F">
        <w:t xml:space="preserve">xpenses for Outcome </w:t>
      </w:r>
      <w:r>
        <w:t>1</w:t>
      </w:r>
    </w:p>
    <w:p w:rsidR="006A1F9D" w:rsidRPr="006A1F9D" w:rsidRDefault="007B4BBD" w:rsidP="006A1F9D">
      <w:pPr>
        <w:pStyle w:val="TableGraphic"/>
      </w:pPr>
      <w:r>
        <w:rPr>
          <w:noProof/>
        </w:rPr>
        <w:drawing>
          <wp:inline distT="0" distB="0" distL="0" distR="0" wp14:anchorId="746AEFFB" wp14:editId="458565AC">
            <wp:extent cx="4878705" cy="6523960"/>
            <wp:effectExtent l="0" t="0" r="0" b="0"/>
            <wp:docPr id="143" name="Picture 143" descr="Table 2.1: Budgeted expens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78705" cy="6523960"/>
                    </a:xfrm>
                    <a:prstGeom prst="rect">
                      <a:avLst/>
                    </a:prstGeom>
                    <a:noFill/>
                    <a:ln>
                      <a:noFill/>
                    </a:ln>
                  </pic:spPr>
                </pic:pic>
              </a:graphicData>
            </a:graphic>
          </wp:inline>
        </w:drawing>
      </w:r>
    </w:p>
    <w:p w:rsidR="004C0FEC" w:rsidRDefault="00173230" w:rsidP="008F6A0E">
      <w:pPr>
        <w:pStyle w:val="Heading5"/>
      </w:pPr>
      <w:bookmarkStart w:id="178" w:name="RANGE!A3:D70"/>
      <w:bookmarkEnd w:id="178"/>
      <w:r>
        <w:br w:type="page"/>
      </w:r>
      <w:r w:rsidR="004C0FEC">
        <w:lastRenderedPageBreak/>
        <w:t>Contributions to Outcome 1</w:t>
      </w:r>
      <w:r w:rsidR="001C23EF">
        <w:t>: Families and Children</w:t>
      </w:r>
    </w:p>
    <w:p w:rsidR="007452AA" w:rsidRPr="008F6A0E" w:rsidRDefault="007452AA" w:rsidP="008F6A0E">
      <w:pPr>
        <w:pStyle w:val="Heading6"/>
      </w:pPr>
      <w:r w:rsidRPr="008F6A0E">
        <w:t xml:space="preserve">Program </w:t>
      </w:r>
      <w:r w:rsidR="00FB7E0E" w:rsidRPr="008F6A0E">
        <w:t>1.1</w:t>
      </w:r>
      <w:bookmarkStart w:id="179" w:name="_GoBack"/>
      <w:bookmarkEnd w:id="179"/>
      <w:r w:rsidR="00FB7E0E" w:rsidRPr="008F6A0E">
        <w:t>: Family Support</w:t>
      </w:r>
    </w:p>
    <w:p w:rsidR="004C0FEC" w:rsidRPr="00476B2B" w:rsidRDefault="004C0FEC" w:rsidP="00476B2B">
      <w:pPr>
        <w:pStyle w:val="SinglePara"/>
      </w:pPr>
    </w:p>
    <w:p w:rsidR="004C0FEC" w:rsidRDefault="004C0FEC" w:rsidP="005D6D56">
      <w:pPr>
        <w:pStyle w:val="Heading7"/>
      </w:pPr>
      <w:r>
        <w:t xml:space="preserve">Program 1.1 </w:t>
      </w:r>
      <w:r w:rsidR="00723747" w:rsidRPr="005D6D56">
        <w:t>o</w:t>
      </w:r>
      <w:r w:rsidRPr="005D6D56">
        <w:t>bjective</w:t>
      </w:r>
    </w:p>
    <w:p w:rsidR="003553C6" w:rsidRDefault="00765635" w:rsidP="00065753">
      <w:pPr>
        <w:pStyle w:val="NormalBox"/>
      </w:pPr>
      <w:r w:rsidRPr="00765635">
        <w:t xml:space="preserve">The </w:t>
      </w:r>
      <w:r w:rsidR="006F624A">
        <w:t xml:space="preserve">objectives of the </w:t>
      </w:r>
      <w:r w:rsidRPr="00765635">
        <w:t xml:space="preserve">Family Support Program </w:t>
      </w:r>
      <w:r w:rsidR="006F624A">
        <w:t>are to support families, particularly those who are vulnerable or living in disadvantaged communities, improve children’s wellbeing, development and safety and enhance family functioning.</w:t>
      </w:r>
    </w:p>
    <w:p w:rsidR="00065753" w:rsidRDefault="00065753" w:rsidP="005D6D56">
      <w:pPr>
        <w:pStyle w:val="Heading7"/>
      </w:pPr>
      <w:r>
        <w:t xml:space="preserve">Program </w:t>
      </w:r>
      <w:r w:rsidR="00723747">
        <w:t>c</w:t>
      </w:r>
      <w:r>
        <w:t xml:space="preserve">omponent </w:t>
      </w:r>
      <w:r w:rsidR="00723747">
        <w:t>o</w:t>
      </w:r>
      <w:r>
        <w:t>bjectives</w:t>
      </w:r>
    </w:p>
    <w:p w:rsidR="006F624A" w:rsidRDefault="006F624A" w:rsidP="006F624A">
      <w:pPr>
        <w:pStyle w:val="NormalBox"/>
      </w:pPr>
      <w:r>
        <w:t>The Family Support Program comprises two streams:</w:t>
      </w:r>
    </w:p>
    <w:p w:rsidR="006F624A" w:rsidRDefault="006F624A" w:rsidP="006F624A">
      <w:pPr>
        <w:pStyle w:val="BulletBox"/>
      </w:pPr>
      <w:r>
        <w:t>Family and Children Services</w:t>
      </w:r>
    </w:p>
    <w:p w:rsidR="006F624A" w:rsidRDefault="006F624A" w:rsidP="006F624A">
      <w:pPr>
        <w:pStyle w:val="BulletBox"/>
      </w:pPr>
      <w:r>
        <w:t>Family Law Services</w:t>
      </w:r>
      <w:r w:rsidR="00723747">
        <w:t>.</w:t>
      </w:r>
    </w:p>
    <w:p w:rsidR="00065753" w:rsidRDefault="00065753" w:rsidP="005D6D56">
      <w:pPr>
        <w:pStyle w:val="Heading7"/>
      </w:pPr>
      <w:r>
        <w:t>Family and Children Services</w:t>
      </w:r>
    </w:p>
    <w:p w:rsidR="00065753" w:rsidRDefault="006F624A" w:rsidP="00065753">
      <w:pPr>
        <w:pStyle w:val="NormalBox"/>
      </w:pPr>
      <w:r>
        <w:t xml:space="preserve">The </w:t>
      </w:r>
      <w:r w:rsidR="00947D37">
        <w:t xml:space="preserve">five </w:t>
      </w:r>
      <w:r>
        <w:t xml:space="preserve">activities delivered under Family and Children Services are: </w:t>
      </w:r>
    </w:p>
    <w:p w:rsidR="006F624A" w:rsidRPr="006F624A" w:rsidRDefault="006F624A" w:rsidP="006F624A">
      <w:pPr>
        <w:pStyle w:val="BulletBox"/>
      </w:pPr>
      <w:r w:rsidRPr="006F624A">
        <w:t>Communities for Children Services, which design and deliver services tailored to the needs of the local community, with a focus on supporting families with young children</w:t>
      </w:r>
    </w:p>
    <w:p w:rsidR="006F624A" w:rsidRPr="006F624A" w:rsidRDefault="006F624A" w:rsidP="006F624A">
      <w:pPr>
        <w:pStyle w:val="BulletBox"/>
      </w:pPr>
      <w:r w:rsidRPr="006F624A">
        <w:t>Family and Relationship Services</w:t>
      </w:r>
      <w:r w:rsidR="00723747">
        <w:t>,</w:t>
      </w:r>
      <w:r w:rsidRPr="006F624A">
        <w:t xml:space="preserve"> which provide professional counselling services to families experiencing challenges or transitions</w:t>
      </w:r>
    </w:p>
    <w:p w:rsidR="006F624A" w:rsidRPr="006F624A" w:rsidRDefault="006F624A" w:rsidP="006F624A">
      <w:pPr>
        <w:pStyle w:val="BulletBox"/>
      </w:pPr>
      <w:r w:rsidRPr="006F624A">
        <w:t>Specialist Services</w:t>
      </w:r>
      <w:r w:rsidR="00723747">
        <w:t>,</w:t>
      </w:r>
      <w:r w:rsidRPr="006F624A">
        <w:t xml:space="preserve"> which provide support to vulnerable children and their families affected by drugs, violence and trauma</w:t>
      </w:r>
    </w:p>
    <w:p w:rsidR="00947D37" w:rsidRDefault="006F624A" w:rsidP="00D5509E">
      <w:pPr>
        <w:pStyle w:val="BulletBox"/>
        <w:pBdr>
          <w:between w:val="single" w:sz="2" w:space="3" w:color="auto"/>
        </w:pBdr>
      </w:pPr>
      <w:r w:rsidRPr="006F624A">
        <w:t>Community Playgroups</w:t>
      </w:r>
      <w:r w:rsidR="00723747">
        <w:t>,</w:t>
      </w:r>
      <w:r w:rsidRPr="006F624A">
        <w:t xml:space="preserve"> which strengthen parents’ relationship and interactions with their young children</w:t>
      </w:r>
      <w:r w:rsidR="00721D4B">
        <w:t>.</w:t>
      </w:r>
    </w:p>
    <w:p w:rsidR="00BF7D27" w:rsidRDefault="003553C6" w:rsidP="00B65F20">
      <w:pPr>
        <w:pStyle w:val="NormalBox"/>
      </w:pPr>
      <w:proofErr w:type="gramStart"/>
      <w:r>
        <w:t xml:space="preserve">Linked to: </w:t>
      </w:r>
      <w:r w:rsidR="0009488C">
        <w:t>P</w:t>
      </w:r>
      <w:r w:rsidR="00243C2C" w:rsidRPr="00243C2C">
        <w:t>olicy responsibility for Family Law Services resides with the Attorney</w:t>
      </w:r>
      <w:r w:rsidR="00633DEC">
        <w:noBreakHyphen/>
      </w:r>
      <w:r w:rsidR="00243C2C" w:rsidRPr="00243C2C">
        <w:t>General’s Department (AGD)</w:t>
      </w:r>
      <w:r w:rsidR="004A182E">
        <w:t>.</w:t>
      </w:r>
      <w:proofErr w:type="gramEnd"/>
      <w:r w:rsidR="00C425EC">
        <w:t xml:space="preserve"> </w:t>
      </w:r>
      <w:r w:rsidR="00243C2C" w:rsidRPr="00243C2C">
        <w:t>For more information refer to AGD’s 201</w:t>
      </w:r>
      <w:r w:rsidR="00704365">
        <w:t>3</w:t>
      </w:r>
      <w:r w:rsidR="000C048F">
        <w:t>–</w:t>
      </w:r>
      <w:r w:rsidR="00243C2C" w:rsidRPr="00243C2C">
        <w:t>1</w:t>
      </w:r>
      <w:r w:rsidR="00704365">
        <w:t>4</w:t>
      </w:r>
      <w:r w:rsidR="00243C2C" w:rsidRPr="00243C2C">
        <w:t xml:space="preserve"> PB</w:t>
      </w:r>
      <w:r w:rsidR="00BF7D27">
        <w:t> </w:t>
      </w:r>
      <w:r w:rsidR="00243C2C" w:rsidRPr="00243C2C">
        <w:t>Statements.</w:t>
      </w:r>
    </w:p>
    <w:p w:rsidR="00AD4778" w:rsidRPr="00AD4778" w:rsidRDefault="00AD4778" w:rsidP="004555D5">
      <w:pPr>
        <w:pStyle w:val="NormalBox"/>
      </w:pPr>
      <w:proofErr w:type="gramStart"/>
      <w:r>
        <w:t>Also linked to: Program 7.5 Stronger Futures in the Northern Territory.</w:t>
      </w:r>
      <w:proofErr w:type="gramEnd"/>
    </w:p>
    <w:p w:rsidR="00FB7E0E" w:rsidRDefault="00704365" w:rsidP="005D6D56">
      <w:pPr>
        <w:pStyle w:val="Heading7"/>
      </w:pPr>
      <w:r>
        <w:br w:type="page"/>
      </w:r>
      <w:r>
        <w:lastRenderedPageBreak/>
        <w:t xml:space="preserve">Program 1.1 </w:t>
      </w:r>
      <w:r w:rsidR="00C822E4">
        <w:t>e</w:t>
      </w:r>
      <w:r>
        <w:t>xpenses</w:t>
      </w:r>
    </w:p>
    <w:p w:rsidR="00906BA2" w:rsidRPr="00906BA2" w:rsidRDefault="00906BA2" w:rsidP="00906BA2">
      <w:pPr>
        <w:pStyle w:val="NormalBox"/>
        <w:rPr>
          <w:lang w:val="en-AU"/>
        </w:rPr>
      </w:pPr>
      <w:r w:rsidRPr="00906BA2">
        <w:rPr>
          <w:lang w:val="en-AU"/>
        </w:rPr>
        <w:t>The increase in program expenses across the forward years reflects the impact of policy initiatives</w:t>
      </w:r>
      <w:r w:rsidR="00C822E4">
        <w:rPr>
          <w:lang w:val="en-AU"/>
        </w:rPr>
        <w:t>,</w:t>
      </w:r>
      <w:r w:rsidRPr="00906BA2">
        <w:rPr>
          <w:lang w:val="en-AU"/>
        </w:rPr>
        <w:t xml:space="preserve"> </w:t>
      </w:r>
      <w:r w:rsidR="00CD1233">
        <w:rPr>
          <w:lang w:val="en-AU"/>
        </w:rPr>
        <w:t>including</w:t>
      </w:r>
      <w:r w:rsidRPr="00906BA2">
        <w:rPr>
          <w:lang w:val="en-AU"/>
        </w:rPr>
        <w:t xml:space="preserve"> the introduction of the</w:t>
      </w:r>
      <w:r w:rsidRPr="00906BA2">
        <w:rPr>
          <w:i/>
          <w:iCs/>
          <w:lang w:val="en-AU"/>
        </w:rPr>
        <w:t xml:space="preserve"> </w:t>
      </w:r>
      <w:r w:rsidRPr="00906BA2">
        <w:rPr>
          <w:lang w:val="en-AU"/>
        </w:rPr>
        <w:t>Stronger Futures in the Northern Territory</w:t>
      </w:r>
      <w:r w:rsidRPr="00906BA2">
        <w:rPr>
          <w:i/>
          <w:iCs/>
          <w:lang w:val="en-AU"/>
        </w:rPr>
        <w:t xml:space="preserve"> </w:t>
      </w:r>
      <w:r w:rsidR="00C822E4">
        <w:rPr>
          <w:lang w:val="en-AU"/>
        </w:rPr>
        <w:t xml:space="preserve">– </w:t>
      </w:r>
      <w:r w:rsidRPr="00906BA2">
        <w:rPr>
          <w:lang w:val="en-AU"/>
        </w:rPr>
        <w:t>Child, Youth, Family, and Community Wellbeing package in 2012–13</w:t>
      </w:r>
      <w:r w:rsidR="00947D37">
        <w:rPr>
          <w:lang w:val="en-AU"/>
        </w:rPr>
        <w:t xml:space="preserve"> and funding for community-based support services to assist people, and their families, who participate in the Royal Commission into Institutional Responses to Child Sexual Abuse</w:t>
      </w:r>
      <w:r w:rsidRPr="00906BA2">
        <w:rPr>
          <w:lang w:val="en-AU"/>
        </w:rPr>
        <w:t>.</w:t>
      </w:r>
    </w:p>
    <w:p w:rsidR="00FB7E0E" w:rsidRDefault="00FB7E0E" w:rsidP="00884D18">
      <w:pPr>
        <w:pStyle w:val="TableHeading"/>
        <w:rPr>
          <w:lang w:val="en-GB"/>
        </w:rPr>
      </w:pPr>
      <w:r>
        <w:rPr>
          <w:lang w:val="en-GB"/>
        </w:rPr>
        <w:t xml:space="preserve">Table 2.1.1: </w:t>
      </w:r>
      <w:r w:rsidR="00704365">
        <w:rPr>
          <w:lang w:val="en-GB"/>
        </w:rPr>
        <w:t xml:space="preserve">Budgeted </w:t>
      </w:r>
      <w:r w:rsidR="00C822E4">
        <w:rPr>
          <w:lang w:val="en-GB"/>
        </w:rPr>
        <w:t>e</w:t>
      </w:r>
      <w:r w:rsidR="00F10036">
        <w:rPr>
          <w:lang w:val="en-GB"/>
        </w:rPr>
        <w:t>xpenses</w:t>
      </w:r>
      <w:r w:rsidR="00704365">
        <w:rPr>
          <w:lang w:val="en-GB"/>
        </w:rPr>
        <w:t xml:space="preserve"> for Family Support</w:t>
      </w:r>
    </w:p>
    <w:p w:rsidR="00EE4C07" w:rsidRDefault="007B4BBD" w:rsidP="00EE4C07">
      <w:pPr>
        <w:pStyle w:val="TableGraphic"/>
      </w:pPr>
      <w:r>
        <w:rPr>
          <w:noProof/>
        </w:rPr>
        <w:drawing>
          <wp:inline distT="0" distB="0" distL="0" distR="0" wp14:anchorId="299A4A22" wp14:editId="1F1ABB3E">
            <wp:extent cx="4878705" cy="2177823"/>
            <wp:effectExtent l="0" t="0" r="0" b="0"/>
            <wp:docPr id="144" name="Picture 144" descr="Table 2.1.1: Budgeted expenses for Famil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8705" cy="2177823"/>
                    </a:xfrm>
                    <a:prstGeom prst="rect">
                      <a:avLst/>
                    </a:prstGeom>
                    <a:noFill/>
                    <a:ln>
                      <a:noFill/>
                    </a:ln>
                  </pic:spPr>
                </pic:pic>
              </a:graphicData>
            </a:graphic>
          </wp:inline>
        </w:drawing>
      </w:r>
    </w:p>
    <w:p w:rsidR="002F4D19" w:rsidRPr="002F4D19" w:rsidRDefault="002F4D19" w:rsidP="002F4D19">
      <w:pPr>
        <w:pStyle w:val="SinglePara"/>
      </w:pPr>
    </w:p>
    <w:p w:rsidR="007452AA" w:rsidRDefault="007452AA" w:rsidP="005D6D56">
      <w:pPr>
        <w:pStyle w:val="Heading7"/>
      </w:pPr>
      <w:r>
        <w:t xml:space="preserve">Program </w:t>
      </w:r>
      <w:r w:rsidR="005D4E72">
        <w:t xml:space="preserve">1.1 </w:t>
      </w:r>
      <w:r w:rsidR="00114603">
        <w:t>deliverables</w:t>
      </w:r>
    </w:p>
    <w:p w:rsidR="00704365" w:rsidRDefault="00704365" w:rsidP="005D6D56">
      <w:pPr>
        <w:pStyle w:val="Heading7"/>
      </w:pPr>
      <w:r>
        <w:t>Family and Children Services</w:t>
      </w:r>
    </w:p>
    <w:p w:rsidR="00704365" w:rsidRPr="00704365" w:rsidRDefault="00704365" w:rsidP="00D71721">
      <w:pPr>
        <w:pStyle w:val="BulletBox"/>
      </w:pPr>
      <w:r>
        <w:t>Number of clients assisted</w:t>
      </w:r>
    </w:p>
    <w:p w:rsidR="00FB7E0E" w:rsidRDefault="0040519B" w:rsidP="0040519B">
      <w:pPr>
        <w:pStyle w:val="TableHeading"/>
      </w:pPr>
      <w:r>
        <w:t xml:space="preserve">Family and Children Services </w:t>
      </w:r>
      <w:r w:rsidR="00C822E4">
        <w:t>d</w:t>
      </w:r>
      <w:r>
        <w:t xml:space="preserve">eliverables </w:t>
      </w:r>
      <w:r w:rsidR="00C822E4">
        <w:t>t</w:t>
      </w:r>
      <w:r>
        <w:t>argets</w:t>
      </w:r>
    </w:p>
    <w:tbl>
      <w:tblPr>
        <w:tblW w:w="7656" w:type="dxa"/>
        <w:tblInd w:w="40" w:type="dxa"/>
        <w:tblCellMar>
          <w:top w:w="57" w:type="dxa"/>
          <w:left w:w="30" w:type="dxa"/>
          <w:bottom w:w="57" w:type="dxa"/>
          <w:right w:w="30" w:type="dxa"/>
        </w:tblCellMar>
        <w:tblLook w:val="0000" w:firstRow="0" w:lastRow="0" w:firstColumn="0" w:lastColumn="0" w:noHBand="0" w:noVBand="0"/>
        <w:tblDescription w:val="Family and Children Services deliverables targets"/>
      </w:tblPr>
      <w:tblGrid>
        <w:gridCol w:w="3112"/>
        <w:gridCol w:w="908"/>
        <w:gridCol w:w="909"/>
        <w:gridCol w:w="909"/>
        <w:gridCol w:w="909"/>
        <w:gridCol w:w="909"/>
      </w:tblGrid>
      <w:tr w:rsidR="00765635" w:rsidRPr="00893575" w:rsidTr="00D5509E">
        <w:trPr>
          <w:trHeight w:val="225"/>
        </w:trPr>
        <w:tc>
          <w:tcPr>
            <w:tcW w:w="3112" w:type="dxa"/>
            <w:tcBorders>
              <w:top w:val="single" w:sz="4" w:space="0" w:color="auto"/>
              <w:left w:val="nil"/>
              <w:bottom w:val="single" w:sz="2" w:space="0" w:color="auto"/>
              <w:right w:val="nil"/>
            </w:tcBorders>
          </w:tcPr>
          <w:p w:rsidR="00765635" w:rsidRPr="00893575" w:rsidRDefault="00765635" w:rsidP="00765635">
            <w:pPr>
              <w:keepNext/>
              <w:autoSpaceDE w:val="0"/>
              <w:autoSpaceDN w:val="0"/>
              <w:adjustRightInd w:val="0"/>
              <w:spacing w:after="0" w:line="240" w:lineRule="auto"/>
              <w:rPr>
                <w:rFonts w:ascii="Arial" w:hAnsi="Arial" w:cs="Arial"/>
                <w:b/>
                <w:bCs/>
                <w:color w:val="000000"/>
                <w:sz w:val="16"/>
                <w:szCs w:val="16"/>
              </w:rPr>
            </w:pPr>
          </w:p>
        </w:tc>
        <w:tc>
          <w:tcPr>
            <w:tcW w:w="908" w:type="dxa"/>
            <w:tcBorders>
              <w:top w:val="single" w:sz="4" w:space="0" w:color="auto"/>
              <w:left w:val="nil"/>
              <w:bottom w:val="single" w:sz="2" w:space="0" w:color="auto"/>
              <w:right w:val="nil"/>
            </w:tcBorders>
            <w:shd w:val="clear" w:color="auto" w:fill="auto"/>
          </w:tcPr>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4" w:space="0" w:color="auto"/>
              <w:left w:val="nil"/>
              <w:bottom w:val="single" w:sz="2" w:space="0" w:color="auto"/>
              <w:right w:val="nil"/>
            </w:tcBorders>
            <w:shd w:val="clear" w:color="auto" w:fill="D9D9D9"/>
          </w:tcPr>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765635" w:rsidRPr="00893575" w:rsidRDefault="00765635" w:rsidP="00003143">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4" w:space="0" w:color="auto"/>
              <w:left w:val="nil"/>
              <w:bottom w:val="single" w:sz="2" w:space="0" w:color="auto"/>
              <w:right w:val="nil"/>
            </w:tcBorders>
          </w:tcPr>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4" w:space="0" w:color="auto"/>
              <w:left w:val="nil"/>
              <w:bottom w:val="single" w:sz="2" w:space="0" w:color="auto"/>
              <w:right w:val="nil"/>
            </w:tcBorders>
          </w:tcPr>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4" w:space="0" w:color="auto"/>
              <w:left w:val="nil"/>
              <w:bottom w:val="single" w:sz="2" w:space="0" w:color="auto"/>
              <w:right w:val="nil"/>
            </w:tcBorders>
          </w:tcPr>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65635" w:rsidRPr="00893575" w:rsidRDefault="00765635" w:rsidP="0076563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765635" w:rsidRPr="00893575" w:rsidTr="00D5509E">
        <w:trPr>
          <w:trHeight w:val="225"/>
        </w:trPr>
        <w:tc>
          <w:tcPr>
            <w:tcW w:w="3112" w:type="dxa"/>
            <w:tcBorders>
              <w:top w:val="single" w:sz="2" w:space="0" w:color="auto"/>
              <w:left w:val="nil"/>
              <w:bottom w:val="single" w:sz="2" w:space="0" w:color="auto"/>
              <w:right w:val="nil"/>
            </w:tcBorders>
            <w:vAlign w:val="bottom"/>
          </w:tcPr>
          <w:p w:rsidR="00765635" w:rsidRDefault="00662D19" w:rsidP="009A0438">
            <w:pPr>
              <w:keepNext/>
              <w:autoSpaceDE w:val="0"/>
              <w:autoSpaceDN w:val="0"/>
              <w:adjustRightInd w:val="0"/>
              <w:spacing w:after="0" w:line="240" w:lineRule="auto"/>
              <w:jc w:val="left"/>
              <w:rPr>
                <w:rFonts w:ascii="Arial" w:hAnsi="Arial" w:cs="Arial"/>
                <w:color w:val="000000"/>
                <w:sz w:val="16"/>
                <w:szCs w:val="16"/>
              </w:rPr>
            </w:pPr>
            <w:r>
              <w:rPr>
                <w:rFonts w:ascii="Arial" w:hAnsi="Arial" w:cs="Arial"/>
                <w:color w:val="000000"/>
                <w:sz w:val="16"/>
                <w:szCs w:val="16"/>
              </w:rPr>
              <w:t>Number of clients assisted</w:t>
            </w:r>
          </w:p>
        </w:tc>
        <w:tc>
          <w:tcPr>
            <w:tcW w:w="908" w:type="dxa"/>
            <w:tcBorders>
              <w:top w:val="single" w:sz="2" w:space="0" w:color="auto"/>
              <w:left w:val="nil"/>
              <w:bottom w:val="single" w:sz="2" w:space="0" w:color="auto"/>
              <w:right w:val="nil"/>
            </w:tcBorders>
            <w:shd w:val="clear" w:color="auto" w:fill="auto"/>
            <w:vAlign w:val="bottom"/>
          </w:tcPr>
          <w:p w:rsidR="00765635" w:rsidRPr="00893575" w:rsidRDefault="00662D19"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755,000</w:t>
            </w:r>
          </w:p>
        </w:tc>
        <w:tc>
          <w:tcPr>
            <w:tcW w:w="909" w:type="dxa"/>
            <w:tcBorders>
              <w:top w:val="single" w:sz="2" w:space="0" w:color="auto"/>
              <w:left w:val="nil"/>
              <w:bottom w:val="single" w:sz="2" w:space="0" w:color="auto"/>
              <w:right w:val="nil"/>
            </w:tcBorders>
            <w:shd w:val="clear" w:color="auto" w:fill="D9D9D9"/>
            <w:vAlign w:val="bottom"/>
          </w:tcPr>
          <w:p w:rsidR="00765635" w:rsidRPr="00893575" w:rsidRDefault="00662D19"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755,000</w:t>
            </w:r>
          </w:p>
        </w:tc>
        <w:tc>
          <w:tcPr>
            <w:tcW w:w="909" w:type="dxa"/>
            <w:tcBorders>
              <w:top w:val="single" w:sz="2" w:space="0" w:color="auto"/>
              <w:left w:val="nil"/>
              <w:bottom w:val="single" w:sz="2" w:space="0" w:color="auto"/>
              <w:right w:val="nil"/>
            </w:tcBorders>
            <w:vAlign w:val="bottom"/>
          </w:tcPr>
          <w:p w:rsidR="00765635" w:rsidRPr="00893575" w:rsidRDefault="00662D19"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755,000</w:t>
            </w:r>
          </w:p>
        </w:tc>
        <w:tc>
          <w:tcPr>
            <w:tcW w:w="909" w:type="dxa"/>
            <w:tcBorders>
              <w:top w:val="single" w:sz="2" w:space="0" w:color="auto"/>
              <w:left w:val="nil"/>
              <w:bottom w:val="single" w:sz="2" w:space="0" w:color="auto"/>
              <w:right w:val="nil"/>
            </w:tcBorders>
            <w:vAlign w:val="bottom"/>
          </w:tcPr>
          <w:p w:rsidR="00765635" w:rsidRPr="00893575" w:rsidRDefault="00662D19"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755,000</w:t>
            </w:r>
          </w:p>
        </w:tc>
        <w:tc>
          <w:tcPr>
            <w:tcW w:w="909" w:type="dxa"/>
            <w:tcBorders>
              <w:top w:val="single" w:sz="2" w:space="0" w:color="auto"/>
              <w:left w:val="nil"/>
              <w:bottom w:val="single" w:sz="2" w:space="0" w:color="auto"/>
              <w:right w:val="nil"/>
            </w:tcBorders>
            <w:vAlign w:val="bottom"/>
          </w:tcPr>
          <w:p w:rsidR="00765635" w:rsidRPr="00893575" w:rsidRDefault="004A182E"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755,000</w:t>
            </w:r>
          </w:p>
        </w:tc>
      </w:tr>
    </w:tbl>
    <w:p w:rsidR="0040519B" w:rsidRPr="0040519B" w:rsidRDefault="0040519B" w:rsidP="00765635"/>
    <w:p w:rsidR="007452AA" w:rsidRDefault="00662D19" w:rsidP="005D6D56">
      <w:pPr>
        <w:pStyle w:val="Heading7"/>
      </w:pPr>
      <w:r>
        <w:br w:type="page"/>
      </w:r>
      <w:r w:rsidR="007452AA" w:rsidRPr="00C33538">
        <w:lastRenderedPageBreak/>
        <w:t xml:space="preserve">Program </w:t>
      </w:r>
      <w:r w:rsidR="005D4E72">
        <w:t xml:space="preserve">1.1 </w:t>
      </w:r>
      <w:r w:rsidR="00C822E4">
        <w:t>k</w:t>
      </w:r>
      <w:r w:rsidR="007452AA" w:rsidRPr="00C33538">
        <w:t xml:space="preserve">ey </w:t>
      </w:r>
      <w:r w:rsidR="00C822E4">
        <w:t>p</w:t>
      </w:r>
      <w:r w:rsidR="007452AA" w:rsidRPr="00C33538">
        <w:t xml:space="preserve">erformance </w:t>
      </w:r>
      <w:r w:rsidR="00C822E4">
        <w:t>i</w:t>
      </w:r>
      <w:r w:rsidR="007452AA" w:rsidRPr="00C33538">
        <w:t xml:space="preserve">ndicators </w:t>
      </w:r>
    </w:p>
    <w:p w:rsidR="00662D19" w:rsidRDefault="00662D19" w:rsidP="00662D19">
      <w:pPr>
        <w:pStyle w:val="BulletBox"/>
      </w:pPr>
      <w:r w:rsidRPr="00662D19">
        <w:t>Percentage of clients reporting improved child wellbeing and development, safety</w:t>
      </w:r>
      <w:r w:rsidR="004A182E">
        <w:t>,</w:t>
      </w:r>
      <w:r w:rsidRPr="00662D19">
        <w:t xml:space="preserve"> family functioning</w:t>
      </w:r>
      <w:r w:rsidR="004A182E">
        <w:t xml:space="preserve"> </w:t>
      </w:r>
    </w:p>
    <w:p w:rsidR="00662D19" w:rsidRDefault="00662D19" w:rsidP="00662D19">
      <w:pPr>
        <w:pStyle w:val="BulletBox"/>
      </w:pPr>
      <w:r w:rsidRPr="00662D19">
        <w:t>Percentage of clients with increased knowledge and skills related to child wellbeing and development, safety or family functioning</w:t>
      </w:r>
    </w:p>
    <w:p w:rsidR="00662D19" w:rsidRDefault="00662D19" w:rsidP="00662D19">
      <w:pPr>
        <w:pStyle w:val="BulletBox"/>
      </w:pPr>
      <w:r w:rsidRPr="00662D19">
        <w:t>Percentage of clients satisfied with the assistance received</w:t>
      </w:r>
    </w:p>
    <w:p w:rsidR="00662D19" w:rsidRDefault="00662D19" w:rsidP="00662D19">
      <w:pPr>
        <w:pStyle w:val="BulletBox"/>
      </w:pPr>
      <w:r w:rsidRPr="00662D19">
        <w:t>Percentage of clients assisted from priority groups</w:t>
      </w:r>
    </w:p>
    <w:p w:rsidR="00662D19" w:rsidRPr="00D71721" w:rsidRDefault="00662D19" w:rsidP="00662D19">
      <w:pPr>
        <w:pStyle w:val="BulletBox"/>
      </w:pPr>
      <w:r w:rsidRPr="00662D19">
        <w:t>Percentage of service sites in disadvantaged or targeted communities</w:t>
      </w:r>
    </w:p>
    <w:p w:rsidR="00FB7E0E" w:rsidRDefault="00D71721" w:rsidP="00D71721">
      <w:pPr>
        <w:pStyle w:val="TableHeading"/>
      </w:pPr>
      <w:r>
        <w:t xml:space="preserve">Program 1.1 </w:t>
      </w:r>
      <w:r w:rsidR="00C822E4">
        <w:t>k</w:t>
      </w:r>
      <w:r>
        <w:t xml:space="preserve">ey </w:t>
      </w:r>
      <w:r w:rsidR="00C822E4">
        <w:t>p</w:t>
      </w:r>
      <w:r>
        <w:t xml:space="preserve">erformance </w:t>
      </w:r>
      <w:r w:rsidR="00C822E4">
        <w:t>i</w:t>
      </w:r>
      <w:r>
        <w:t>ndicators</w:t>
      </w:r>
      <w:r w:rsidR="004A182E" w:rsidRPr="00F633D5">
        <w:rPr>
          <w:rStyle w:val="FootnoteReference"/>
          <w:b w:val="0"/>
        </w:rPr>
        <w:footnoteReference w:id="1"/>
      </w:r>
    </w:p>
    <w:tbl>
      <w:tblPr>
        <w:tblW w:w="7651" w:type="dxa"/>
        <w:tblInd w:w="40" w:type="dxa"/>
        <w:tblCellMar>
          <w:top w:w="57" w:type="dxa"/>
          <w:left w:w="30" w:type="dxa"/>
          <w:bottom w:w="57" w:type="dxa"/>
          <w:right w:w="30" w:type="dxa"/>
        </w:tblCellMar>
        <w:tblLook w:val="0000" w:firstRow="0" w:lastRow="0" w:firstColumn="0" w:lastColumn="0" w:noHBand="0" w:noVBand="0"/>
        <w:tblDescription w:val="Program 1.1 key performance indicators"/>
      </w:tblPr>
      <w:tblGrid>
        <w:gridCol w:w="3107"/>
        <w:gridCol w:w="908"/>
        <w:gridCol w:w="909"/>
        <w:gridCol w:w="909"/>
        <w:gridCol w:w="909"/>
        <w:gridCol w:w="909"/>
      </w:tblGrid>
      <w:tr w:rsidR="00662D19" w:rsidRPr="00893575" w:rsidTr="009C7F86">
        <w:trPr>
          <w:trHeight w:val="225"/>
        </w:trPr>
        <w:tc>
          <w:tcPr>
            <w:tcW w:w="3107" w:type="dxa"/>
            <w:tcBorders>
              <w:top w:val="single" w:sz="2" w:space="0" w:color="auto"/>
              <w:left w:val="nil"/>
              <w:bottom w:val="single" w:sz="2" w:space="0" w:color="auto"/>
              <w:right w:val="nil"/>
            </w:tcBorders>
          </w:tcPr>
          <w:p w:rsidR="00662D19" w:rsidRPr="00893575" w:rsidRDefault="00662D19" w:rsidP="007553F8">
            <w:pPr>
              <w:keepNext/>
              <w:autoSpaceDE w:val="0"/>
              <w:autoSpaceDN w:val="0"/>
              <w:adjustRightInd w:val="0"/>
              <w:spacing w:after="0" w:line="240" w:lineRule="auto"/>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662D19" w:rsidRPr="00893575" w:rsidRDefault="00662D19" w:rsidP="00003143">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662D19" w:rsidRPr="00893575" w:rsidRDefault="00662D19" w:rsidP="007553F8">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662D19" w:rsidRPr="00893575" w:rsidTr="009C7F86">
        <w:trPr>
          <w:trHeight w:val="225"/>
        </w:trPr>
        <w:tc>
          <w:tcPr>
            <w:tcW w:w="3107" w:type="dxa"/>
            <w:tcBorders>
              <w:top w:val="nil"/>
              <w:left w:val="nil"/>
              <w:bottom w:val="nil"/>
              <w:right w:val="nil"/>
            </w:tcBorders>
            <w:vAlign w:val="bottom"/>
          </w:tcPr>
          <w:p w:rsidR="00662D19" w:rsidRDefault="00662D19" w:rsidP="009A0438">
            <w:pPr>
              <w:keepNext/>
              <w:autoSpaceDE w:val="0"/>
              <w:autoSpaceDN w:val="0"/>
              <w:adjustRightInd w:val="0"/>
              <w:spacing w:after="0" w:line="240" w:lineRule="auto"/>
              <w:jc w:val="left"/>
              <w:rPr>
                <w:rFonts w:ascii="Arial" w:hAnsi="Arial" w:cs="Arial"/>
                <w:color w:val="000000"/>
                <w:sz w:val="16"/>
                <w:szCs w:val="16"/>
              </w:rPr>
            </w:pPr>
            <w:r w:rsidRPr="00662D19">
              <w:rPr>
                <w:rFonts w:ascii="Arial" w:hAnsi="Arial" w:cs="Arial"/>
                <w:color w:val="000000"/>
                <w:sz w:val="16"/>
                <w:szCs w:val="16"/>
              </w:rPr>
              <w:t>Percentage of clients reporting improved child wellbeing and development, safety</w:t>
            </w:r>
            <w:r w:rsidR="004A182E">
              <w:rPr>
                <w:rFonts w:ascii="Arial" w:hAnsi="Arial" w:cs="Arial"/>
                <w:color w:val="000000"/>
                <w:sz w:val="16"/>
                <w:szCs w:val="16"/>
              </w:rPr>
              <w:t>,</w:t>
            </w:r>
            <w:r w:rsidRPr="00662D19">
              <w:rPr>
                <w:rFonts w:ascii="Arial" w:hAnsi="Arial" w:cs="Arial"/>
                <w:color w:val="000000"/>
                <w:sz w:val="16"/>
                <w:szCs w:val="16"/>
              </w:rPr>
              <w:t xml:space="preserve"> family functioning</w:t>
            </w:r>
          </w:p>
        </w:tc>
        <w:tc>
          <w:tcPr>
            <w:tcW w:w="908" w:type="dxa"/>
            <w:tcBorders>
              <w:top w:val="nil"/>
              <w:left w:val="nil"/>
              <w:bottom w:val="nil"/>
              <w:right w:val="nil"/>
            </w:tcBorders>
            <w:shd w:val="clear" w:color="auto" w:fill="auto"/>
            <w:vAlign w:val="bottom"/>
          </w:tcPr>
          <w:p w:rsidR="00662D19" w:rsidRPr="00893575" w:rsidRDefault="00662D19"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70%</w:t>
            </w:r>
          </w:p>
        </w:tc>
        <w:tc>
          <w:tcPr>
            <w:tcW w:w="909" w:type="dxa"/>
            <w:tcBorders>
              <w:top w:val="nil"/>
              <w:left w:val="nil"/>
              <w:bottom w:val="nil"/>
              <w:right w:val="nil"/>
            </w:tcBorders>
            <w:shd w:val="clear" w:color="auto" w:fill="D9D9D9"/>
            <w:vAlign w:val="bottom"/>
          </w:tcPr>
          <w:p w:rsidR="00662D19" w:rsidRPr="00893575" w:rsidRDefault="00662D19"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70%</w:t>
            </w:r>
          </w:p>
        </w:tc>
        <w:tc>
          <w:tcPr>
            <w:tcW w:w="909" w:type="dxa"/>
            <w:tcBorders>
              <w:top w:val="nil"/>
              <w:left w:val="nil"/>
              <w:bottom w:val="nil"/>
              <w:right w:val="nil"/>
            </w:tcBorders>
            <w:vAlign w:val="bottom"/>
          </w:tcPr>
          <w:p w:rsidR="00662D19" w:rsidRPr="00893575" w:rsidRDefault="00662D19"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70%</w:t>
            </w:r>
          </w:p>
        </w:tc>
        <w:tc>
          <w:tcPr>
            <w:tcW w:w="909" w:type="dxa"/>
            <w:tcBorders>
              <w:top w:val="nil"/>
              <w:left w:val="nil"/>
              <w:bottom w:val="nil"/>
              <w:right w:val="nil"/>
            </w:tcBorders>
            <w:vAlign w:val="bottom"/>
          </w:tcPr>
          <w:p w:rsidR="00662D19" w:rsidRPr="00893575" w:rsidRDefault="00662D19"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70%</w:t>
            </w:r>
          </w:p>
        </w:tc>
        <w:tc>
          <w:tcPr>
            <w:tcW w:w="909" w:type="dxa"/>
            <w:tcBorders>
              <w:top w:val="nil"/>
              <w:left w:val="nil"/>
              <w:bottom w:val="nil"/>
              <w:right w:val="nil"/>
            </w:tcBorders>
            <w:vAlign w:val="bottom"/>
          </w:tcPr>
          <w:p w:rsidR="00662D19" w:rsidRPr="00893575" w:rsidRDefault="004A182E"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70%</w:t>
            </w:r>
          </w:p>
        </w:tc>
      </w:tr>
      <w:tr w:rsidR="004A182E" w:rsidRPr="00893575" w:rsidTr="009C7F86">
        <w:trPr>
          <w:trHeight w:val="225"/>
        </w:trPr>
        <w:tc>
          <w:tcPr>
            <w:tcW w:w="3107" w:type="dxa"/>
            <w:tcBorders>
              <w:top w:val="nil"/>
              <w:left w:val="nil"/>
              <w:bottom w:val="nil"/>
              <w:right w:val="nil"/>
            </w:tcBorders>
            <w:vAlign w:val="bottom"/>
          </w:tcPr>
          <w:p w:rsidR="004A182E" w:rsidRPr="00662D19" w:rsidRDefault="004A182E" w:rsidP="009A0438">
            <w:pPr>
              <w:keepNext/>
              <w:autoSpaceDE w:val="0"/>
              <w:autoSpaceDN w:val="0"/>
              <w:adjustRightInd w:val="0"/>
              <w:spacing w:after="0" w:line="240" w:lineRule="auto"/>
              <w:jc w:val="left"/>
              <w:rPr>
                <w:rFonts w:ascii="Arial" w:hAnsi="Arial" w:cs="Arial"/>
                <w:color w:val="000000"/>
                <w:sz w:val="16"/>
                <w:szCs w:val="16"/>
              </w:rPr>
            </w:pPr>
            <w:r w:rsidRPr="004A182E">
              <w:rPr>
                <w:rFonts w:ascii="Arial" w:hAnsi="Arial" w:cs="Arial"/>
                <w:color w:val="000000"/>
                <w:sz w:val="16"/>
                <w:szCs w:val="16"/>
              </w:rPr>
              <w:t>Percentage of clients with increased knowledge and skills related to child wellbeing and development, safety or family functioning</w:t>
            </w:r>
          </w:p>
        </w:tc>
        <w:tc>
          <w:tcPr>
            <w:tcW w:w="908" w:type="dxa"/>
            <w:tcBorders>
              <w:top w:val="nil"/>
              <w:left w:val="nil"/>
              <w:bottom w:val="nil"/>
              <w:right w:val="nil"/>
            </w:tcBorders>
            <w:shd w:val="clear" w:color="auto" w:fill="auto"/>
            <w:vAlign w:val="bottom"/>
          </w:tcPr>
          <w:p w:rsidR="004A182E" w:rsidRDefault="004A182E"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909" w:type="dxa"/>
            <w:tcBorders>
              <w:top w:val="nil"/>
              <w:left w:val="nil"/>
              <w:bottom w:val="nil"/>
              <w:right w:val="nil"/>
            </w:tcBorders>
            <w:shd w:val="clear" w:color="auto" w:fill="D9D9D9"/>
            <w:vAlign w:val="bottom"/>
          </w:tcPr>
          <w:p w:rsidR="004A182E" w:rsidRDefault="004A182E"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909" w:type="dxa"/>
            <w:tcBorders>
              <w:top w:val="nil"/>
              <w:left w:val="nil"/>
              <w:bottom w:val="nil"/>
              <w:right w:val="nil"/>
            </w:tcBorders>
            <w:vAlign w:val="bottom"/>
          </w:tcPr>
          <w:p w:rsidR="004A182E" w:rsidRDefault="004A182E"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909" w:type="dxa"/>
            <w:tcBorders>
              <w:top w:val="nil"/>
              <w:left w:val="nil"/>
              <w:bottom w:val="nil"/>
              <w:right w:val="nil"/>
            </w:tcBorders>
            <w:vAlign w:val="bottom"/>
          </w:tcPr>
          <w:p w:rsidR="004A182E" w:rsidRDefault="004A182E"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909" w:type="dxa"/>
            <w:tcBorders>
              <w:top w:val="nil"/>
              <w:left w:val="nil"/>
              <w:bottom w:val="nil"/>
              <w:right w:val="nil"/>
            </w:tcBorders>
            <w:vAlign w:val="bottom"/>
          </w:tcPr>
          <w:p w:rsidR="004A182E" w:rsidRDefault="004A182E" w:rsidP="009A0438">
            <w:pPr>
              <w:keepNext/>
              <w:autoSpaceDE w:val="0"/>
              <w:autoSpaceDN w:val="0"/>
              <w:adjustRightInd w:val="0"/>
              <w:spacing w:after="0" w:line="240" w:lineRule="auto"/>
              <w:jc w:val="right"/>
              <w:rPr>
                <w:rFonts w:ascii="Arial" w:hAnsi="Arial" w:cs="Arial"/>
                <w:color w:val="000000"/>
                <w:sz w:val="16"/>
                <w:szCs w:val="16"/>
                <w:highlight w:val="yellow"/>
              </w:rPr>
            </w:pPr>
            <w:r>
              <w:rPr>
                <w:rFonts w:ascii="Arial" w:hAnsi="Arial" w:cs="Arial"/>
                <w:color w:val="000000"/>
                <w:sz w:val="16"/>
                <w:szCs w:val="16"/>
              </w:rPr>
              <w:t>80%</w:t>
            </w:r>
          </w:p>
        </w:tc>
      </w:tr>
      <w:tr w:rsidR="00BF7D27" w:rsidRPr="00893575" w:rsidTr="009C7F86">
        <w:trPr>
          <w:trHeight w:val="225"/>
        </w:trPr>
        <w:tc>
          <w:tcPr>
            <w:tcW w:w="3107" w:type="dxa"/>
            <w:tcBorders>
              <w:top w:val="nil"/>
              <w:left w:val="nil"/>
              <w:bottom w:val="nil"/>
              <w:right w:val="nil"/>
            </w:tcBorders>
            <w:vAlign w:val="bottom"/>
          </w:tcPr>
          <w:p w:rsidR="00BF7D27" w:rsidRDefault="00BF7D27" w:rsidP="009A0438">
            <w:pPr>
              <w:keepNext/>
              <w:autoSpaceDE w:val="0"/>
              <w:autoSpaceDN w:val="0"/>
              <w:adjustRightInd w:val="0"/>
              <w:spacing w:after="0" w:line="240" w:lineRule="auto"/>
              <w:jc w:val="left"/>
              <w:rPr>
                <w:rFonts w:ascii="Arial" w:hAnsi="Arial" w:cs="Arial"/>
                <w:color w:val="000000"/>
                <w:sz w:val="16"/>
                <w:szCs w:val="16"/>
              </w:rPr>
            </w:pPr>
            <w:r w:rsidRPr="00662D19">
              <w:rPr>
                <w:rFonts w:ascii="Arial" w:hAnsi="Arial" w:cs="Arial"/>
                <w:color w:val="000000"/>
                <w:sz w:val="16"/>
                <w:szCs w:val="16"/>
              </w:rPr>
              <w:t>Percentage of clients satisfied with the assistance received</w:t>
            </w:r>
          </w:p>
        </w:tc>
        <w:tc>
          <w:tcPr>
            <w:tcW w:w="908" w:type="dxa"/>
            <w:tcBorders>
              <w:top w:val="nil"/>
              <w:left w:val="nil"/>
              <w:bottom w:val="nil"/>
              <w:right w:val="nil"/>
            </w:tcBorders>
            <w:shd w:val="clear" w:color="auto" w:fill="auto"/>
            <w:vAlign w:val="bottom"/>
          </w:tcPr>
          <w:p w:rsidR="00BF7D27"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909" w:type="dxa"/>
            <w:tcBorders>
              <w:top w:val="nil"/>
              <w:left w:val="nil"/>
              <w:bottom w:val="nil"/>
              <w:right w:val="nil"/>
            </w:tcBorders>
            <w:shd w:val="clear" w:color="auto" w:fill="D9D9D9"/>
            <w:vAlign w:val="bottom"/>
          </w:tcPr>
          <w:p w:rsidR="00BF7D27"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909" w:type="dxa"/>
            <w:tcBorders>
              <w:top w:val="nil"/>
              <w:left w:val="nil"/>
              <w:bottom w:val="nil"/>
              <w:right w:val="nil"/>
            </w:tcBorders>
            <w:vAlign w:val="bottom"/>
          </w:tcPr>
          <w:p w:rsidR="00BF7D27"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909" w:type="dxa"/>
            <w:tcBorders>
              <w:top w:val="nil"/>
              <w:left w:val="nil"/>
              <w:bottom w:val="nil"/>
              <w:right w:val="nil"/>
            </w:tcBorders>
            <w:vAlign w:val="bottom"/>
          </w:tcPr>
          <w:p w:rsidR="00BF7D27"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909" w:type="dxa"/>
            <w:tcBorders>
              <w:top w:val="nil"/>
              <w:left w:val="nil"/>
              <w:bottom w:val="nil"/>
              <w:right w:val="nil"/>
            </w:tcBorders>
            <w:vAlign w:val="bottom"/>
          </w:tcPr>
          <w:p w:rsidR="00BF7D27" w:rsidRDefault="004A182E"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tc>
      </w:tr>
      <w:tr w:rsidR="00BF7D27" w:rsidRPr="00893575" w:rsidTr="00D5509E">
        <w:trPr>
          <w:trHeight w:val="225"/>
        </w:trPr>
        <w:tc>
          <w:tcPr>
            <w:tcW w:w="3107" w:type="dxa"/>
            <w:tcBorders>
              <w:top w:val="nil"/>
              <w:left w:val="nil"/>
              <w:right w:val="nil"/>
            </w:tcBorders>
            <w:vAlign w:val="bottom"/>
          </w:tcPr>
          <w:p w:rsidR="00BF7D27" w:rsidRDefault="00BF7D27" w:rsidP="009A0438">
            <w:pPr>
              <w:keepNext/>
              <w:autoSpaceDE w:val="0"/>
              <w:autoSpaceDN w:val="0"/>
              <w:adjustRightInd w:val="0"/>
              <w:spacing w:after="0" w:line="240" w:lineRule="auto"/>
              <w:jc w:val="left"/>
              <w:rPr>
                <w:rFonts w:ascii="Arial" w:hAnsi="Arial" w:cs="Arial"/>
                <w:color w:val="000000"/>
                <w:sz w:val="16"/>
                <w:szCs w:val="16"/>
              </w:rPr>
            </w:pPr>
            <w:r w:rsidRPr="00662D19">
              <w:rPr>
                <w:rFonts w:ascii="Arial" w:hAnsi="Arial" w:cs="Arial"/>
                <w:color w:val="000000"/>
                <w:sz w:val="16"/>
                <w:szCs w:val="16"/>
              </w:rPr>
              <w:t>Percentage of clients assisted from priority groups</w:t>
            </w:r>
          </w:p>
        </w:tc>
        <w:tc>
          <w:tcPr>
            <w:tcW w:w="908" w:type="dxa"/>
            <w:tcBorders>
              <w:top w:val="nil"/>
              <w:left w:val="nil"/>
              <w:right w:val="nil"/>
            </w:tcBorders>
            <w:shd w:val="clear" w:color="auto" w:fill="auto"/>
            <w:vAlign w:val="bottom"/>
          </w:tcPr>
          <w:p w:rsidR="00BF7D27"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ATSI 9% CALD 10%</w:t>
            </w:r>
          </w:p>
        </w:tc>
        <w:tc>
          <w:tcPr>
            <w:tcW w:w="909" w:type="dxa"/>
            <w:tcBorders>
              <w:top w:val="nil"/>
              <w:left w:val="nil"/>
              <w:right w:val="nil"/>
            </w:tcBorders>
            <w:shd w:val="clear" w:color="auto" w:fill="D9D9D9"/>
            <w:vAlign w:val="bottom"/>
          </w:tcPr>
          <w:p w:rsidR="00BF7D27"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ATSI 10% CALD 11%</w:t>
            </w:r>
          </w:p>
        </w:tc>
        <w:tc>
          <w:tcPr>
            <w:tcW w:w="909" w:type="dxa"/>
            <w:tcBorders>
              <w:top w:val="nil"/>
              <w:left w:val="nil"/>
              <w:right w:val="nil"/>
            </w:tcBorders>
            <w:vAlign w:val="bottom"/>
          </w:tcPr>
          <w:p w:rsidR="00BF7D27"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ATSI 11% CALD 12%</w:t>
            </w:r>
          </w:p>
        </w:tc>
        <w:tc>
          <w:tcPr>
            <w:tcW w:w="909" w:type="dxa"/>
            <w:tcBorders>
              <w:top w:val="nil"/>
              <w:left w:val="nil"/>
              <w:right w:val="nil"/>
            </w:tcBorders>
            <w:vAlign w:val="bottom"/>
          </w:tcPr>
          <w:p w:rsidR="00BF7D27"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ATSI 12% CALD 13%</w:t>
            </w:r>
          </w:p>
        </w:tc>
        <w:tc>
          <w:tcPr>
            <w:tcW w:w="909" w:type="dxa"/>
            <w:tcBorders>
              <w:top w:val="nil"/>
              <w:left w:val="nil"/>
              <w:right w:val="nil"/>
            </w:tcBorders>
            <w:vAlign w:val="bottom"/>
          </w:tcPr>
          <w:p w:rsidR="00BF7D27" w:rsidRDefault="004A182E"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ATSI 12% CALD 13%</w:t>
            </w:r>
          </w:p>
        </w:tc>
      </w:tr>
      <w:tr w:rsidR="00662D19" w:rsidRPr="00893575" w:rsidTr="00D5509E">
        <w:trPr>
          <w:trHeight w:val="225"/>
        </w:trPr>
        <w:tc>
          <w:tcPr>
            <w:tcW w:w="3107" w:type="dxa"/>
            <w:tcBorders>
              <w:top w:val="nil"/>
              <w:left w:val="nil"/>
              <w:bottom w:val="single" w:sz="2" w:space="0" w:color="auto"/>
              <w:right w:val="nil"/>
            </w:tcBorders>
            <w:vAlign w:val="bottom"/>
          </w:tcPr>
          <w:p w:rsidR="00662D19" w:rsidRPr="00662D19" w:rsidRDefault="00662D19" w:rsidP="009A0438">
            <w:pPr>
              <w:keepNext/>
              <w:autoSpaceDE w:val="0"/>
              <w:autoSpaceDN w:val="0"/>
              <w:adjustRightInd w:val="0"/>
              <w:spacing w:after="0" w:line="240" w:lineRule="auto"/>
              <w:jc w:val="left"/>
              <w:rPr>
                <w:rFonts w:ascii="Arial" w:hAnsi="Arial" w:cs="Arial"/>
                <w:color w:val="000000"/>
                <w:sz w:val="16"/>
                <w:szCs w:val="16"/>
              </w:rPr>
            </w:pPr>
            <w:r w:rsidRPr="00662D19">
              <w:rPr>
                <w:rFonts w:ascii="Arial" w:hAnsi="Arial" w:cs="Arial"/>
                <w:color w:val="000000"/>
                <w:sz w:val="16"/>
                <w:szCs w:val="16"/>
              </w:rPr>
              <w:t>Percentage of service sites in disadvantaged or targeted communities</w:t>
            </w:r>
          </w:p>
        </w:tc>
        <w:tc>
          <w:tcPr>
            <w:tcW w:w="908" w:type="dxa"/>
            <w:tcBorders>
              <w:top w:val="nil"/>
              <w:left w:val="nil"/>
              <w:bottom w:val="single" w:sz="2" w:space="0" w:color="auto"/>
              <w:right w:val="nil"/>
            </w:tcBorders>
            <w:shd w:val="clear" w:color="auto" w:fill="auto"/>
            <w:vAlign w:val="bottom"/>
          </w:tcPr>
          <w:p w:rsidR="00662D19"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w:t>
            </w:r>
          </w:p>
        </w:tc>
        <w:tc>
          <w:tcPr>
            <w:tcW w:w="909" w:type="dxa"/>
            <w:tcBorders>
              <w:top w:val="nil"/>
              <w:left w:val="nil"/>
              <w:bottom w:val="single" w:sz="2" w:space="0" w:color="auto"/>
              <w:right w:val="nil"/>
            </w:tcBorders>
            <w:shd w:val="clear" w:color="auto" w:fill="D9D9D9"/>
            <w:vAlign w:val="bottom"/>
          </w:tcPr>
          <w:p w:rsidR="00662D19"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w:t>
            </w:r>
          </w:p>
        </w:tc>
        <w:tc>
          <w:tcPr>
            <w:tcW w:w="909" w:type="dxa"/>
            <w:tcBorders>
              <w:top w:val="nil"/>
              <w:left w:val="nil"/>
              <w:bottom w:val="single" w:sz="2" w:space="0" w:color="auto"/>
              <w:right w:val="nil"/>
            </w:tcBorders>
            <w:vAlign w:val="bottom"/>
          </w:tcPr>
          <w:p w:rsidR="00662D19"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w:t>
            </w:r>
          </w:p>
        </w:tc>
        <w:tc>
          <w:tcPr>
            <w:tcW w:w="909" w:type="dxa"/>
            <w:tcBorders>
              <w:top w:val="nil"/>
              <w:left w:val="nil"/>
              <w:bottom w:val="single" w:sz="2" w:space="0" w:color="auto"/>
              <w:right w:val="nil"/>
            </w:tcBorders>
            <w:vAlign w:val="bottom"/>
          </w:tcPr>
          <w:p w:rsidR="00662D19" w:rsidRDefault="00BF7D27"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w:t>
            </w:r>
          </w:p>
        </w:tc>
        <w:tc>
          <w:tcPr>
            <w:tcW w:w="909" w:type="dxa"/>
            <w:tcBorders>
              <w:top w:val="nil"/>
              <w:left w:val="nil"/>
              <w:bottom w:val="single" w:sz="2" w:space="0" w:color="auto"/>
              <w:right w:val="nil"/>
            </w:tcBorders>
            <w:vAlign w:val="bottom"/>
          </w:tcPr>
          <w:p w:rsidR="00662D19" w:rsidRDefault="004A182E" w:rsidP="009A043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w:t>
            </w:r>
          </w:p>
        </w:tc>
      </w:tr>
    </w:tbl>
    <w:p w:rsidR="00DF604F" w:rsidRDefault="00DF604F" w:rsidP="00DF604F">
      <w:pPr>
        <w:autoSpaceDE w:val="0"/>
        <w:autoSpaceDN w:val="0"/>
        <w:adjustRightInd w:val="0"/>
        <w:spacing w:after="0" w:line="220" w:lineRule="exact"/>
        <w:jc w:val="left"/>
        <w:rPr>
          <w:rFonts w:ascii="Arial" w:hAnsi="Arial" w:cs="Arial"/>
          <w:color w:val="000000"/>
          <w:sz w:val="16"/>
          <w:szCs w:val="16"/>
        </w:rPr>
      </w:pPr>
      <w:r w:rsidRPr="009B6D35">
        <w:rPr>
          <w:rFonts w:ascii="Arial" w:hAnsi="Arial" w:cs="Arial"/>
          <w:color w:val="000000"/>
          <w:sz w:val="16"/>
          <w:szCs w:val="16"/>
        </w:rPr>
        <w:t>Note:</w:t>
      </w:r>
      <w:r>
        <w:rPr>
          <w:rFonts w:ascii="Arial" w:hAnsi="Arial" w:cs="Arial"/>
          <w:color w:val="000000"/>
          <w:sz w:val="16"/>
          <w:szCs w:val="16"/>
        </w:rPr>
        <w:t xml:space="preserve"> </w:t>
      </w:r>
      <w:r>
        <w:rPr>
          <w:rFonts w:ascii="Arial" w:hAnsi="Arial" w:cs="Arial"/>
          <w:color w:val="000000"/>
          <w:sz w:val="16"/>
          <w:szCs w:val="16"/>
        </w:rPr>
        <w:tab/>
        <w:t xml:space="preserve">ATSI = Aboriginal and Torres Strait Islander </w:t>
      </w:r>
      <w:r w:rsidR="00C822E4">
        <w:rPr>
          <w:rFonts w:ascii="Arial" w:hAnsi="Arial" w:cs="Arial"/>
          <w:color w:val="000000"/>
          <w:sz w:val="16"/>
          <w:szCs w:val="16"/>
        </w:rPr>
        <w:t>people</w:t>
      </w:r>
      <w:r w:rsidR="00F633D5">
        <w:rPr>
          <w:rFonts w:ascii="Arial" w:hAnsi="Arial" w:cs="Arial"/>
          <w:color w:val="000000"/>
          <w:sz w:val="16"/>
          <w:szCs w:val="16"/>
        </w:rPr>
        <w:t>s</w:t>
      </w:r>
    </w:p>
    <w:p w:rsidR="00DF604F" w:rsidRPr="009B6D35" w:rsidRDefault="00DF604F" w:rsidP="00DF604F">
      <w:pPr>
        <w:autoSpaceDE w:val="0"/>
        <w:autoSpaceDN w:val="0"/>
        <w:adjustRightInd w:val="0"/>
        <w:spacing w:after="0" w:line="220" w:lineRule="exact"/>
        <w:jc w:val="left"/>
        <w:rPr>
          <w:rFonts w:ascii="Arial" w:hAnsi="Arial" w:cs="Arial"/>
          <w:color w:val="000000"/>
          <w:sz w:val="16"/>
          <w:szCs w:val="16"/>
        </w:rPr>
      </w:pPr>
      <w:r>
        <w:rPr>
          <w:rFonts w:ascii="Arial" w:hAnsi="Arial" w:cs="Arial"/>
          <w:color w:val="000000"/>
          <w:sz w:val="16"/>
          <w:szCs w:val="16"/>
        </w:rPr>
        <w:tab/>
        <w:t xml:space="preserve">CALD = </w:t>
      </w:r>
      <w:r w:rsidR="00C822E4">
        <w:rPr>
          <w:rFonts w:ascii="Arial" w:hAnsi="Arial" w:cs="Arial"/>
          <w:color w:val="000000"/>
          <w:sz w:val="16"/>
          <w:szCs w:val="16"/>
        </w:rPr>
        <w:t>people from c</w:t>
      </w:r>
      <w:r>
        <w:rPr>
          <w:rFonts w:ascii="Arial" w:hAnsi="Arial" w:cs="Arial"/>
          <w:color w:val="000000"/>
          <w:sz w:val="16"/>
          <w:szCs w:val="16"/>
        </w:rPr>
        <w:t xml:space="preserve">ulturally and </w:t>
      </w:r>
      <w:r w:rsidR="00C822E4">
        <w:rPr>
          <w:rFonts w:ascii="Arial" w:hAnsi="Arial" w:cs="Arial"/>
          <w:color w:val="000000"/>
          <w:sz w:val="16"/>
          <w:szCs w:val="16"/>
        </w:rPr>
        <w:t>l</w:t>
      </w:r>
      <w:r>
        <w:rPr>
          <w:rFonts w:ascii="Arial" w:hAnsi="Arial" w:cs="Arial"/>
          <w:color w:val="000000"/>
          <w:sz w:val="16"/>
          <w:szCs w:val="16"/>
        </w:rPr>
        <w:t xml:space="preserve">inguistically </w:t>
      </w:r>
      <w:r w:rsidR="00C822E4">
        <w:rPr>
          <w:rFonts w:ascii="Arial" w:hAnsi="Arial" w:cs="Arial"/>
          <w:color w:val="000000"/>
          <w:sz w:val="16"/>
          <w:szCs w:val="16"/>
        </w:rPr>
        <w:t>d</w:t>
      </w:r>
      <w:r>
        <w:rPr>
          <w:rFonts w:ascii="Arial" w:hAnsi="Arial" w:cs="Arial"/>
          <w:color w:val="000000"/>
          <w:sz w:val="16"/>
          <w:szCs w:val="16"/>
        </w:rPr>
        <w:t>iverse background</w:t>
      </w:r>
      <w:r w:rsidR="00C822E4">
        <w:rPr>
          <w:rFonts w:ascii="Arial" w:hAnsi="Arial" w:cs="Arial"/>
          <w:color w:val="000000"/>
          <w:sz w:val="16"/>
          <w:szCs w:val="16"/>
        </w:rPr>
        <w:t>s</w:t>
      </w:r>
    </w:p>
    <w:p w:rsidR="007452AA" w:rsidRPr="00165A28" w:rsidRDefault="007452AA" w:rsidP="005D6D56">
      <w:pPr>
        <w:pStyle w:val="Heading6"/>
      </w:pPr>
      <w:r w:rsidRPr="006F110F">
        <w:t>Program 1.2: Family Tax Benefit</w:t>
      </w:r>
    </w:p>
    <w:p w:rsidR="007452AA" w:rsidRDefault="007452AA" w:rsidP="005270E7">
      <w:pPr>
        <w:pStyle w:val="SinglePara"/>
        <w:rPr>
          <w:lang w:val="en-GB"/>
        </w:rPr>
      </w:pPr>
    </w:p>
    <w:p w:rsidR="00880538" w:rsidRDefault="00880538" w:rsidP="005D6D56">
      <w:pPr>
        <w:pStyle w:val="Heading7"/>
      </w:pPr>
      <w:r>
        <w:t xml:space="preserve">Program 1.2 </w:t>
      </w:r>
      <w:r w:rsidR="00A15AE9">
        <w:t>o</w:t>
      </w:r>
      <w:r>
        <w:t>b</w:t>
      </w:r>
      <w:r w:rsidR="003F4B01">
        <w:t>j</w:t>
      </w:r>
      <w:r>
        <w:t>ective</w:t>
      </w:r>
    </w:p>
    <w:p w:rsidR="00880538" w:rsidRDefault="00880538" w:rsidP="00880538">
      <w:pPr>
        <w:pStyle w:val="NormalBox"/>
      </w:pPr>
      <w:r>
        <w:t>To make payments to assist low- and medium-income families with the direct and indirect costs of raising dependent children</w:t>
      </w:r>
      <w:r w:rsidR="004A182E">
        <w:t>, and encourage all families to fully immunise their children</w:t>
      </w:r>
      <w:r>
        <w:t>.</w:t>
      </w:r>
    </w:p>
    <w:p w:rsidR="00880538" w:rsidRDefault="00880538" w:rsidP="005D6D56">
      <w:pPr>
        <w:pStyle w:val="Heading7"/>
      </w:pPr>
      <w:r>
        <w:t xml:space="preserve">Program </w:t>
      </w:r>
      <w:r w:rsidR="00A15AE9">
        <w:t>c</w:t>
      </w:r>
      <w:r>
        <w:t xml:space="preserve">omponent </w:t>
      </w:r>
      <w:r w:rsidR="00A15AE9">
        <w:t>o</w:t>
      </w:r>
      <w:r>
        <w:t>bjectives</w:t>
      </w:r>
    </w:p>
    <w:p w:rsidR="00880538" w:rsidRDefault="00880538" w:rsidP="005D6D56">
      <w:pPr>
        <w:pStyle w:val="Heading8"/>
      </w:pPr>
      <w:r>
        <w:t xml:space="preserve">Family Tax </w:t>
      </w:r>
      <w:r w:rsidRPr="005D6D56">
        <w:t>Benefit</w:t>
      </w:r>
      <w:r>
        <w:t xml:space="preserve"> Part A</w:t>
      </w:r>
    </w:p>
    <w:p w:rsidR="00880538" w:rsidRDefault="00BF7D27" w:rsidP="00880538">
      <w:pPr>
        <w:pStyle w:val="NormalBox"/>
      </w:pPr>
      <w:proofErr w:type="gramStart"/>
      <w:r w:rsidRPr="00BF7D27">
        <w:t>To make payments to assist low- and medium-income families with the costs of raising dependent children.</w:t>
      </w:r>
      <w:proofErr w:type="gramEnd"/>
      <w:r w:rsidRPr="00BF7D27">
        <w:t xml:space="preserve"> This supports better family functioning by improving the financial wellbeing of low- and medium-income families with children.</w:t>
      </w:r>
    </w:p>
    <w:p w:rsidR="00880538" w:rsidRDefault="00880538" w:rsidP="005D6D56">
      <w:pPr>
        <w:pStyle w:val="Heading8"/>
      </w:pPr>
      <w:r>
        <w:lastRenderedPageBreak/>
        <w:t>Family Tax Benefit Part B</w:t>
      </w:r>
    </w:p>
    <w:p w:rsidR="00880538" w:rsidRDefault="00BF7D27" w:rsidP="00267211">
      <w:pPr>
        <w:pStyle w:val="NormalBox"/>
      </w:pPr>
      <w:r w:rsidRPr="00BF7D27">
        <w:t xml:space="preserve">To make payments to assist low- and medium-income single parents, and partnered parents where one </w:t>
      </w:r>
      <w:r w:rsidR="008F50DA">
        <w:t xml:space="preserve">parent is on a low </w:t>
      </w:r>
      <w:r w:rsidRPr="00BF7D27">
        <w:t xml:space="preserve">income, to enable families to exercise choices to balance labour force </w:t>
      </w:r>
      <w:r w:rsidRPr="00267211">
        <w:t>participation</w:t>
      </w:r>
      <w:r w:rsidRPr="00BF7D27">
        <w:t xml:space="preserve"> and child care responsibilities.</w:t>
      </w:r>
    </w:p>
    <w:p w:rsidR="00880538" w:rsidRDefault="00880538" w:rsidP="005D6D56">
      <w:pPr>
        <w:pStyle w:val="Heading8"/>
      </w:pPr>
      <w:r>
        <w:t>Child Support Scheme</w:t>
      </w:r>
    </w:p>
    <w:p w:rsidR="00880538" w:rsidRDefault="00BF7D27" w:rsidP="00880538">
      <w:pPr>
        <w:pStyle w:val="NormalBox"/>
      </w:pPr>
      <w:r w:rsidRPr="00BF7D27">
        <w:t>To ensure that children from separated families continue to receive financial support from their parents.</w:t>
      </w:r>
    </w:p>
    <w:p w:rsidR="00880538" w:rsidRPr="00880538" w:rsidRDefault="00880538" w:rsidP="005D6D56">
      <w:pPr>
        <w:pStyle w:val="Heading8"/>
      </w:pPr>
      <w:proofErr w:type="spellStart"/>
      <w:r>
        <w:t>Schoolkids</w:t>
      </w:r>
      <w:proofErr w:type="spellEnd"/>
      <w:r>
        <w:t xml:space="preserve"> Bonus</w:t>
      </w:r>
    </w:p>
    <w:p w:rsidR="00880538" w:rsidRDefault="00BF7D27" w:rsidP="00BF7D27">
      <w:pPr>
        <w:pStyle w:val="NormalBox"/>
        <w:pBdr>
          <w:between w:val="single" w:sz="2" w:space="3" w:color="auto"/>
        </w:pBdr>
      </w:pPr>
      <w:r>
        <w:t>To deliver assistance to low- and medium-inc</w:t>
      </w:r>
      <w:r w:rsidR="00043CA8">
        <w:t>ome families for their children’</w:t>
      </w:r>
      <w:r>
        <w:t>s education costs.</w:t>
      </w:r>
    </w:p>
    <w:p w:rsidR="00880538" w:rsidRDefault="00880538" w:rsidP="00BF7D27">
      <w:pPr>
        <w:pStyle w:val="NormalBox"/>
      </w:pPr>
      <w:proofErr w:type="gramStart"/>
      <w:r>
        <w:t xml:space="preserve">Linked to: </w:t>
      </w:r>
      <w:r w:rsidR="006B26AD">
        <w:t xml:space="preserve">Personal </w:t>
      </w:r>
      <w:r w:rsidR="00AD4778">
        <w:t>b</w:t>
      </w:r>
      <w:r w:rsidR="006B26AD">
        <w:t xml:space="preserve">enefits </w:t>
      </w:r>
      <w:r w:rsidR="00AD4778">
        <w:t>p</w:t>
      </w:r>
      <w:r w:rsidR="006B26AD">
        <w:t xml:space="preserve">ayments under this program </w:t>
      </w:r>
      <w:r w:rsidR="00AD4778">
        <w:t xml:space="preserve">are </w:t>
      </w:r>
      <w:r w:rsidR="006B26AD">
        <w:t>delivered by the Department of Human Services (DHS)</w:t>
      </w:r>
      <w:r w:rsidR="00AD4778">
        <w:t xml:space="preserve"> and the Department of Veterans’ Affairs (DVA)</w:t>
      </w:r>
      <w:r w:rsidR="0009488C">
        <w:t>.</w:t>
      </w:r>
      <w:proofErr w:type="gramEnd"/>
      <w:r w:rsidR="0009488C">
        <w:t xml:space="preserve"> For more information</w:t>
      </w:r>
      <w:r w:rsidR="006B26AD">
        <w:t xml:space="preserve"> refer to </w:t>
      </w:r>
      <w:r w:rsidR="00AD4778">
        <w:t>each agency’s</w:t>
      </w:r>
      <w:r w:rsidR="006B26AD">
        <w:t xml:space="preserve"> 2013</w:t>
      </w:r>
      <w:r w:rsidR="003D1E6A">
        <w:t>–</w:t>
      </w:r>
      <w:r w:rsidR="006B26AD">
        <w:t>14 PB Statements.</w:t>
      </w:r>
    </w:p>
    <w:p w:rsidR="00611563" w:rsidRDefault="00611563" w:rsidP="00611563">
      <w:pPr>
        <w:pStyle w:val="NormalBox"/>
      </w:pPr>
      <w:r>
        <w:t xml:space="preserve">Also linked to: Department of Health </w:t>
      </w:r>
      <w:r w:rsidR="007D0258">
        <w:t>and Ageing (DHA) Program 1.5: Immunisation and Program</w:t>
      </w:r>
      <w:r w:rsidR="005912F7">
        <w:t xml:space="preserve"> </w:t>
      </w:r>
      <w:r w:rsidR="007D0258">
        <w:t>1.6: Public Health. For more information refer to DHA’s 2013</w:t>
      </w:r>
      <w:r w:rsidR="00483338">
        <w:t>–</w:t>
      </w:r>
      <w:r w:rsidR="007D0258">
        <w:t xml:space="preserve">14 </w:t>
      </w:r>
      <w:r w:rsidR="00721D4B">
        <w:t>PB </w:t>
      </w:r>
      <w:r w:rsidR="007D0258">
        <w:t>Statements.</w:t>
      </w:r>
    </w:p>
    <w:p w:rsidR="007D0258" w:rsidRPr="007D0258" w:rsidRDefault="007D0258" w:rsidP="007D0258">
      <w:pPr>
        <w:pStyle w:val="NormalBox"/>
      </w:pPr>
      <w:r>
        <w:t xml:space="preserve">Policy responsibility for the Child Care Benefit, Youth Allowance and </w:t>
      </w:r>
      <w:proofErr w:type="spellStart"/>
      <w:r>
        <w:t>Abstudy</w:t>
      </w:r>
      <w:proofErr w:type="spellEnd"/>
      <w:r>
        <w:t xml:space="preserve"> resides with the Department of Education, Employment and Workplace Relations (DEEWR). For information refer to DEEWR’s 2013</w:t>
      </w:r>
      <w:r w:rsidR="00483338">
        <w:t>–</w:t>
      </w:r>
      <w:r>
        <w:t>14 PB Statements.</w:t>
      </w:r>
    </w:p>
    <w:p w:rsidR="00167BCB" w:rsidRDefault="00167BCB" w:rsidP="00167BCB">
      <w:pPr>
        <w:pStyle w:val="SinglePara"/>
        <w:rPr>
          <w:lang w:val="en-GB"/>
        </w:rPr>
      </w:pPr>
    </w:p>
    <w:p w:rsidR="00167BCB" w:rsidRDefault="00167BCB" w:rsidP="005D6D56">
      <w:pPr>
        <w:pStyle w:val="Heading7"/>
      </w:pPr>
      <w:r>
        <w:t xml:space="preserve">Program 1.2 </w:t>
      </w:r>
      <w:r w:rsidR="00A15AE9">
        <w:t>e</w:t>
      </w:r>
      <w:r>
        <w:t>xpenses</w:t>
      </w:r>
    </w:p>
    <w:p w:rsidR="00906BA2" w:rsidRDefault="00906BA2" w:rsidP="00906BA2">
      <w:pPr>
        <w:pStyle w:val="NormalBox"/>
      </w:pPr>
      <w:r>
        <w:t>The increase in program expenses across the forward years reflects projected changes in the economy, customer trends, indexation parameters and the impact of policy initiatives.</w:t>
      </w:r>
    </w:p>
    <w:p w:rsidR="00906BA2" w:rsidRPr="00906BA2" w:rsidRDefault="00906BA2" w:rsidP="00906BA2">
      <w:pPr>
        <w:pStyle w:val="NormalBox"/>
      </w:pPr>
      <w:r>
        <w:t>The impact of policy initiatives includes the Household Assistance Package</w:t>
      </w:r>
      <w:r w:rsidR="00900888">
        <w:t>, which assists households to</w:t>
      </w:r>
      <w:r>
        <w:t xml:space="preserve"> meet additional costs under a carbon price</w:t>
      </w:r>
      <w:r w:rsidR="00947D37">
        <w:t>,</w:t>
      </w:r>
      <w:r w:rsidR="004040A5">
        <w:t xml:space="preserve"> and the </w:t>
      </w:r>
      <w:proofErr w:type="spellStart"/>
      <w:r w:rsidR="004040A5">
        <w:t>Schoolkids</w:t>
      </w:r>
      <w:proofErr w:type="spellEnd"/>
      <w:r w:rsidR="004040A5">
        <w:t xml:space="preserve"> Bonus</w:t>
      </w:r>
      <w:r w:rsidR="00947D37">
        <w:t>, which assists families with children with the costs of education</w:t>
      </w:r>
      <w:r w:rsidR="004040A5">
        <w:t>.</w:t>
      </w:r>
    </w:p>
    <w:p w:rsidR="00880538" w:rsidRDefault="00880538" w:rsidP="00880538">
      <w:pPr>
        <w:pStyle w:val="TableHeading"/>
        <w:rPr>
          <w:lang w:val="en-GB"/>
        </w:rPr>
      </w:pPr>
      <w:r>
        <w:rPr>
          <w:lang w:val="en-GB"/>
        </w:rPr>
        <w:lastRenderedPageBreak/>
        <w:t xml:space="preserve">Table 2.1.2: Budgeted </w:t>
      </w:r>
      <w:r w:rsidR="00A15AE9">
        <w:rPr>
          <w:lang w:val="en-GB"/>
        </w:rPr>
        <w:t>e</w:t>
      </w:r>
      <w:r>
        <w:rPr>
          <w:lang w:val="en-GB"/>
        </w:rPr>
        <w:t>xpenses for Family Tax Benefit</w:t>
      </w:r>
    </w:p>
    <w:p w:rsidR="00880538" w:rsidRDefault="007B4BBD" w:rsidP="00880538">
      <w:pPr>
        <w:pStyle w:val="TableGraphic"/>
      </w:pPr>
      <w:r>
        <w:rPr>
          <w:noProof/>
        </w:rPr>
        <w:drawing>
          <wp:inline distT="0" distB="0" distL="0" distR="0" wp14:anchorId="37DC1A3D" wp14:editId="11E759F9">
            <wp:extent cx="4762500" cy="3467100"/>
            <wp:effectExtent l="0" t="0" r="0" b="0"/>
            <wp:docPr id="145" name="Picture 145" descr="Table 2.1.2: Budgeted expenses for Family Tax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p w:rsidR="00880538" w:rsidRDefault="004B6449" w:rsidP="005D6D56">
      <w:pPr>
        <w:pStyle w:val="Heading7"/>
      </w:pPr>
      <w:r>
        <w:br w:type="page"/>
      </w:r>
      <w:r w:rsidR="00880538">
        <w:lastRenderedPageBreak/>
        <w:t xml:space="preserve">Program 1.2 </w:t>
      </w:r>
      <w:r w:rsidR="002B294F">
        <w:t>d</w:t>
      </w:r>
      <w:r w:rsidR="00880538">
        <w:t>eliverables</w:t>
      </w:r>
    </w:p>
    <w:p w:rsidR="00880538" w:rsidRDefault="00BF7D27" w:rsidP="00BF7D27">
      <w:pPr>
        <w:pStyle w:val="BulletBox"/>
      </w:pPr>
      <w:r w:rsidRPr="00BF7D27">
        <w:t xml:space="preserve">Payments are made through the Department of Human Services to eligible claimants under the provisions of </w:t>
      </w:r>
      <w:r w:rsidR="008F50DA">
        <w:t xml:space="preserve">the </w:t>
      </w:r>
      <w:r w:rsidRPr="00BF7D27">
        <w:t>family assistance law</w:t>
      </w:r>
    </w:p>
    <w:p w:rsidR="00245A67" w:rsidRDefault="00245A67" w:rsidP="00245A67">
      <w:pPr>
        <w:pStyle w:val="BulletBox"/>
      </w:pPr>
      <w:r w:rsidRPr="00245A67">
        <w:t xml:space="preserve">The Child Support Scheme is administered by the Department of Human Services under the provisions of the </w:t>
      </w:r>
      <w:r w:rsidR="002939E3">
        <w:t>c</w:t>
      </w:r>
      <w:r w:rsidRPr="00245A67">
        <w:t xml:space="preserve">hild </w:t>
      </w:r>
      <w:r w:rsidR="002939E3">
        <w:t>s</w:t>
      </w:r>
      <w:r w:rsidRPr="00245A67">
        <w:t>upport legislation</w:t>
      </w:r>
    </w:p>
    <w:p w:rsidR="004B6449" w:rsidRPr="00704365" w:rsidRDefault="004B6449" w:rsidP="007E081D">
      <w:pPr>
        <w:pStyle w:val="SinglePara"/>
      </w:pPr>
    </w:p>
    <w:p w:rsidR="00880538" w:rsidRDefault="00880538" w:rsidP="005D6D56">
      <w:pPr>
        <w:pStyle w:val="Heading7"/>
      </w:pPr>
      <w:r w:rsidRPr="00C33538">
        <w:t xml:space="preserve">Program </w:t>
      </w:r>
      <w:r>
        <w:t xml:space="preserve">1.2 </w:t>
      </w:r>
      <w:r w:rsidR="002B294F">
        <w:t>k</w:t>
      </w:r>
      <w:r w:rsidR="002B294F" w:rsidRPr="00C33538">
        <w:t xml:space="preserve">ey </w:t>
      </w:r>
      <w:r w:rsidR="002B294F">
        <w:t>p</w:t>
      </w:r>
      <w:r w:rsidR="002B294F" w:rsidRPr="00C33538">
        <w:t xml:space="preserve">erformance </w:t>
      </w:r>
      <w:r w:rsidR="002B294F">
        <w:t>indicators</w:t>
      </w:r>
    </w:p>
    <w:p w:rsidR="006B509E" w:rsidRPr="006B509E" w:rsidRDefault="006B509E" w:rsidP="005D6D56">
      <w:pPr>
        <w:pStyle w:val="Heading8"/>
      </w:pPr>
      <w:r>
        <w:t>Family Tax Benefit Part A</w:t>
      </w:r>
    </w:p>
    <w:p w:rsidR="00880538" w:rsidRDefault="006B509E" w:rsidP="00880538">
      <w:pPr>
        <w:pStyle w:val="BulletBox"/>
      </w:pPr>
      <w:r>
        <w:t>Total number of eligible customers</w:t>
      </w:r>
    </w:p>
    <w:p w:rsidR="006B509E" w:rsidRDefault="006B509E" w:rsidP="00880538">
      <w:pPr>
        <w:pStyle w:val="BulletBox"/>
      </w:pPr>
      <w:r>
        <w:t>Proportion of all customers paid by instalment</w:t>
      </w:r>
    </w:p>
    <w:p w:rsidR="006B509E" w:rsidRDefault="006B509E" w:rsidP="00880538">
      <w:pPr>
        <w:pStyle w:val="BulletBox"/>
      </w:pPr>
      <w:r>
        <w:t>Proportion of all customers paid by lump sum</w:t>
      </w:r>
    </w:p>
    <w:p w:rsidR="006B509E" w:rsidRDefault="006B509E" w:rsidP="00880538">
      <w:pPr>
        <w:pStyle w:val="BulletBox"/>
      </w:pPr>
      <w:r>
        <w:t>Proportion of instalment and lump sum entitlement</w:t>
      </w:r>
      <w:r w:rsidR="00131561">
        <w:rPr>
          <w:rStyle w:val="FootnoteReference"/>
        </w:rPr>
        <w:footnoteReference w:id="2"/>
      </w:r>
    </w:p>
    <w:p w:rsidR="006B509E" w:rsidRDefault="006B509E" w:rsidP="00880538">
      <w:pPr>
        <w:pStyle w:val="BulletBox"/>
      </w:pPr>
      <w:r>
        <w:t>Percentage of all customers who had a qualification debt raised</w:t>
      </w:r>
    </w:p>
    <w:p w:rsidR="006B509E" w:rsidRDefault="006B509E" w:rsidP="00880538">
      <w:pPr>
        <w:pStyle w:val="BulletBox"/>
      </w:pPr>
      <w:r>
        <w:t>Percentage of all customers whose qualification debt remains outstanding</w:t>
      </w:r>
      <w:r w:rsidR="00131561">
        <w:rPr>
          <w:rStyle w:val="FootnoteReference"/>
        </w:rPr>
        <w:footnoteReference w:id="3"/>
      </w:r>
    </w:p>
    <w:p w:rsidR="006B509E" w:rsidRDefault="006B509E" w:rsidP="00880538">
      <w:pPr>
        <w:pStyle w:val="BulletBox"/>
      </w:pPr>
      <w:r>
        <w:t>Percentage of all customers who had a debt raised following reconciliation</w:t>
      </w:r>
    </w:p>
    <w:p w:rsidR="006B509E" w:rsidRDefault="006B509E" w:rsidP="00880538">
      <w:pPr>
        <w:pStyle w:val="BulletBox"/>
      </w:pPr>
      <w:r>
        <w:t>Percentage of all customers whose reconciliation debt remains outstanding</w:t>
      </w:r>
      <w:r w:rsidR="00DB133A" w:rsidRPr="00DB133A">
        <w:rPr>
          <w:vertAlign w:val="superscript"/>
        </w:rPr>
        <w:t>3</w:t>
      </w:r>
    </w:p>
    <w:p w:rsidR="006B509E" w:rsidRDefault="006B509E" w:rsidP="00880538">
      <w:pPr>
        <w:pStyle w:val="BulletBox"/>
      </w:pPr>
      <w:r>
        <w:t>Percentage of all customers who had a non-lodger debt raised</w:t>
      </w:r>
    </w:p>
    <w:p w:rsidR="006B509E" w:rsidRDefault="006B509E" w:rsidP="00880538">
      <w:pPr>
        <w:pStyle w:val="BulletBox"/>
      </w:pPr>
      <w:r>
        <w:t>Percentage of all customers whose non-lodger debt remains outstanding</w:t>
      </w:r>
      <w:r w:rsidR="00DB133A" w:rsidRPr="00DB133A">
        <w:rPr>
          <w:vertAlign w:val="superscript"/>
        </w:rPr>
        <w:t>3</w:t>
      </w:r>
    </w:p>
    <w:p w:rsidR="006B509E" w:rsidRDefault="006B509E" w:rsidP="00880538">
      <w:pPr>
        <w:pStyle w:val="BulletBox"/>
      </w:pPr>
      <w:r>
        <w:t xml:space="preserve">Agreement </w:t>
      </w:r>
      <w:r w:rsidR="002939E3">
        <w:t xml:space="preserve">is </w:t>
      </w:r>
      <w:r>
        <w:t>in plac</w:t>
      </w:r>
      <w:r w:rsidR="00131561">
        <w:t>e with the Department of Human S</w:t>
      </w:r>
      <w:r>
        <w:t>ervices</w:t>
      </w:r>
    </w:p>
    <w:p w:rsidR="00131561" w:rsidRDefault="006B509E" w:rsidP="00880538">
      <w:pPr>
        <w:pStyle w:val="BulletBox"/>
      </w:pPr>
      <w:r>
        <w:t xml:space="preserve">Strategies are in place to ensure that requirements are fulfilled under </w:t>
      </w:r>
      <w:r w:rsidR="00FA35FA">
        <w:t xml:space="preserve">the </w:t>
      </w:r>
      <w:r>
        <w:t>agreement with the Department of Human Services</w:t>
      </w:r>
    </w:p>
    <w:p w:rsidR="00D640C3" w:rsidRDefault="00131561" w:rsidP="005D6D56">
      <w:pPr>
        <w:pStyle w:val="Heading7"/>
      </w:pPr>
      <w:r>
        <w:br w:type="page"/>
      </w:r>
      <w:r w:rsidR="00D640C3" w:rsidRPr="00C33538">
        <w:lastRenderedPageBreak/>
        <w:t xml:space="preserve">Program </w:t>
      </w:r>
      <w:r w:rsidR="00D640C3">
        <w:t>1.2 k</w:t>
      </w:r>
      <w:r w:rsidR="00D640C3" w:rsidRPr="00C33538">
        <w:t xml:space="preserve">ey </w:t>
      </w:r>
      <w:r w:rsidR="00D640C3">
        <w:t>p</w:t>
      </w:r>
      <w:r w:rsidR="00D640C3" w:rsidRPr="00C33538">
        <w:t xml:space="preserve">erformance </w:t>
      </w:r>
      <w:r w:rsidR="00D640C3">
        <w:t>indicators (continued)</w:t>
      </w:r>
    </w:p>
    <w:p w:rsidR="00131561" w:rsidRDefault="00131561" w:rsidP="00880538">
      <w:pPr>
        <w:pStyle w:val="BulletBox"/>
      </w:pPr>
      <w:r>
        <w:t xml:space="preserve">Administered </w:t>
      </w:r>
      <w:r w:rsidR="00D640C3">
        <w:t>o</w:t>
      </w:r>
      <w:r>
        <w:t>utlays</w:t>
      </w:r>
      <w:r>
        <w:rPr>
          <w:rStyle w:val="FootnoteReference"/>
        </w:rPr>
        <w:footnoteReference w:id="4"/>
      </w:r>
    </w:p>
    <w:p w:rsidR="006B509E" w:rsidRDefault="006B509E" w:rsidP="00880538">
      <w:pPr>
        <w:pStyle w:val="BulletBox"/>
      </w:pPr>
      <w:r>
        <w:t>Payment accuracy</w:t>
      </w:r>
    </w:p>
    <w:p w:rsidR="004B6449" w:rsidRDefault="006B509E" w:rsidP="004B6449">
      <w:pPr>
        <w:pStyle w:val="BulletBox"/>
      </w:pPr>
      <w:r>
        <w:t>Percentage and number of families with children under 16 years of age receiving F</w:t>
      </w:r>
      <w:r w:rsidR="00015C13">
        <w:t xml:space="preserve">amily </w:t>
      </w:r>
      <w:r>
        <w:t>T</w:t>
      </w:r>
      <w:r w:rsidR="00015C13">
        <w:t xml:space="preserve">ax </w:t>
      </w:r>
      <w:r>
        <w:t>B</w:t>
      </w:r>
      <w:r w:rsidR="00015C13">
        <w:t>enefit</w:t>
      </w:r>
      <w:r>
        <w:t xml:space="preserve"> Part A</w:t>
      </w:r>
    </w:p>
    <w:p w:rsidR="006B509E" w:rsidRDefault="006B509E" w:rsidP="00880538">
      <w:pPr>
        <w:pStyle w:val="BulletBox"/>
      </w:pPr>
      <w:r>
        <w:t>Percentage and number of families in receipt of F</w:t>
      </w:r>
      <w:r w:rsidR="00015C13">
        <w:t xml:space="preserve">amily </w:t>
      </w:r>
      <w:r>
        <w:t>T</w:t>
      </w:r>
      <w:r w:rsidR="00015C13">
        <w:t xml:space="preserve">ax </w:t>
      </w:r>
      <w:r>
        <w:t>B</w:t>
      </w:r>
      <w:r w:rsidR="00015C13">
        <w:t>enefit</w:t>
      </w:r>
      <w:r>
        <w:t xml:space="preserve"> Part A within income test categories</w:t>
      </w:r>
    </w:p>
    <w:p w:rsidR="006B509E" w:rsidRDefault="006B509E" w:rsidP="00880538">
      <w:pPr>
        <w:pStyle w:val="BulletBox"/>
      </w:pPr>
      <w:r>
        <w:t>Percentage and number of children vaccinated to the highest level appropriate for their age in the Australian community</w:t>
      </w:r>
    </w:p>
    <w:p w:rsidR="006B509E" w:rsidRDefault="006B509E" w:rsidP="005D6D56">
      <w:pPr>
        <w:pStyle w:val="Heading8"/>
      </w:pPr>
      <w:r>
        <w:t>Family Tax Benefit Part B</w:t>
      </w:r>
    </w:p>
    <w:p w:rsidR="006B509E" w:rsidRPr="006B509E" w:rsidRDefault="006B509E" w:rsidP="006B509E">
      <w:pPr>
        <w:pStyle w:val="BulletBox"/>
      </w:pPr>
      <w:r w:rsidRPr="006B509E">
        <w:t>Total number of eligible customers</w:t>
      </w:r>
    </w:p>
    <w:p w:rsidR="006B509E" w:rsidRPr="006B509E" w:rsidRDefault="006B509E" w:rsidP="006B509E">
      <w:pPr>
        <w:pStyle w:val="BulletBox"/>
      </w:pPr>
      <w:r w:rsidRPr="006B509E">
        <w:t>Proportion of all customers paid by instalment</w:t>
      </w:r>
    </w:p>
    <w:p w:rsidR="006B509E" w:rsidRPr="006B509E" w:rsidRDefault="006B509E" w:rsidP="006B509E">
      <w:pPr>
        <w:pStyle w:val="BulletBox"/>
      </w:pPr>
      <w:r w:rsidRPr="006B509E">
        <w:t>Proportion of all customers paid by lump sum</w:t>
      </w:r>
    </w:p>
    <w:p w:rsidR="006B509E" w:rsidRPr="006B509E" w:rsidRDefault="006B509E" w:rsidP="006B509E">
      <w:pPr>
        <w:pStyle w:val="BulletBox"/>
      </w:pPr>
      <w:r w:rsidRPr="006B509E">
        <w:t>Proportion of inst</w:t>
      </w:r>
      <w:r>
        <w:t>alment and lump sum entitlement</w:t>
      </w:r>
    </w:p>
    <w:p w:rsidR="006B509E" w:rsidRPr="006B509E" w:rsidRDefault="006B509E" w:rsidP="006B509E">
      <w:pPr>
        <w:pStyle w:val="BulletBox"/>
      </w:pPr>
      <w:r w:rsidRPr="006B509E">
        <w:t xml:space="preserve">Percentage of all customers who had a qualification debt raised </w:t>
      </w:r>
    </w:p>
    <w:p w:rsidR="006B509E" w:rsidRPr="006B509E" w:rsidRDefault="006B509E" w:rsidP="006B509E">
      <w:pPr>
        <w:pStyle w:val="BulletBox"/>
      </w:pPr>
      <w:r w:rsidRPr="006B509E">
        <w:t>Percentage of all customers whose qualifi</w:t>
      </w:r>
      <w:r>
        <w:t>cation debt remains outstanding</w:t>
      </w:r>
    </w:p>
    <w:p w:rsidR="006B509E" w:rsidRPr="006B509E" w:rsidRDefault="006B509E" w:rsidP="006B509E">
      <w:pPr>
        <w:pStyle w:val="BulletBox"/>
      </w:pPr>
      <w:r w:rsidRPr="006B509E">
        <w:t>Percentage of all customers who had a debt raised following reconciliation</w:t>
      </w:r>
    </w:p>
    <w:p w:rsidR="006B509E" w:rsidRPr="006B509E" w:rsidRDefault="006B509E" w:rsidP="006B509E">
      <w:pPr>
        <w:pStyle w:val="BulletBox"/>
      </w:pPr>
      <w:r w:rsidRPr="006B509E">
        <w:t>Percentage of all customers whose reconcil</w:t>
      </w:r>
      <w:r>
        <w:t>iation debt remains outstanding</w:t>
      </w:r>
    </w:p>
    <w:p w:rsidR="006B509E" w:rsidRPr="006B509E" w:rsidRDefault="006B509E" w:rsidP="006B509E">
      <w:pPr>
        <w:pStyle w:val="BulletBox"/>
      </w:pPr>
      <w:r w:rsidRPr="006B509E">
        <w:t>Percentage of all customers who had a non-lodger debt raised</w:t>
      </w:r>
    </w:p>
    <w:p w:rsidR="006B509E" w:rsidRPr="006B509E" w:rsidRDefault="006B509E" w:rsidP="006B509E">
      <w:pPr>
        <w:pStyle w:val="BulletBox"/>
      </w:pPr>
      <w:r w:rsidRPr="006B509E">
        <w:t>Percentage of all customers whose non-</w:t>
      </w:r>
      <w:r>
        <w:t>lodger debt remains outstanding</w:t>
      </w:r>
    </w:p>
    <w:p w:rsidR="006B509E" w:rsidRPr="006B509E" w:rsidRDefault="006B509E" w:rsidP="006B509E">
      <w:pPr>
        <w:pStyle w:val="BulletBox"/>
      </w:pPr>
      <w:r w:rsidRPr="006B509E">
        <w:t xml:space="preserve">Agreement </w:t>
      </w:r>
      <w:r w:rsidR="002939E3">
        <w:t xml:space="preserve">is </w:t>
      </w:r>
      <w:r w:rsidRPr="006B509E">
        <w:t>in place with the Department of Human Services</w:t>
      </w:r>
    </w:p>
    <w:p w:rsidR="006B509E" w:rsidRDefault="006B509E" w:rsidP="006B509E">
      <w:pPr>
        <w:pStyle w:val="BulletBox"/>
      </w:pPr>
      <w:r w:rsidRPr="006B509E">
        <w:t xml:space="preserve">Strategies are in place to ensure that requirements are </w:t>
      </w:r>
      <w:r>
        <w:t xml:space="preserve">fulfilled under </w:t>
      </w:r>
      <w:r w:rsidR="00FA35FA">
        <w:t xml:space="preserve">the </w:t>
      </w:r>
      <w:r>
        <w:t xml:space="preserve">agreement with </w:t>
      </w:r>
      <w:r w:rsidRPr="006B509E">
        <w:t>the Department of Human Services</w:t>
      </w:r>
    </w:p>
    <w:p w:rsidR="00BB6A70" w:rsidRPr="006B509E" w:rsidRDefault="00BB6A70" w:rsidP="006B509E">
      <w:pPr>
        <w:pStyle w:val="BulletBox"/>
      </w:pPr>
      <w:r>
        <w:t xml:space="preserve">Administered </w:t>
      </w:r>
      <w:r w:rsidR="00D640C3">
        <w:t>o</w:t>
      </w:r>
      <w:r>
        <w:t>utlays</w:t>
      </w:r>
      <w:r>
        <w:rPr>
          <w:rStyle w:val="FootnoteReference"/>
        </w:rPr>
        <w:footnoteReference w:id="5"/>
      </w:r>
    </w:p>
    <w:p w:rsidR="006B509E" w:rsidRPr="006B509E" w:rsidRDefault="006B509E" w:rsidP="006B509E">
      <w:pPr>
        <w:pStyle w:val="BulletBox"/>
      </w:pPr>
      <w:r w:rsidRPr="006B509E">
        <w:t>Payment accuracy</w:t>
      </w:r>
    </w:p>
    <w:p w:rsidR="006B509E" w:rsidRPr="006B509E" w:rsidRDefault="006B509E" w:rsidP="006B509E">
      <w:pPr>
        <w:pStyle w:val="BulletBox"/>
      </w:pPr>
      <w:r w:rsidRPr="006B509E">
        <w:t>Percentage and number of families with children under 16 years of age receiving F</w:t>
      </w:r>
      <w:r w:rsidR="00015C13">
        <w:t xml:space="preserve">amily </w:t>
      </w:r>
      <w:r w:rsidRPr="006B509E">
        <w:t>T</w:t>
      </w:r>
      <w:r w:rsidR="00015C13">
        <w:t xml:space="preserve">ax </w:t>
      </w:r>
      <w:r w:rsidRPr="006B509E">
        <w:t>B</w:t>
      </w:r>
      <w:r w:rsidR="00015C13">
        <w:t>enefit</w:t>
      </w:r>
      <w:r w:rsidRPr="006B509E">
        <w:t xml:space="preserve"> </w:t>
      </w:r>
      <w:r w:rsidR="00BB6A70">
        <w:t xml:space="preserve">Part </w:t>
      </w:r>
      <w:r w:rsidRPr="006B509E">
        <w:t xml:space="preserve">B </w:t>
      </w:r>
    </w:p>
    <w:p w:rsidR="00D640C3" w:rsidRDefault="006B509E" w:rsidP="006B509E">
      <w:pPr>
        <w:pStyle w:val="BulletBox"/>
      </w:pPr>
      <w:r w:rsidRPr="006B509E">
        <w:t>Percentage and number of families in receipt of F</w:t>
      </w:r>
      <w:r w:rsidR="00015C13">
        <w:t xml:space="preserve">amily </w:t>
      </w:r>
      <w:r w:rsidRPr="006B509E">
        <w:t>T</w:t>
      </w:r>
      <w:r w:rsidR="00015C13">
        <w:t xml:space="preserve">ax </w:t>
      </w:r>
      <w:r w:rsidRPr="006B509E">
        <w:t>B</w:t>
      </w:r>
      <w:r w:rsidR="00015C13">
        <w:t>enefit</w:t>
      </w:r>
      <w:r w:rsidRPr="006B509E">
        <w:t xml:space="preserve"> Part B within income test categories</w:t>
      </w:r>
    </w:p>
    <w:p w:rsidR="00D640C3" w:rsidRDefault="00D640C3" w:rsidP="005D6D56">
      <w:pPr>
        <w:pStyle w:val="Heading7"/>
      </w:pPr>
      <w:r>
        <w:br w:type="page"/>
      </w:r>
      <w:r>
        <w:lastRenderedPageBreak/>
        <w:t>Program 1.2 key performance indicators (continued)</w:t>
      </w:r>
    </w:p>
    <w:p w:rsidR="006B509E" w:rsidRPr="006B509E" w:rsidRDefault="006B509E" w:rsidP="005D6D56">
      <w:pPr>
        <w:pStyle w:val="Heading8"/>
      </w:pPr>
      <w:r w:rsidRPr="006B509E">
        <w:t>Child Support Scheme</w:t>
      </w:r>
    </w:p>
    <w:p w:rsidR="006B509E" w:rsidRPr="006B509E" w:rsidRDefault="006B509E" w:rsidP="006B509E">
      <w:pPr>
        <w:pStyle w:val="BulletBox"/>
      </w:pPr>
      <w:r w:rsidRPr="006B509E">
        <w:t>Number of cases</w:t>
      </w:r>
    </w:p>
    <w:p w:rsidR="006B509E" w:rsidRPr="006B509E" w:rsidRDefault="006B509E" w:rsidP="006B509E">
      <w:pPr>
        <w:pStyle w:val="BulletBox"/>
      </w:pPr>
      <w:r w:rsidRPr="006B509E">
        <w:t>Total value of annual assessments</w:t>
      </w:r>
    </w:p>
    <w:p w:rsidR="006B509E" w:rsidRPr="006B509E" w:rsidRDefault="006B509E" w:rsidP="006B509E">
      <w:pPr>
        <w:pStyle w:val="BulletBox"/>
      </w:pPr>
      <w:r w:rsidRPr="006B509E">
        <w:t>Total value of child support assessments raised using Child Support collect in the past financial year and percentage collected</w:t>
      </w:r>
    </w:p>
    <w:p w:rsidR="006B509E" w:rsidRPr="006B509E" w:rsidRDefault="006B509E" w:rsidP="006B509E">
      <w:pPr>
        <w:pStyle w:val="BulletBox"/>
      </w:pPr>
      <w:r w:rsidRPr="006B509E">
        <w:t>Reduction of Family Tax Benefit as a result of maintenance income test</w:t>
      </w:r>
    </w:p>
    <w:p w:rsidR="006B509E" w:rsidRPr="006B509E" w:rsidRDefault="006B509E" w:rsidP="006B509E">
      <w:pPr>
        <w:pStyle w:val="BulletBox"/>
      </w:pPr>
      <w:r w:rsidRPr="00360F25">
        <w:t xml:space="preserve">Agreement </w:t>
      </w:r>
      <w:r w:rsidR="00FA35FA">
        <w:t>is</w:t>
      </w:r>
      <w:r w:rsidRPr="00360F25">
        <w:t xml:space="preserve"> in place</w:t>
      </w:r>
      <w:r w:rsidRPr="006B509E">
        <w:t xml:space="preserve"> with the Department of Human Services</w:t>
      </w:r>
    </w:p>
    <w:p w:rsidR="006B509E" w:rsidRPr="006B509E" w:rsidRDefault="006B509E" w:rsidP="006B509E">
      <w:pPr>
        <w:pStyle w:val="BulletBox"/>
      </w:pPr>
      <w:r w:rsidRPr="006B509E">
        <w:t>Strategies are in place to ensure that requirements are fulfilled under the agreement with the Departmen</w:t>
      </w:r>
      <w:r>
        <w:t>t</w:t>
      </w:r>
      <w:r w:rsidRPr="006B509E">
        <w:t xml:space="preserve"> of Human Services</w:t>
      </w:r>
    </w:p>
    <w:p w:rsidR="006B509E" w:rsidRPr="006B509E" w:rsidRDefault="006B509E" w:rsidP="005D6D56">
      <w:pPr>
        <w:pStyle w:val="Heading8"/>
      </w:pPr>
      <w:proofErr w:type="spellStart"/>
      <w:r w:rsidRPr="006B509E">
        <w:t>Schoolkids</w:t>
      </w:r>
      <w:proofErr w:type="spellEnd"/>
      <w:r w:rsidRPr="006B509E">
        <w:t xml:space="preserve"> Bonus</w:t>
      </w:r>
    </w:p>
    <w:p w:rsidR="006B509E" w:rsidRPr="006B509E" w:rsidRDefault="006B509E" w:rsidP="006B509E">
      <w:pPr>
        <w:pStyle w:val="BulletBox"/>
      </w:pPr>
      <w:r w:rsidRPr="006B509E">
        <w:t>Number of recipients</w:t>
      </w:r>
    </w:p>
    <w:p w:rsidR="007452AA" w:rsidRDefault="006B509E" w:rsidP="00881BEA">
      <w:pPr>
        <w:pStyle w:val="BulletBox"/>
      </w:pPr>
      <w:r w:rsidRPr="006B509E">
        <w:t>Administered outlays</w:t>
      </w:r>
    </w:p>
    <w:p w:rsidR="007452AA" w:rsidRPr="009C7F86" w:rsidRDefault="007452AA" w:rsidP="00250464">
      <w:pPr>
        <w:pStyle w:val="ProgramHeading1"/>
        <w:pageBreakBefore/>
        <w:rPr>
          <w:highlight w:val="yellow"/>
        </w:rPr>
      </w:pPr>
      <w:r w:rsidRPr="00722CA8">
        <w:lastRenderedPageBreak/>
        <w:t xml:space="preserve">Objectives for </w:t>
      </w:r>
      <w:r w:rsidRPr="001D69E6">
        <w:t>Program 1.3: Parent and Baby Payments</w:t>
      </w:r>
    </w:p>
    <w:p w:rsidR="0090299A" w:rsidRDefault="0090299A" w:rsidP="005270E7">
      <w:pPr>
        <w:pStyle w:val="SinglePara"/>
        <w:rPr>
          <w:lang w:val="en-GB"/>
        </w:rPr>
      </w:pPr>
    </w:p>
    <w:p w:rsidR="00880538" w:rsidRDefault="00880538" w:rsidP="005D6D56">
      <w:pPr>
        <w:pStyle w:val="Heading7"/>
      </w:pPr>
      <w:r>
        <w:t xml:space="preserve">Program 1.3 </w:t>
      </w:r>
      <w:r w:rsidR="009D3E5B">
        <w:t>o</w:t>
      </w:r>
      <w:r>
        <w:t>bjective</w:t>
      </w:r>
    </w:p>
    <w:p w:rsidR="00880538" w:rsidRDefault="00880538" w:rsidP="00880538">
      <w:pPr>
        <w:pStyle w:val="NormalBox"/>
      </w:pPr>
      <w:r>
        <w:t xml:space="preserve">To make payments to families to assist with the costs of a </w:t>
      </w:r>
      <w:proofErr w:type="spellStart"/>
      <w:r>
        <w:t>newborn</w:t>
      </w:r>
      <w:proofErr w:type="spellEnd"/>
      <w:r>
        <w:t xml:space="preserve"> or </w:t>
      </w:r>
      <w:r w:rsidR="00BB6A70">
        <w:t xml:space="preserve">recently </w:t>
      </w:r>
      <w:r>
        <w:t xml:space="preserve">adopted child, </w:t>
      </w:r>
      <w:r w:rsidR="00BB6A70">
        <w:t xml:space="preserve">and </w:t>
      </w:r>
      <w:r>
        <w:t xml:space="preserve">extend the period </w:t>
      </w:r>
      <w:proofErr w:type="gramStart"/>
      <w:r>
        <w:t>that parents</w:t>
      </w:r>
      <w:proofErr w:type="gramEnd"/>
      <w:r>
        <w:t xml:space="preserve"> can be away from work to spend time with their child.</w:t>
      </w:r>
    </w:p>
    <w:p w:rsidR="00880538" w:rsidRDefault="00880538" w:rsidP="005D6D56">
      <w:pPr>
        <w:pStyle w:val="Heading7"/>
      </w:pPr>
      <w:r>
        <w:t xml:space="preserve">Program </w:t>
      </w:r>
      <w:r w:rsidR="009D3E5B">
        <w:t>component objectives</w:t>
      </w:r>
    </w:p>
    <w:p w:rsidR="00880538" w:rsidRDefault="00880538" w:rsidP="00235B65">
      <w:pPr>
        <w:pStyle w:val="ProgramHeading3"/>
      </w:pPr>
      <w:r>
        <w:t>Paid Parental Leave scheme</w:t>
      </w:r>
    </w:p>
    <w:p w:rsidR="00682204" w:rsidRPr="00682204" w:rsidRDefault="00682204" w:rsidP="00682204">
      <w:pPr>
        <w:pStyle w:val="NormalBox"/>
      </w:pPr>
      <w:r w:rsidRPr="00682204">
        <w:t xml:space="preserve">To provide financial support for working parents of </w:t>
      </w:r>
      <w:proofErr w:type="spellStart"/>
      <w:r w:rsidRPr="00682204">
        <w:t>newborn</w:t>
      </w:r>
      <w:proofErr w:type="spellEnd"/>
      <w:r w:rsidRPr="00682204">
        <w:t xml:space="preserve"> or </w:t>
      </w:r>
      <w:r w:rsidR="00BB6A70">
        <w:t xml:space="preserve">recently </w:t>
      </w:r>
      <w:r w:rsidRPr="00682204">
        <w:t>adopted children to facilitate time off work to care for their child, enhance maternal and child wellbeing, encourage women’s workforce participation</w:t>
      </w:r>
      <w:r w:rsidR="00BB6A70">
        <w:t>, help fathers and partners to bond with their child,</w:t>
      </w:r>
      <w:r w:rsidRPr="00682204">
        <w:t xml:space="preserve"> and promote gender equity and work–life balance.</w:t>
      </w:r>
    </w:p>
    <w:p w:rsidR="00682204" w:rsidRPr="00682204" w:rsidRDefault="00682204" w:rsidP="00235B65">
      <w:pPr>
        <w:pStyle w:val="ProgramHeading3"/>
      </w:pPr>
      <w:r w:rsidRPr="00682204">
        <w:t>Baby Bonus</w:t>
      </w:r>
    </w:p>
    <w:p w:rsidR="00682204" w:rsidRPr="00682204" w:rsidRDefault="00682204" w:rsidP="00682204">
      <w:pPr>
        <w:pStyle w:val="NormalBox"/>
      </w:pPr>
      <w:proofErr w:type="gramStart"/>
      <w:r w:rsidRPr="00682204">
        <w:t>To make payments to families to assist with the costs arising from the birth or adoption of a child.</w:t>
      </w:r>
      <w:proofErr w:type="gramEnd"/>
    </w:p>
    <w:p w:rsidR="00682204" w:rsidRPr="00682204" w:rsidRDefault="00682204" w:rsidP="00235B65">
      <w:pPr>
        <w:pStyle w:val="ProgramHeading3"/>
      </w:pPr>
      <w:r w:rsidRPr="00682204">
        <w:t>Double Orphan Pension</w:t>
      </w:r>
    </w:p>
    <w:p w:rsidR="00880538" w:rsidRDefault="00682204" w:rsidP="00682204">
      <w:pPr>
        <w:pStyle w:val="NormalBox"/>
        <w:pBdr>
          <w:between w:val="single" w:sz="2" w:space="3" w:color="auto"/>
        </w:pBdr>
      </w:pPr>
      <w:r w:rsidRPr="00682204">
        <w:t>To make non–means-tested payments to guardians or approved care organisations to assist in meeting the costs of dependent children who are double orphans.</w:t>
      </w:r>
    </w:p>
    <w:p w:rsidR="00880538" w:rsidRPr="00880538" w:rsidRDefault="00880538" w:rsidP="00682204">
      <w:pPr>
        <w:pStyle w:val="NormalBox"/>
        <w:pBdr>
          <w:between w:val="single" w:sz="2" w:space="3" w:color="auto"/>
        </w:pBdr>
      </w:pPr>
      <w:proofErr w:type="gramStart"/>
      <w:r>
        <w:t xml:space="preserve">Linked to: </w:t>
      </w:r>
      <w:r w:rsidR="00682204" w:rsidRPr="00682204">
        <w:t>Personal benefits payments under this program are delivered by DHS.</w:t>
      </w:r>
      <w:proofErr w:type="gramEnd"/>
      <w:r w:rsidR="00682204" w:rsidRPr="00682204">
        <w:t xml:space="preserve"> For more information refer to DHS’s 2013</w:t>
      </w:r>
      <w:r w:rsidR="00015C13">
        <w:t>–</w:t>
      </w:r>
      <w:r w:rsidR="00BB6A70">
        <w:t>14</w:t>
      </w:r>
      <w:r w:rsidR="00682204" w:rsidRPr="00682204">
        <w:t xml:space="preserve"> PB Statements.</w:t>
      </w:r>
    </w:p>
    <w:p w:rsidR="00167BCB" w:rsidRDefault="00167BCB" w:rsidP="00167BCB">
      <w:pPr>
        <w:pStyle w:val="SinglePara"/>
        <w:rPr>
          <w:lang w:val="en-GB"/>
        </w:rPr>
      </w:pPr>
    </w:p>
    <w:p w:rsidR="00167BCB" w:rsidRDefault="00167BCB" w:rsidP="004A5B90">
      <w:pPr>
        <w:pStyle w:val="ProgramHeading2"/>
        <w:pageBreakBefore/>
      </w:pPr>
      <w:r>
        <w:lastRenderedPageBreak/>
        <w:t xml:space="preserve">Program 1.3 </w:t>
      </w:r>
      <w:r w:rsidR="009D3E5B">
        <w:t>e</w:t>
      </w:r>
      <w:r>
        <w:t>xpenses</w:t>
      </w:r>
    </w:p>
    <w:p w:rsidR="00906BA2" w:rsidRDefault="00906BA2" w:rsidP="00906BA2">
      <w:pPr>
        <w:pStyle w:val="NormalBox"/>
      </w:pPr>
      <w:r>
        <w:t>The change in program expenses across the forward years reflects projected changes in the economy, customer trends, indexation parameters and the impact of policy initiatives.</w:t>
      </w:r>
    </w:p>
    <w:p w:rsidR="00360F25" w:rsidRDefault="00906BA2" w:rsidP="00906BA2">
      <w:pPr>
        <w:pStyle w:val="NormalBox"/>
      </w:pPr>
      <w:r>
        <w:t xml:space="preserve">The increase in Parental Leave </w:t>
      </w:r>
      <w:r w:rsidR="002939E3">
        <w:t xml:space="preserve">Pay </w:t>
      </w:r>
      <w:r>
        <w:t xml:space="preserve">and decrease in Baby Bonus </w:t>
      </w:r>
      <w:r w:rsidR="002939E3">
        <w:t xml:space="preserve">expenses across the forward years account for </w:t>
      </w:r>
      <w:r>
        <w:t xml:space="preserve">the impact of the $5,000 reset and indexation pause of </w:t>
      </w:r>
      <w:r w:rsidR="00616BEC">
        <w:t xml:space="preserve">the </w:t>
      </w:r>
      <w:r>
        <w:t xml:space="preserve">Baby Bonus and the reduction of </w:t>
      </w:r>
      <w:r w:rsidR="00616BEC">
        <w:t xml:space="preserve">the </w:t>
      </w:r>
      <w:r>
        <w:t>Baby Bonus to $3,000 for the second and subsequent child</w:t>
      </w:r>
      <w:r w:rsidR="00C312FD">
        <w:t xml:space="preserve">, and the replacement of </w:t>
      </w:r>
      <w:r w:rsidR="00616BEC">
        <w:t xml:space="preserve">the </w:t>
      </w:r>
      <w:r w:rsidR="00C312FD">
        <w:t>Baby Bonus with an increase to the rate of Family Tax Benefit Part A</w:t>
      </w:r>
      <w:r>
        <w:t>.</w:t>
      </w:r>
    </w:p>
    <w:p w:rsidR="00906BA2" w:rsidRPr="00906BA2" w:rsidRDefault="00360F25" w:rsidP="00906BA2">
      <w:pPr>
        <w:pStyle w:val="NormalBox"/>
      </w:pPr>
      <w:r>
        <w:t>The lower expense for Dad and Partner Pay for 2012–13 reflects the commencement of payments from 1 January 2013.</w:t>
      </w:r>
    </w:p>
    <w:p w:rsidR="00880538" w:rsidRDefault="00880538" w:rsidP="00880538">
      <w:pPr>
        <w:pStyle w:val="TableHeading"/>
        <w:rPr>
          <w:lang w:val="en-GB"/>
        </w:rPr>
      </w:pPr>
      <w:r>
        <w:rPr>
          <w:lang w:val="en-GB"/>
        </w:rPr>
        <w:t>Table 2.1.</w:t>
      </w:r>
      <w:r w:rsidR="00CB6E4E">
        <w:rPr>
          <w:lang w:val="en-GB"/>
        </w:rPr>
        <w:t xml:space="preserve">3: Budgeted </w:t>
      </w:r>
      <w:r w:rsidR="009D3E5B">
        <w:rPr>
          <w:lang w:val="en-GB"/>
        </w:rPr>
        <w:t>e</w:t>
      </w:r>
      <w:r w:rsidR="00CB6E4E">
        <w:rPr>
          <w:lang w:val="en-GB"/>
        </w:rPr>
        <w:t xml:space="preserve">xpenses for </w:t>
      </w:r>
      <w:r w:rsidR="009D3E5B">
        <w:rPr>
          <w:lang w:val="en-GB"/>
        </w:rPr>
        <w:t>p</w:t>
      </w:r>
      <w:r w:rsidR="00CB6E4E">
        <w:rPr>
          <w:lang w:val="en-GB"/>
        </w:rPr>
        <w:t xml:space="preserve">arental </w:t>
      </w:r>
      <w:r w:rsidR="009D3E5B">
        <w:rPr>
          <w:lang w:val="en-GB"/>
        </w:rPr>
        <w:t>p</w:t>
      </w:r>
      <w:r w:rsidR="00CB6E4E">
        <w:rPr>
          <w:lang w:val="en-GB"/>
        </w:rPr>
        <w:t xml:space="preserve">ayments and </w:t>
      </w:r>
      <w:r w:rsidR="009D3E5B">
        <w:rPr>
          <w:lang w:val="en-GB"/>
        </w:rPr>
        <w:t>c</w:t>
      </w:r>
      <w:r w:rsidR="00CB6E4E">
        <w:rPr>
          <w:lang w:val="en-GB"/>
        </w:rPr>
        <w:t xml:space="preserve">are </w:t>
      </w:r>
      <w:r w:rsidR="009D3E5B">
        <w:rPr>
          <w:lang w:val="en-GB"/>
        </w:rPr>
        <w:t>i</w:t>
      </w:r>
      <w:r w:rsidR="00CB6E4E">
        <w:rPr>
          <w:lang w:val="en-GB"/>
        </w:rPr>
        <w:t>ncentives</w:t>
      </w:r>
    </w:p>
    <w:p w:rsidR="00880538" w:rsidRDefault="007B4BBD" w:rsidP="00880538">
      <w:pPr>
        <w:pStyle w:val="TableGraphic"/>
      </w:pPr>
      <w:r>
        <w:rPr>
          <w:noProof/>
        </w:rPr>
        <w:drawing>
          <wp:inline distT="0" distB="0" distL="0" distR="0" wp14:anchorId="737367B1" wp14:editId="2D5DE105">
            <wp:extent cx="4762500" cy="4010025"/>
            <wp:effectExtent l="0" t="0" r="0" b="9525"/>
            <wp:docPr id="146" name="Picture 146" descr="Table 2.1.3: Budgeted expenses for parental payments and care incen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2500" cy="4010025"/>
                    </a:xfrm>
                    <a:prstGeom prst="rect">
                      <a:avLst/>
                    </a:prstGeom>
                    <a:noFill/>
                    <a:ln>
                      <a:noFill/>
                    </a:ln>
                  </pic:spPr>
                </pic:pic>
              </a:graphicData>
            </a:graphic>
          </wp:inline>
        </w:drawing>
      </w:r>
    </w:p>
    <w:p w:rsidR="00880538" w:rsidRDefault="00880538" w:rsidP="004A5B90">
      <w:pPr>
        <w:pStyle w:val="ProgramHeading2"/>
        <w:pageBreakBefore/>
      </w:pPr>
      <w:r>
        <w:lastRenderedPageBreak/>
        <w:t>Program 1.</w:t>
      </w:r>
      <w:r w:rsidR="00CB6E4E">
        <w:t>3</w:t>
      </w:r>
      <w:r>
        <w:t xml:space="preserve"> </w:t>
      </w:r>
      <w:r w:rsidR="009D3E5B">
        <w:t>d</w:t>
      </w:r>
      <w:r>
        <w:t>eliverables</w:t>
      </w:r>
    </w:p>
    <w:p w:rsidR="00682204" w:rsidRPr="00682204" w:rsidRDefault="00682204" w:rsidP="00682204">
      <w:pPr>
        <w:pStyle w:val="BulletBox"/>
      </w:pPr>
      <w:r w:rsidRPr="00682204">
        <w:t xml:space="preserve">Baby Bonus is paid through </w:t>
      </w:r>
      <w:r w:rsidR="00015C13">
        <w:t xml:space="preserve">the </w:t>
      </w:r>
      <w:r w:rsidRPr="00682204">
        <w:t>D</w:t>
      </w:r>
      <w:r w:rsidR="00BB6A70">
        <w:t xml:space="preserve">epartment of </w:t>
      </w:r>
      <w:r w:rsidRPr="00682204">
        <w:t>H</w:t>
      </w:r>
      <w:r w:rsidR="00BB6A70">
        <w:t xml:space="preserve">uman </w:t>
      </w:r>
      <w:r w:rsidRPr="00682204">
        <w:t>S</w:t>
      </w:r>
      <w:r w:rsidR="00BB6A70">
        <w:t>ervices</w:t>
      </w:r>
      <w:r w:rsidRPr="00682204">
        <w:t xml:space="preserve"> to eligible parents under the provisions of </w:t>
      </w:r>
      <w:r w:rsidR="002939E3">
        <w:t xml:space="preserve">the </w:t>
      </w:r>
      <w:r w:rsidRPr="00682204">
        <w:t>family assistance law</w:t>
      </w:r>
    </w:p>
    <w:p w:rsidR="00682204" w:rsidRPr="00682204" w:rsidRDefault="00682204" w:rsidP="00682204">
      <w:pPr>
        <w:pStyle w:val="BulletBox"/>
      </w:pPr>
      <w:r w:rsidRPr="00682204">
        <w:t xml:space="preserve">Double Orphan Pension is paid through </w:t>
      </w:r>
      <w:r w:rsidR="00015C13">
        <w:t xml:space="preserve">the </w:t>
      </w:r>
      <w:r w:rsidR="00BB6A70" w:rsidRPr="00682204">
        <w:t>D</w:t>
      </w:r>
      <w:r w:rsidR="00BB6A70">
        <w:t xml:space="preserve">epartment of </w:t>
      </w:r>
      <w:r w:rsidR="00BB6A70" w:rsidRPr="00682204">
        <w:t>H</w:t>
      </w:r>
      <w:r w:rsidR="00BB6A70">
        <w:t xml:space="preserve">uman </w:t>
      </w:r>
      <w:r w:rsidR="00BB6A70" w:rsidRPr="00682204">
        <w:t>S</w:t>
      </w:r>
      <w:r w:rsidR="00BB6A70">
        <w:t>ervices</w:t>
      </w:r>
      <w:r w:rsidR="00BB6A70" w:rsidRPr="00682204">
        <w:t xml:space="preserve"> </w:t>
      </w:r>
      <w:r w:rsidRPr="00682204">
        <w:t xml:space="preserve">to eligible </w:t>
      </w:r>
      <w:r w:rsidR="00A07149">
        <w:t>families</w:t>
      </w:r>
      <w:r w:rsidRPr="00682204">
        <w:t xml:space="preserve"> under the provisions of </w:t>
      </w:r>
      <w:r w:rsidR="002939E3">
        <w:t xml:space="preserve">the </w:t>
      </w:r>
      <w:r w:rsidRPr="00682204">
        <w:t>social security law</w:t>
      </w:r>
    </w:p>
    <w:p w:rsidR="00682204" w:rsidRPr="00704365" w:rsidRDefault="00015C13" w:rsidP="004A5B90">
      <w:pPr>
        <w:pStyle w:val="BulletBox"/>
      </w:pPr>
      <w:r>
        <w:t xml:space="preserve">The </w:t>
      </w:r>
      <w:r w:rsidR="00BB6A70" w:rsidRPr="00682204">
        <w:t>D</w:t>
      </w:r>
      <w:r w:rsidR="00BB6A70">
        <w:t xml:space="preserve">epartment of </w:t>
      </w:r>
      <w:r w:rsidR="00BB6A70" w:rsidRPr="00682204">
        <w:t>H</w:t>
      </w:r>
      <w:r w:rsidR="00BB6A70">
        <w:t xml:space="preserve">uman </w:t>
      </w:r>
      <w:r w:rsidR="00BB6A70" w:rsidRPr="00682204">
        <w:t>S</w:t>
      </w:r>
      <w:r w:rsidR="00BB6A70">
        <w:t>ervices</w:t>
      </w:r>
      <w:r w:rsidR="00BB6A70" w:rsidRPr="00682204">
        <w:t xml:space="preserve"> </w:t>
      </w:r>
      <w:r w:rsidR="00682204" w:rsidRPr="00682204">
        <w:t xml:space="preserve">either funds employers to provide Parental Leave Pay to eligible employees, or provides Parental Leave Pay directly to eligible parents and other persons, according to the provisions of the </w:t>
      </w:r>
      <w:r w:rsidR="00682204" w:rsidRPr="00A07149">
        <w:rPr>
          <w:i/>
        </w:rPr>
        <w:t>Paid Parental Leave Act</w:t>
      </w:r>
      <w:r w:rsidR="007E081D">
        <w:rPr>
          <w:i/>
        </w:rPr>
        <w:t> </w:t>
      </w:r>
      <w:r w:rsidR="00682204" w:rsidRPr="00A07149">
        <w:rPr>
          <w:i/>
        </w:rPr>
        <w:t>2010</w:t>
      </w:r>
      <w:r w:rsidR="00682204" w:rsidRPr="00682204">
        <w:t xml:space="preserve">. Dad and Partner Pay is paid by </w:t>
      </w:r>
      <w:r>
        <w:t xml:space="preserve">the </w:t>
      </w:r>
      <w:r w:rsidR="00BB6A70" w:rsidRPr="00682204">
        <w:t>D</w:t>
      </w:r>
      <w:r w:rsidR="00BB6A70">
        <w:t xml:space="preserve">epartment of </w:t>
      </w:r>
      <w:r w:rsidR="00BB6A70" w:rsidRPr="00682204">
        <w:t>H</w:t>
      </w:r>
      <w:r w:rsidR="00BB6A70">
        <w:t xml:space="preserve">uman </w:t>
      </w:r>
      <w:r w:rsidR="00BB6A70" w:rsidRPr="00682204">
        <w:t>S</w:t>
      </w:r>
      <w:r w:rsidR="00BB6A70">
        <w:t>ervices</w:t>
      </w:r>
      <w:r w:rsidR="00BB6A70" w:rsidRPr="00682204">
        <w:t xml:space="preserve"> </w:t>
      </w:r>
      <w:r w:rsidR="00682204" w:rsidRPr="00682204">
        <w:t xml:space="preserve">directly to eligible fathers </w:t>
      </w:r>
      <w:r w:rsidR="00BB6A70">
        <w:t xml:space="preserve">or </w:t>
      </w:r>
      <w:r w:rsidR="00682204" w:rsidRPr="00682204">
        <w:t xml:space="preserve">partners in accordance with the </w:t>
      </w:r>
      <w:r w:rsidR="00682204" w:rsidRPr="00F633D5">
        <w:t>Paid Parental Leave Act</w:t>
      </w:r>
    </w:p>
    <w:p w:rsidR="00880538" w:rsidRDefault="00880538" w:rsidP="00880538">
      <w:pPr>
        <w:pStyle w:val="ProgramHeading2"/>
      </w:pPr>
      <w:r>
        <w:br w:type="page"/>
      </w:r>
      <w:r w:rsidRPr="00C33538">
        <w:lastRenderedPageBreak/>
        <w:t xml:space="preserve">Program </w:t>
      </w:r>
      <w:r>
        <w:t>1.</w:t>
      </w:r>
      <w:r w:rsidR="00CB6E4E">
        <w:t>3</w:t>
      </w:r>
      <w:r>
        <w:t xml:space="preserve"> </w:t>
      </w:r>
      <w:r w:rsidR="005F62E8">
        <w:t>k</w:t>
      </w:r>
      <w:r w:rsidR="005F62E8" w:rsidRPr="00C33538">
        <w:t xml:space="preserve">ey </w:t>
      </w:r>
      <w:r w:rsidR="005F62E8">
        <w:t>p</w:t>
      </w:r>
      <w:r w:rsidR="005F62E8" w:rsidRPr="00C33538">
        <w:t xml:space="preserve">erformance </w:t>
      </w:r>
      <w:r w:rsidR="005F62E8">
        <w:t>indicators</w:t>
      </w:r>
    </w:p>
    <w:p w:rsidR="00682204" w:rsidRPr="00682204" w:rsidRDefault="00682204" w:rsidP="009227D1">
      <w:pPr>
        <w:pStyle w:val="ProgramHeading3"/>
      </w:pPr>
      <w:r w:rsidRPr="00682204">
        <w:t>Parental Leave Pay (PLP)</w:t>
      </w:r>
    </w:p>
    <w:p w:rsidR="00682204" w:rsidRPr="00682204" w:rsidRDefault="00682204" w:rsidP="00682204">
      <w:pPr>
        <w:pStyle w:val="BulletBox"/>
      </w:pPr>
      <w:r w:rsidRPr="00682204">
        <w:t>Percentage and number of mothers for whom PLP has been paid as a proportion of all mothers in the same year</w:t>
      </w:r>
    </w:p>
    <w:p w:rsidR="00682204" w:rsidRPr="00682204" w:rsidRDefault="00682204" w:rsidP="00682204">
      <w:pPr>
        <w:pStyle w:val="BulletBox"/>
      </w:pPr>
      <w:r w:rsidRPr="00682204">
        <w:t>Percentage and number of parents paid government-funded PLP by employers</w:t>
      </w:r>
    </w:p>
    <w:p w:rsidR="00682204" w:rsidRDefault="00682204" w:rsidP="00682204">
      <w:pPr>
        <w:pStyle w:val="BulletBox"/>
      </w:pPr>
      <w:r w:rsidRPr="00682204">
        <w:t>Percentage and number of families who have taken the full 18 weeks of PLP</w:t>
      </w:r>
    </w:p>
    <w:p w:rsidR="00BB6A70" w:rsidRPr="00BB6A70" w:rsidRDefault="00BB6A70" w:rsidP="00BB6A70">
      <w:pPr>
        <w:pStyle w:val="BulletBox"/>
      </w:pPr>
      <w:r w:rsidRPr="00BB6A70">
        <w:t xml:space="preserve">Agreement </w:t>
      </w:r>
      <w:r w:rsidR="00FA35FA">
        <w:t>is</w:t>
      </w:r>
      <w:r w:rsidRPr="00BB6A70">
        <w:t xml:space="preserve"> in place with the</w:t>
      </w:r>
      <w:r>
        <w:t xml:space="preserve"> Department of Human Services</w:t>
      </w:r>
      <w:r>
        <w:rPr>
          <w:rStyle w:val="FootnoteReference"/>
        </w:rPr>
        <w:footnoteReference w:id="6"/>
      </w:r>
    </w:p>
    <w:p w:rsidR="00BB6A70" w:rsidRPr="00BB6A70" w:rsidRDefault="00BB6A70" w:rsidP="00BB6A70">
      <w:pPr>
        <w:pStyle w:val="BulletBox"/>
      </w:pPr>
      <w:r w:rsidRPr="00BB6A70">
        <w:t>Strategies are in place to ensure that requirements are fulfilled under agreements with the Department of Human Services</w:t>
      </w:r>
    </w:p>
    <w:p w:rsidR="00682204" w:rsidRPr="00682204" w:rsidRDefault="00682204" w:rsidP="009227D1">
      <w:pPr>
        <w:pStyle w:val="ProgramHeading3"/>
      </w:pPr>
      <w:r w:rsidRPr="00682204">
        <w:t>Dad and Partner Pay (DAPP)</w:t>
      </w:r>
    </w:p>
    <w:p w:rsidR="00682204" w:rsidRDefault="00682204" w:rsidP="00682204">
      <w:pPr>
        <w:pStyle w:val="BulletBox"/>
      </w:pPr>
      <w:r w:rsidRPr="00682204">
        <w:t>Percentage and number of dads and other partners who have taken the full two weeks of DAPP</w:t>
      </w:r>
    </w:p>
    <w:p w:rsidR="00BB6A70" w:rsidRPr="00BB6A70" w:rsidRDefault="00BB6A70" w:rsidP="00BB6A70">
      <w:pPr>
        <w:pStyle w:val="BulletBox"/>
      </w:pPr>
      <w:r w:rsidRPr="00360F25">
        <w:t xml:space="preserve">Agreement </w:t>
      </w:r>
      <w:r w:rsidR="00FA35FA">
        <w:t>is</w:t>
      </w:r>
      <w:r w:rsidRPr="00360F25">
        <w:t xml:space="preserve"> in place</w:t>
      </w:r>
      <w:r w:rsidRPr="00BB6A70">
        <w:t xml:space="preserve"> with the Department o</w:t>
      </w:r>
      <w:r>
        <w:t>f Human Services</w:t>
      </w:r>
      <w:r>
        <w:rPr>
          <w:rStyle w:val="FootnoteReference"/>
        </w:rPr>
        <w:footnoteReference w:id="7"/>
      </w:r>
    </w:p>
    <w:p w:rsidR="00BB6A70" w:rsidRPr="00BB6A70" w:rsidRDefault="00BB6A70" w:rsidP="00BB6A70">
      <w:pPr>
        <w:pStyle w:val="BulletBox"/>
      </w:pPr>
      <w:r w:rsidRPr="00BB6A70">
        <w:t>Strategies are in place to ensure that requirements are fulfilled under agreements with the Department of Human Services</w:t>
      </w:r>
    </w:p>
    <w:p w:rsidR="00682204" w:rsidRPr="00682204" w:rsidRDefault="00682204" w:rsidP="009227D1">
      <w:pPr>
        <w:pStyle w:val="ProgramHeading3"/>
      </w:pPr>
      <w:r w:rsidRPr="00682204">
        <w:t>Baby Bonus</w:t>
      </w:r>
      <w:r w:rsidR="00BB6A70" w:rsidRPr="00F633D5">
        <w:rPr>
          <w:rStyle w:val="FootnoteReference"/>
          <w:b w:val="0"/>
        </w:rPr>
        <w:footnoteReference w:id="8"/>
      </w:r>
    </w:p>
    <w:p w:rsidR="00682204" w:rsidRPr="00682204" w:rsidRDefault="00682204" w:rsidP="00682204">
      <w:pPr>
        <w:pStyle w:val="BulletBox"/>
      </w:pPr>
      <w:r w:rsidRPr="00682204">
        <w:t>Percentage and number of children for whom Baby Bonus is paid as a proportion of all children born in the same year</w:t>
      </w:r>
    </w:p>
    <w:p w:rsidR="00682204" w:rsidRPr="00682204" w:rsidRDefault="00682204" w:rsidP="00682204">
      <w:pPr>
        <w:pStyle w:val="BulletBox"/>
      </w:pPr>
      <w:r w:rsidRPr="00682204">
        <w:t>Number of recipients</w:t>
      </w:r>
    </w:p>
    <w:p w:rsidR="00682204" w:rsidRDefault="00682204" w:rsidP="00682204">
      <w:pPr>
        <w:pStyle w:val="BulletBox"/>
      </w:pPr>
      <w:r w:rsidRPr="00682204">
        <w:t>Administered outlays</w:t>
      </w:r>
    </w:p>
    <w:p w:rsidR="00BB6A70" w:rsidRPr="00BB6A70" w:rsidRDefault="00BB6A70" w:rsidP="00BB6A70">
      <w:pPr>
        <w:pStyle w:val="BulletBox"/>
      </w:pPr>
      <w:r w:rsidRPr="00360F25">
        <w:t xml:space="preserve">Agreement </w:t>
      </w:r>
      <w:r w:rsidR="00FA35FA">
        <w:t xml:space="preserve">is </w:t>
      </w:r>
      <w:r w:rsidRPr="00360F25">
        <w:t>in place</w:t>
      </w:r>
      <w:r w:rsidRPr="00BB6A70">
        <w:t xml:space="preserve"> with the</w:t>
      </w:r>
      <w:r>
        <w:t xml:space="preserve"> Department of Human Services</w:t>
      </w:r>
      <w:r>
        <w:rPr>
          <w:rStyle w:val="FootnoteReference"/>
        </w:rPr>
        <w:footnoteReference w:id="9"/>
      </w:r>
    </w:p>
    <w:p w:rsidR="00BB6A70" w:rsidRPr="00BB6A70" w:rsidRDefault="00BB6A70" w:rsidP="00BB6A70">
      <w:pPr>
        <w:pStyle w:val="BulletBox"/>
      </w:pPr>
      <w:r w:rsidRPr="00BB6A70">
        <w:t xml:space="preserve">Strategies are in place to ensure that requirements are fulfilled under </w:t>
      </w:r>
      <w:r w:rsidR="00FA35FA">
        <w:t xml:space="preserve">the </w:t>
      </w:r>
      <w:r w:rsidRPr="00BB6A70">
        <w:t>agreement with the Department of Human Services</w:t>
      </w:r>
    </w:p>
    <w:p w:rsidR="00880538" w:rsidRDefault="00D802AC" w:rsidP="009227D1">
      <w:pPr>
        <w:pStyle w:val="ProgramHeading3"/>
      </w:pPr>
      <w:r w:rsidRPr="00D802AC">
        <w:t>Double Orphan Pension</w:t>
      </w:r>
    </w:p>
    <w:p w:rsidR="00D802AC" w:rsidRDefault="00D802AC" w:rsidP="00D802AC">
      <w:pPr>
        <w:pStyle w:val="BulletBox"/>
      </w:pPr>
      <w:r>
        <w:t>Number of recipients</w:t>
      </w:r>
    </w:p>
    <w:p w:rsidR="00D802AC" w:rsidRDefault="00D802AC" w:rsidP="00D802AC">
      <w:pPr>
        <w:pStyle w:val="BulletBox"/>
      </w:pPr>
      <w:r>
        <w:t>Number of children</w:t>
      </w:r>
    </w:p>
    <w:p w:rsidR="00D802AC" w:rsidRDefault="00D802AC" w:rsidP="00D802AC">
      <w:pPr>
        <w:pStyle w:val="BulletBox"/>
      </w:pPr>
      <w:r>
        <w:t>Administered outlays</w:t>
      </w:r>
    </w:p>
    <w:p w:rsidR="00D802AC" w:rsidRPr="00D802AC" w:rsidRDefault="00D802AC" w:rsidP="00D802AC">
      <w:pPr>
        <w:pStyle w:val="BulletBox"/>
      </w:pPr>
      <w:r>
        <w:t>Payment accuracy</w:t>
      </w:r>
    </w:p>
    <w:p w:rsidR="003608C9" w:rsidRDefault="003608C9" w:rsidP="003608C9">
      <w:pPr>
        <w:pStyle w:val="SinglePara"/>
      </w:pPr>
      <w:bookmarkStart w:id="180" w:name="_Toc112137880"/>
      <w:bookmarkStart w:id="181" w:name="_Toc112137902"/>
      <w:bookmarkStart w:id="182" w:name="_Toc210646455"/>
      <w:bookmarkStart w:id="183" w:name="_Toc210698434"/>
      <w:bookmarkStart w:id="184" w:name="_Toc210703217"/>
      <w:bookmarkStart w:id="185" w:name="_Toc492800629"/>
      <w:bookmarkStart w:id="186" w:name="_Toc436624160"/>
      <w:bookmarkStart w:id="187" w:name="_Toc436625461"/>
      <w:bookmarkStart w:id="188" w:name="_Toc449255783"/>
      <w:bookmarkStart w:id="189" w:name="_Toc490972415"/>
      <w:bookmarkStart w:id="190" w:name="_Toc491014635"/>
      <w:bookmarkStart w:id="191" w:name="_Toc491014777"/>
      <w:bookmarkStart w:id="192" w:name="_Toc491014957"/>
      <w:bookmarkStart w:id="193" w:name="_Toc491015104"/>
      <w:bookmarkStart w:id="194" w:name="_Toc491029247"/>
      <w:bookmarkStart w:id="195" w:name="_Toc491030336"/>
      <w:bookmarkStart w:id="196" w:name="_Toc491030795"/>
      <w:bookmarkStart w:id="197" w:name="_Toc491031358"/>
      <w:bookmarkStart w:id="198" w:name="_Toc491031945"/>
      <w:bookmarkStart w:id="199" w:name="_Toc491032124"/>
      <w:bookmarkStart w:id="200" w:name="_Toc491032226"/>
      <w:bookmarkStart w:id="201" w:name="_Toc491032333"/>
      <w:bookmarkStart w:id="202" w:name="_Toc491771728"/>
      <w:bookmarkStart w:id="203" w:name="_Toc491773303"/>
      <w:bookmarkStart w:id="204" w:name="_Toc23559358"/>
      <w:bookmarkStart w:id="205" w:name="_Toc23559392"/>
      <w:bookmarkStart w:id="206" w:name="_Toc23559679"/>
      <w:bookmarkStart w:id="207" w:name="_Toc23560148"/>
      <w:bookmarkStart w:id="208" w:name="_Toc23563441"/>
    </w:p>
    <w:p w:rsidR="00084F1B" w:rsidRPr="00165A28" w:rsidRDefault="00084F1B" w:rsidP="00084F1B">
      <w:pPr>
        <w:pStyle w:val="Heading4"/>
        <w:pBdr>
          <w:top w:val="single" w:sz="2" w:space="1" w:color="auto"/>
          <w:left w:val="single" w:sz="2" w:space="4" w:color="auto"/>
          <w:bottom w:val="single" w:sz="2" w:space="1" w:color="auto"/>
          <w:right w:val="single" w:sz="2" w:space="4" w:color="auto"/>
        </w:pBdr>
        <w:shd w:val="pct15" w:color="auto" w:fill="auto"/>
        <w:rPr>
          <w:lang w:eastAsia="en-US"/>
        </w:rPr>
      </w:pPr>
      <w:r w:rsidRPr="00084F1B">
        <w:lastRenderedPageBreak/>
        <w:t>Outcome</w:t>
      </w:r>
      <w:r w:rsidRPr="00165A28">
        <w:t xml:space="preserve"> 2: </w:t>
      </w:r>
      <w:r w:rsidRPr="007913B0">
        <w:t>Housing</w:t>
      </w:r>
    </w:p>
    <w:p w:rsidR="00084F1B" w:rsidRPr="00084F1B" w:rsidRDefault="00084F1B" w:rsidP="00084F1B">
      <w:pPr>
        <w:pBdr>
          <w:top w:val="single" w:sz="2" w:space="1" w:color="auto"/>
          <w:left w:val="single" w:sz="2" w:space="4" w:color="auto"/>
          <w:bottom w:val="single" w:sz="2" w:space="1" w:color="auto"/>
          <w:right w:val="single" w:sz="2" w:space="4" w:color="auto"/>
        </w:pBdr>
        <w:shd w:val="pct15" w:color="auto" w:fill="auto"/>
        <w:rPr>
          <w:rFonts w:ascii="Arial" w:hAnsi="Arial" w:cs="Arial"/>
        </w:rPr>
      </w:pPr>
      <w:r w:rsidRPr="00084F1B">
        <w:rPr>
          <w:rFonts w:ascii="Arial" w:hAnsi="Arial" w:cs="Arial"/>
        </w:rPr>
        <w:t>Access to affordable, safe housing through: payments and support services; and rental subsidies to low and moderate income households.</w:t>
      </w:r>
    </w:p>
    <w:p w:rsidR="007452AA" w:rsidRDefault="007452AA" w:rsidP="00084F1B">
      <w:pPr>
        <w:pStyle w:val="Heading5"/>
      </w:pPr>
      <w:r w:rsidRPr="00CB6E4E">
        <w:t>Outcome</w:t>
      </w:r>
      <w:r w:rsidRPr="00165A28">
        <w:t xml:space="preserve"> 2 str</w:t>
      </w:r>
      <w:r w:rsidRPr="00084F1B">
        <w:t>a</w:t>
      </w:r>
      <w:r w:rsidRPr="00165A28">
        <w:t>tegy</w:t>
      </w:r>
    </w:p>
    <w:p w:rsidR="00F633D5" w:rsidRDefault="00F633D5" w:rsidP="00F633D5">
      <w:r>
        <w:t xml:space="preserve">Safe, secure and affordable housing is critical to </w:t>
      </w:r>
      <w:r w:rsidR="00B443D0">
        <w:t>our prosperity</w:t>
      </w:r>
      <w:r>
        <w:t xml:space="preserve">. </w:t>
      </w:r>
    </w:p>
    <w:p w:rsidR="00F633D5" w:rsidRDefault="00F633D5" w:rsidP="00F633D5">
      <w:r>
        <w:t>It underpins sustainable living arrangements and positive life transitions, contributes to opportunities for social and economic participation and provides crucial help for vulnerable people, including those leaving child protection, domestic violence situations and/or health support services.</w:t>
      </w:r>
    </w:p>
    <w:p w:rsidR="00F633D5" w:rsidRDefault="00F633D5" w:rsidP="00F633D5">
      <w:r>
        <w:t xml:space="preserve">The Australian Government makes a substantial funding commitment each year to the social housing system, which is provided by state and territory housing authorities and the community housing sector. It also contributes to a range of state and </w:t>
      </w:r>
      <w:r w:rsidR="00D93B5A">
        <w:t xml:space="preserve">territory and </w:t>
      </w:r>
      <w:r>
        <w:t>community sector services that support people who are homeless or at risk of homelessness.</w:t>
      </w:r>
    </w:p>
    <w:p w:rsidR="00F633D5" w:rsidRDefault="00F633D5" w:rsidP="00F633D5">
      <w:r>
        <w:t xml:space="preserve">FaHCSIA </w:t>
      </w:r>
      <w:r w:rsidR="00B443D0">
        <w:t xml:space="preserve">manages </w:t>
      </w:r>
      <w:r>
        <w:t xml:space="preserve">a range of initiatives to address homelessness and leads whole-of-government efforts to achieve the Government's homelessness reduction targets. Much of this work is done in partnership with </w:t>
      </w:r>
      <w:r w:rsidR="00D93B5A">
        <w:t xml:space="preserve">the </w:t>
      </w:r>
      <w:r>
        <w:t xml:space="preserve">states and territories </w:t>
      </w:r>
      <w:r w:rsidR="00B443D0">
        <w:t xml:space="preserve">through </w:t>
      </w:r>
      <w:r>
        <w:t>the National Affordable Housing Agreement and the National Partnership Agreement on Homelessness. Progress and performance indicators for these Commonwealth–state arrangements can be found at www.federalfinancialrelations.gov.au.</w:t>
      </w:r>
    </w:p>
    <w:p w:rsidR="00F633D5" w:rsidRDefault="00F633D5" w:rsidP="00F633D5">
      <w:r>
        <w:t>Through the Commonwealth Rent Assistance program, the Australian Government helps low-income households with the cost of renting in the private rental market. FaHCSIA manages the Rent Assistance policy and legislative frameworks.</w:t>
      </w:r>
    </w:p>
    <w:p w:rsidR="00F633D5" w:rsidRDefault="00B443D0" w:rsidP="00F633D5">
      <w:r>
        <w:t xml:space="preserve">A suite of </w:t>
      </w:r>
      <w:r w:rsidR="00F633D5">
        <w:t xml:space="preserve">housing affordability programs also assist </w:t>
      </w:r>
      <w:r w:rsidR="007342F6">
        <w:t xml:space="preserve">to increase </w:t>
      </w:r>
      <w:r w:rsidR="00F633D5">
        <w:t>the supply of affordable housing and rental housing available to households on low and moderate incomes.</w:t>
      </w:r>
    </w:p>
    <w:p w:rsidR="00F633D5" w:rsidRDefault="00F633D5" w:rsidP="00F633D5">
      <w:r>
        <w:t>The Building Better Regional Cities initiative supports some high-growth regional cities with investments in local infrastructure projects that will enable more affordable homes to be built.</w:t>
      </w:r>
    </w:p>
    <w:p w:rsidR="00BB0FD6" w:rsidRDefault="00F633D5" w:rsidP="00F633D5">
      <w:r>
        <w:t>The National Rental Affordability Scheme</w:t>
      </w:r>
      <w:r w:rsidR="00D93B5A">
        <w:t xml:space="preserve"> </w:t>
      </w:r>
      <w:r>
        <w:t>offers financial incentives to the business sector and community organisations to build new dwellings for rent to low- and moderate-income households at rates that are at least 20 per cent below market rates.</w:t>
      </w:r>
    </w:p>
    <w:p w:rsidR="0082101B" w:rsidRPr="0082101B" w:rsidRDefault="00D97B19" w:rsidP="00F633D5">
      <w:r>
        <w:br w:type="page"/>
      </w:r>
      <w:r w:rsidR="00F633D5">
        <w:lastRenderedPageBreak/>
        <w:t>FaHCSIA is a key source of policy advice in the areas of housing and homelessness.</w:t>
      </w:r>
      <w:r w:rsidR="00F05018">
        <w:t xml:space="preserve"> This advice</w:t>
      </w:r>
      <w:r w:rsidR="00F633D5">
        <w:t xml:space="preserve"> </w:t>
      </w:r>
      <w:r w:rsidR="00F05018">
        <w:t xml:space="preserve">helps inform </w:t>
      </w:r>
      <w:r w:rsidR="00D93B5A">
        <w:t>g</w:t>
      </w:r>
      <w:r w:rsidR="00F05018">
        <w:t>overnment responses, at a system and service level, to current and future challenges including how to best meet</w:t>
      </w:r>
      <w:r w:rsidR="00F633D5">
        <w:t xml:space="preserve"> the needs of those most at risk </w:t>
      </w:r>
      <w:r w:rsidR="00F05018">
        <w:t xml:space="preserve">within specific housing </w:t>
      </w:r>
      <w:r w:rsidR="004F4923">
        <w:t>sectors</w:t>
      </w:r>
      <w:r w:rsidR="00F633D5">
        <w:t>.</w:t>
      </w:r>
    </w:p>
    <w:p w:rsidR="00CB6E4E" w:rsidRDefault="000440AC" w:rsidP="00084F1B">
      <w:pPr>
        <w:pStyle w:val="Heading5"/>
      </w:pPr>
      <w:r>
        <w:br w:type="page"/>
      </w:r>
      <w:r w:rsidR="00CB6E4E">
        <w:lastRenderedPageBreak/>
        <w:t xml:space="preserve">Outcome </w:t>
      </w:r>
      <w:r w:rsidR="008E34F4">
        <w:t>e</w:t>
      </w:r>
      <w:r w:rsidR="00CB6E4E">
        <w:t xml:space="preserve">xpense </w:t>
      </w:r>
      <w:r w:rsidR="008E34F4">
        <w:t>s</w:t>
      </w:r>
      <w:r w:rsidR="00CB6E4E">
        <w:t>tatement</w:t>
      </w:r>
    </w:p>
    <w:p w:rsidR="00CB6E4E" w:rsidRDefault="00CB6E4E" w:rsidP="00CB6E4E">
      <w:r>
        <w:t>Table 2.2 provides an overview of the total expenses for Outcome 2, by program.</w:t>
      </w:r>
    </w:p>
    <w:p w:rsidR="0062778F" w:rsidRPr="0062778F" w:rsidRDefault="0062778F" w:rsidP="0062778F">
      <w:pPr>
        <w:pStyle w:val="TableHeading"/>
      </w:pPr>
      <w:r w:rsidRPr="0062778F">
        <w:t>Table 2.</w:t>
      </w:r>
      <w:r>
        <w:t>2</w:t>
      </w:r>
      <w:r w:rsidRPr="0062778F">
        <w:t xml:space="preserve">: Budgeted </w:t>
      </w:r>
      <w:r w:rsidR="008E34F4">
        <w:t>e</w:t>
      </w:r>
      <w:r w:rsidRPr="0062778F">
        <w:t xml:space="preserve">xpenses for Outcome </w:t>
      </w:r>
      <w:r>
        <w:t>2</w:t>
      </w:r>
    </w:p>
    <w:p w:rsidR="00E83D56" w:rsidRPr="00E83D56" w:rsidRDefault="002F4D19" w:rsidP="00E83D56">
      <w:pPr>
        <w:pStyle w:val="TableGraphic"/>
      </w:pPr>
      <w:r>
        <w:rPr>
          <w:noProof/>
        </w:rPr>
        <w:drawing>
          <wp:inline distT="0" distB="0" distL="0" distR="0" wp14:anchorId="058E5011" wp14:editId="3FA24816">
            <wp:extent cx="4848225" cy="5555615"/>
            <wp:effectExtent l="0" t="0" r="9525" b="6985"/>
            <wp:docPr id="45" name="Picture 45" descr="Table 2.2: Budgeted expenses for Outco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48225" cy="5555615"/>
                    </a:xfrm>
                    <a:prstGeom prst="rect">
                      <a:avLst/>
                    </a:prstGeom>
                    <a:noFill/>
                    <a:ln>
                      <a:noFill/>
                    </a:ln>
                  </pic:spPr>
                </pic:pic>
              </a:graphicData>
            </a:graphic>
          </wp:inline>
        </w:drawing>
      </w:r>
    </w:p>
    <w:p w:rsidR="00CB6E4E" w:rsidRDefault="00F476EE" w:rsidP="00084F1B">
      <w:pPr>
        <w:pStyle w:val="Heading5"/>
      </w:pPr>
      <w:r>
        <w:br w:type="page"/>
      </w:r>
      <w:r w:rsidR="00CB6E4E">
        <w:lastRenderedPageBreak/>
        <w:t>Contributions to Outcome 2: Housing</w:t>
      </w:r>
    </w:p>
    <w:p w:rsidR="007452AA" w:rsidRPr="00CA1B70" w:rsidRDefault="007452AA" w:rsidP="00404BE4">
      <w:pPr>
        <w:pStyle w:val="Heading6"/>
      </w:pPr>
      <w:r w:rsidRPr="00CA1B70">
        <w:t>Program 2.1: Housing Assistance and Homelessness Prevention</w:t>
      </w:r>
    </w:p>
    <w:p w:rsidR="007452AA" w:rsidRDefault="007452AA" w:rsidP="005270E7">
      <w:pPr>
        <w:pStyle w:val="SinglePara"/>
      </w:pPr>
    </w:p>
    <w:p w:rsidR="00CB6E4E" w:rsidRDefault="00CB6E4E" w:rsidP="00404BE4">
      <w:pPr>
        <w:pStyle w:val="Heading7"/>
      </w:pPr>
      <w:r>
        <w:t xml:space="preserve">Program 2.1 </w:t>
      </w:r>
      <w:r w:rsidR="00114603">
        <w:t>objective</w:t>
      </w:r>
    </w:p>
    <w:p w:rsidR="00CB6E4E" w:rsidRDefault="00CB6E4E" w:rsidP="00CB6E4E">
      <w:pPr>
        <w:pStyle w:val="NormalBox"/>
      </w:pPr>
      <w:proofErr w:type="gramStart"/>
      <w:r>
        <w:t>To provide rental subsidies for low- and moderate-income households, and to fund homelessness prevention initiatives to reduce the impact of homelessness.</w:t>
      </w:r>
      <w:proofErr w:type="gramEnd"/>
    </w:p>
    <w:p w:rsidR="00CB6E4E" w:rsidRDefault="00CB6E4E" w:rsidP="00404BE4">
      <w:pPr>
        <w:pStyle w:val="Heading7"/>
      </w:pPr>
      <w:r>
        <w:t xml:space="preserve">Program </w:t>
      </w:r>
      <w:r w:rsidR="008E34F4">
        <w:t>component o</w:t>
      </w:r>
      <w:r>
        <w:t>bjectives</w:t>
      </w:r>
    </w:p>
    <w:p w:rsidR="00CB6E4E" w:rsidRDefault="00CB6E4E" w:rsidP="00404BE4">
      <w:pPr>
        <w:pStyle w:val="Heading8"/>
      </w:pPr>
      <w:r>
        <w:t>Home</w:t>
      </w:r>
      <w:r w:rsidR="00682204">
        <w:t>lessness Prevention</w:t>
      </w:r>
    </w:p>
    <w:p w:rsidR="00682204" w:rsidRDefault="00682204" w:rsidP="00682204">
      <w:pPr>
        <w:pStyle w:val="NormalBox"/>
      </w:pPr>
      <w:proofErr w:type="gramStart"/>
      <w:r>
        <w:t>To provide funding to support innovative prevention and early intervention initiatives to reduce homelessness and its impact, particularly on families and young people.</w:t>
      </w:r>
      <w:proofErr w:type="gramEnd"/>
    </w:p>
    <w:p w:rsidR="00682204" w:rsidRDefault="00682204" w:rsidP="00404BE4">
      <w:pPr>
        <w:pStyle w:val="Heading8"/>
      </w:pPr>
      <w:r>
        <w:t>Rent Assistance</w:t>
      </w:r>
    </w:p>
    <w:p w:rsidR="00682204" w:rsidRDefault="00682204" w:rsidP="00682204">
      <w:pPr>
        <w:pStyle w:val="NormalBox"/>
        <w:pBdr>
          <w:between w:val="single" w:sz="2" w:space="3" w:color="auto"/>
        </w:pBdr>
      </w:pPr>
      <w:r>
        <w:t>To make payments to low- and moderate-income Australians receiving income support or family payments to assist with the costs of renting private and community housing.</w:t>
      </w:r>
    </w:p>
    <w:p w:rsidR="00682204" w:rsidRDefault="00182F9F" w:rsidP="007827E1">
      <w:pPr>
        <w:pStyle w:val="NormalBox"/>
      </w:pPr>
      <w:proofErr w:type="gramStart"/>
      <w:r>
        <w:t xml:space="preserve">Linked to: Payments under the National Affordable Housing Agreement, the National Partnership Agreement on Homelessness and the National Partnership Agreement on Remote Indigenous Housing are made by the Department </w:t>
      </w:r>
      <w:r w:rsidR="007827E1">
        <w:t>of the Treasury</w:t>
      </w:r>
      <w:r w:rsidR="0009488C">
        <w:t>.</w:t>
      </w:r>
      <w:proofErr w:type="gramEnd"/>
      <w:r w:rsidR="007827E1">
        <w:t xml:space="preserve"> </w:t>
      </w:r>
      <w:r w:rsidR="00C354E6">
        <w:t xml:space="preserve">For </w:t>
      </w:r>
      <w:r w:rsidR="007827E1">
        <w:t xml:space="preserve">information about those payments, refer to the Treasury’s </w:t>
      </w:r>
      <w:r w:rsidR="003D1E6A">
        <w:t xml:space="preserve">2013–14 </w:t>
      </w:r>
      <w:r w:rsidR="007827E1">
        <w:t>PB</w:t>
      </w:r>
      <w:r w:rsidR="00015C13">
        <w:t> </w:t>
      </w:r>
      <w:r w:rsidR="007827E1">
        <w:t>Statements and Budget Paper No</w:t>
      </w:r>
      <w:r w:rsidR="00E8758C">
        <w:t>.</w:t>
      </w:r>
      <w:r w:rsidR="007827E1">
        <w:t xml:space="preserve"> 3, Australia’s Federal Relations</w:t>
      </w:r>
      <w:r w:rsidR="008D0F13">
        <w:t xml:space="preserve"> 2013–14</w:t>
      </w:r>
      <w:r w:rsidR="007827E1">
        <w:t>.</w:t>
      </w:r>
    </w:p>
    <w:p w:rsidR="007827E1" w:rsidRDefault="00153B8A" w:rsidP="007827E1">
      <w:pPr>
        <w:pStyle w:val="NormalBox"/>
      </w:pPr>
      <w:proofErr w:type="gramStart"/>
      <w:r>
        <w:t xml:space="preserve">Also linked to: </w:t>
      </w:r>
      <w:r w:rsidR="007827E1">
        <w:t xml:space="preserve">Rent Assistance paid with income support payments and Family Tax Benefit is delivered by </w:t>
      </w:r>
      <w:r w:rsidR="00015C13">
        <w:t>DHS</w:t>
      </w:r>
      <w:r w:rsidR="007827E1">
        <w:t>.</w:t>
      </w:r>
      <w:proofErr w:type="gramEnd"/>
      <w:r w:rsidR="00C425EC">
        <w:t xml:space="preserve"> </w:t>
      </w:r>
      <w:r w:rsidR="007827E1">
        <w:t xml:space="preserve">For </w:t>
      </w:r>
      <w:r w:rsidR="0009488C">
        <w:t xml:space="preserve">more </w:t>
      </w:r>
      <w:r w:rsidR="007827E1">
        <w:t xml:space="preserve">information refer to DHS’s </w:t>
      </w:r>
      <w:r w:rsidR="003D1E6A">
        <w:t xml:space="preserve">2013–14 </w:t>
      </w:r>
      <w:r w:rsidR="007827E1">
        <w:t>PB Statements.</w:t>
      </w:r>
    </w:p>
    <w:p w:rsidR="007827E1" w:rsidRPr="007827E1" w:rsidRDefault="007827E1" w:rsidP="007827E1">
      <w:pPr>
        <w:pStyle w:val="NormalBox"/>
      </w:pPr>
      <w:r>
        <w:t xml:space="preserve">Rent Assistance paid with </w:t>
      </w:r>
      <w:r w:rsidR="00D45FC3">
        <w:t xml:space="preserve">the </w:t>
      </w:r>
      <w:r>
        <w:t>Service Pension is delivered by DVA.</w:t>
      </w:r>
      <w:r w:rsidR="00C425EC">
        <w:t xml:space="preserve"> </w:t>
      </w:r>
      <w:r>
        <w:t xml:space="preserve">For </w:t>
      </w:r>
      <w:r w:rsidR="0009488C">
        <w:t xml:space="preserve">more information </w:t>
      </w:r>
      <w:r>
        <w:t xml:space="preserve">refer to DVA’s </w:t>
      </w:r>
      <w:r w:rsidR="003D1E6A">
        <w:t>2013–14 P</w:t>
      </w:r>
      <w:r>
        <w:t>B Statements.</w:t>
      </w:r>
    </w:p>
    <w:p w:rsidR="00167BCB" w:rsidRDefault="00167BCB" w:rsidP="00167BCB">
      <w:pPr>
        <w:pStyle w:val="SinglePara"/>
      </w:pPr>
    </w:p>
    <w:p w:rsidR="00167BCB" w:rsidRDefault="00167BCB" w:rsidP="00404BE4">
      <w:pPr>
        <w:pStyle w:val="Heading7"/>
      </w:pPr>
      <w:r>
        <w:t xml:space="preserve">Program 2.1 </w:t>
      </w:r>
      <w:r w:rsidR="00E8758C">
        <w:t>e</w:t>
      </w:r>
      <w:r>
        <w:t>xpenses</w:t>
      </w:r>
    </w:p>
    <w:p w:rsidR="00906BA2" w:rsidRPr="00906BA2" w:rsidRDefault="00906BA2" w:rsidP="00906BA2">
      <w:pPr>
        <w:pStyle w:val="NormalBox"/>
      </w:pPr>
      <w:r w:rsidRPr="00906BA2">
        <w:t>The change in program expenses across the forward estimates reflects projected changes in indexation parameters and the impact of policy initiatives.</w:t>
      </w:r>
      <w:r w:rsidR="00C425EC">
        <w:t xml:space="preserve"> </w:t>
      </w:r>
      <w:r w:rsidRPr="00906BA2">
        <w:t>The higher estimate in 2012</w:t>
      </w:r>
      <w:r w:rsidR="00C425EC">
        <w:t>–</w:t>
      </w:r>
      <w:r w:rsidRPr="00906BA2">
        <w:t>13 is due to one-off increases in that year to the National Housing Priorities Program and the National Regulatory System.</w:t>
      </w:r>
    </w:p>
    <w:p w:rsidR="007452AA" w:rsidRDefault="00167BCB" w:rsidP="00884D18">
      <w:pPr>
        <w:pStyle w:val="TableHeading"/>
      </w:pPr>
      <w:r>
        <w:lastRenderedPageBreak/>
        <w:t>Table 2</w:t>
      </w:r>
      <w:r w:rsidR="007452AA">
        <w:t xml:space="preserve">.2.1: </w:t>
      </w:r>
      <w:r>
        <w:t>Budget</w:t>
      </w:r>
      <w:r w:rsidR="00CB6361">
        <w:t>ed</w:t>
      </w:r>
      <w:r>
        <w:t xml:space="preserve"> </w:t>
      </w:r>
      <w:r w:rsidR="00E8758C">
        <w:t>e</w:t>
      </w:r>
      <w:r w:rsidR="007452AA">
        <w:t>xpen</w:t>
      </w:r>
      <w:r w:rsidR="00EE4C07">
        <w:t>ses</w:t>
      </w:r>
      <w:r>
        <w:t xml:space="preserve"> for Housing Assistance and Homelessness Prevention</w:t>
      </w:r>
    </w:p>
    <w:p w:rsidR="00EE4C07" w:rsidRDefault="007B4BBD" w:rsidP="00EE4C07">
      <w:pPr>
        <w:pStyle w:val="TableGraphic"/>
      </w:pPr>
      <w:r>
        <w:rPr>
          <w:noProof/>
        </w:rPr>
        <w:drawing>
          <wp:inline distT="0" distB="0" distL="0" distR="0" wp14:anchorId="4FB43867" wp14:editId="4FE49B0A">
            <wp:extent cx="4878705" cy="2187334"/>
            <wp:effectExtent l="0" t="0" r="0" b="3810"/>
            <wp:docPr id="147" name="Picture 147" descr="Table 2.2.1: Budgeted expenses for Housing Assistance and Homelessness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78705" cy="2187334"/>
                    </a:xfrm>
                    <a:prstGeom prst="rect">
                      <a:avLst/>
                    </a:prstGeom>
                    <a:noFill/>
                    <a:ln>
                      <a:noFill/>
                    </a:ln>
                  </pic:spPr>
                </pic:pic>
              </a:graphicData>
            </a:graphic>
          </wp:inline>
        </w:drawing>
      </w:r>
    </w:p>
    <w:p w:rsidR="004B6449" w:rsidRDefault="004B6449" w:rsidP="00404BE4">
      <w:pPr>
        <w:pStyle w:val="Heading7"/>
      </w:pPr>
      <w:r>
        <w:br w:type="page"/>
      </w:r>
      <w:r>
        <w:lastRenderedPageBreak/>
        <w:t>Rent Assistance cash projections</w:t>
      </w:r>
    </w:p>
    <w:p w:rsidR="004B6449" w:rsidRDefault="004B6449" w:rsidP="004B6449">
      <w:pPr>
        <w:pStyle w:val="NormalBox"/>
      </w:pPr>
      <w:r>
        <w:t>Rent Assistance is not a discrete sum of money separately payable under the law</w:t>
      </w:r>
      <w:r w:rsidR="008C1CA1">
        <w:t>,</w:t>
      </w:r>
      <w:r>
        <w:t xml:space="preserve"> but is a supplementary payment included in the calculation of </w:t>
      </w:r>
      <w:r w:rsidR="00E145E8">
        <w:t xml:space="preserve">the </w:t>
      </w:r>
      <w:r>
        <w:t>primary income support payment</w:t>
      </w:r>
      <w:r w:rsidR="005676D1">
        <w:t>,</w:t>
      </w:r>
      <w:r>
        <w:t xml:space="preserve"> FTB</w:t>
      </w:r>
      <w:r w:rsidR="005676D1">
        <w:t xml:space="preserve"> or service pension</w:t>
      </w:r>
      <w:r>
        <w:t>.</w:t>
      </w:r>
    </w:p>
    <w:p w:rsidR="004B6449" w:rsidRDefault="004B6449" w:rsidP="004B6449">
      <w:pPr>
        <w:pStyle w:val="NormalBox"/>
      </w:pPr>
      <w:r>
        <w:t xml:space="preserve">The </w:t>
      </w:r>
      <w:r w:rsidR="00DC3B81">
        <w:t>f</w:t>
      </w:r>
      <w:r>
        <w:t>ollowing table provides cash projections for the Rent Assistance component included in the primary income support payment</w:t>
      </w:r>
      <w:r w:rsidR="005676D1">
        <w:t>,</w:t>
      </w:r>
      <w:r>
        <w:t xml:space="preserve"> FTB</w:t>
      </w:r>
      <w:r w:rsidR="005676D1">
        <w:t xml:space="preserve"> or service pension</w:t>
      </w:r>
      <w:r>
        <w:t>.</w:t>
      </w:r>
    </w:p>
    <w:p w:rsidR="004B6449" w:rsidRDefault="004B6449" w:rsidP="004B6449">
      <w:pPr>
        <w:pStyle w:val="TableHeading"/>
        <w:rPr>
          <w:lang w:val="en-GB"/>
        </w:rPr>
      </w:pPr>
      <w:r>
        <w:rPr>
          <w:lang w:val="en-GB"/>
        </w:rPr>
        <w:t>Table 2.2.2.1: Cash projections for Rent Assistance</w:t>
      </w:r>
    </w:p>
    <w:p w:rsidR="004B6449" w:rsidRPr="004B6449" w:rsidRDefault="00035720" w:rsidP="004B6449">
      <w:pPr>
        <w:pStyle w:val="TableGraphic"/>
        <w:rPr>
          <w:lang w:val="en-GB"/>
        </w:rPr>
      </w:pPr>
      <w:r>
        <w:rPr>
          <w:noProof/>
        </w:rPr>
        <w:drawing>
          <wp:inline distT="0" distB="0" distL="0" distR="0" wp14:anchorId="101C9D63" wp14:editId="34CE8EC5">
            <wp:extent cx="4867275" cy="4400550"/>
            <wp:effectExtent l="0" t="0" r="9525" b="0"/>
            <wp:docPr id="268" name="Picture 268" descr="Table 2.2.2.1: Cash projections for Rent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67275" cy="4400550"/>
                    </a:xfrm>
                    <a:prstGeom prst="rect">
                      <a:avLst/>
                    </a:prstGeom>
                    <a:noFill/>
                    <a:ln>
                      <a:noFill/>
                    </a:ln>
                  </pic:spPr>
                </pic:pic>
              </a:graphicData>
            </a:graphic>
          </wp:inline>
        </w:drawing>
      </w:r>
    </w:p>
    <w:p w:rsidR="007452AA" w:rsidRPr="00651BE4" w:rsidRDefault="007452AA" w:rsidP="00404BE4">
      <w:pPr>
        <w:pStyle w:val="Heading7"/>
      </w:pPr>
      <w:r w:rsidRPr="00651BE4">
        <w:t xml:space="preserve">Program </w:t>
      </w:r>
      <w:r w:rsidR="00651ACC">
        <w:t xml:space="preserve">2.1 </w:t>
      </w:r>
      <w:r w:rsidR="00E8758C">
        <w:t>d</w:t>
      </w:r>
      <w:r w:rsidRPr="00651BE4">
        <w:t>eliverables</w:t>
      </w:r>
    </w:p>
    <w:p w:rsidR="00651ACC" w:rsidRDefault="00995CDB" w:rsidP="00404BE4">
      <w:pPr>
        <w:pStyle w:val="Heading8"/>
      </w:pPr>
      <w:r>
        <w:t>Homelessness Prevention</w:t>
      </w:r>
    </w:p>
    <w:p w:rsidR="00B443D0" w:rsidRDefault="00995CDB" w:rsidP="00995CDB">
      <w:pPr>
        <w:pStyle w:val="BulletBox"/>
      </w:pPr>
      <w:r w:rsidRPr="00995CDB">
        <w:t>Number of cases where individuals</w:t>
      </w:r>
      <w:r w:rsidR="00B443D0">
        <w:t xml:space="preserve"> </w:t>
      </w:r>
      <w:r w:rsidR="00B443D0" w:rsidRPr="00995CDB">
        <w:t>are assisted through homelessness prevention services</w:t>
      </w:r>
    </w:p>
    <w:p w:rsidR="00995CDB" w:rsidRDefault="00B443D0" w:rsidP="00995CDB">
      <w:pPr>
        <w:pStyle w:val="BulletBox"/>
      </w:pPr>
      <w:r>
        <w:t xml:space="preserve">Number of cases where </w:t>
      </w:r>
      <w:r w:rsidR="00995CDB" w:rsidRPr="00995CDB">
        <w:t>families are assisted through homelessness prevention services</w:t>
      </w:r>
    </w:p>
    <w:p w:rsidR="00995CDB" w:rsidRPr="00995CDB" w:rsidRDefault="00995CDB" w:rsidP="00404BE4">
      <w:pPr>
        <w:pStyle w:val="Heading8"/>
      </w:pPr>
      <w:r w:rsidRPr="00995CDB">
        <w:lastRenderedPageBreak/>
        <w:t>Rent Assistance</w:t>
      </w:r>
    </w:p>
    <w:p w:rsidR="00995CDB" w:rsidRPr="00995CDB" w:rsidRDefault="00995CDB" w:rsidP="00995CDB">
      <w:pPr>
        <w:pStyle w:val="BulletBox"/>
      </w:pPr>
      <w:r w:rsidRPr="00995CDB">
        <w:t xml:space="preserve">Rent Assistance payments are made through DHS to eligible claimants under the provisions </w:t>
      </w:r>
      <w:r w:rsidR="00E145E8">
        <w:t>of</w:t>
      </w:r>
      <w:r w:rsidRPr="00995CDB">
        <w:t xml:space="preserve"> </w:t>
      </w:r>
      <w:r w:rsidR="00E8758C">
        <w:t xml:space="preserve">the </w:t>
      </w:r>
      <w:r w:rsidRPr="00995CDB">
        <w:t>social security law and family assistance law</w:t>
      </w:r>
    </w:p>
    <w:p w:rsidR="00651ACC" w:rsidRDefault="00995CDB" w:rsidP="00995CDB">
      <w:pPr>
        <w:pStyle w:val="TableHeading"/>
        <w:rPr>
          <w:lang w:val="en-GB"/>
        </w:rPr>
      </w:pPr>
      <w:r>
        <w:rPr>
          <w:lang w:val="en-GB"/>
        </w:rPr>
        <w:t xml:space="preserve">Homelessness Prevention </w:t>
      </w:r>
      <w:r w:rsidR="00E8758C">
        <w:rPr>
          <w:lang w:val="en-GB"/>
        </w:rPr>
        <w:t>d</w:t>
      </w:r>
      <w:r>
        <w:rPr>
          <w:lang w:val="en-GB"/>
        </w:rPr>
        <w:t xml:space="preserve">eliverables </w:t>
      </w:r>
      <w:r w:rsidR="00E8758C">
        <w:rPr>
          <w:lang w:val="en-GB"/>
        </w:rPr>
        <w:t>t</w:t>
      </w:r>
      <w:r>
        <w:rPr>
          <w:lang w:val="en-GB"/>
        </w:rPr>
        <w:t>argets</w:t>
      </w:r>
    </w:p>
    <w:tbl>
      <w:tblPr>
        <w:tblW w:w="7651" w:type="dxa"/>
        <w:tblInd w:w="40" w:type="dxa"/>
        <w:tblCellMar>
          <w:top w:w="57" w:type="dxa"/>
          <w:left w:w="30" w:type="dxa"/>
          <w:bottom w:w="57" w:type="dxa"/>
          <w:right w:w="30" w:type="dxa"/>
        </w:tblCellMar>
        <w:tblLook w:val="0000" w:firstRow="0" w:lastRow="0" w:firstColumn="0" w:lastColumn="0" w:noHBand="0" w:noVBand="0"/>
        <w:tblDescription w:val="Homelessness Prevention deliverables targets"/>
      </w:tblPr>
      <w:tblGrid>
        <w:gridCol w:w="3107"/>
        <w:gridCol w:w="908"/>
        <w:gridCol w:w="909"/>
        <w:gridCol w:w="909"/>
        <w:gridCol w:w="909"/>
        <w:gridCol w:w="909"/>
      </w:tblGrid>
      <w:tr w:rsidR="00995CDB" w:rsidRPr="00893575" w:rsidTr="009C7F86">
        <w:trPr>
          <w:trHeight w:val="225"/>
        </w:trPr>
        <w:tc>
          <w:tcPr>
            <w:tcW w:w="3107" w:type="dxa"/>
            <w:tcBorders>
              <w:top w:val="single" w:sz="2" w:space="0" w:color="auto"/>
              <w:left w:val="nil"/>
              <w:bottom w:val="single" w:sz="2" w:space="0" w:color="auto"/>
              <w:right w:val="nil"/>
            </w:tcBorders>
          </w:tcPr>
          <w:p w:rsidR="00995CDB" w:rsidRPr="00893575" w:rsidRDefault="00995CDB" w:rsidP="005270E7">
            <w:pPr>
              <w:keepNext/>
              <w:autoSpaceDE w:val="0"/>
              <w:autoSpaceDN w:val="0"/>
              <w:adjustRightInd w:val="0"/>
              <w:spacing w:after="0" w:line="240" w:lineRule="auto"/>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995CDB" w:rsidRPr="00893575" w:rsidRDefault="00995CDB" w:rsidP="00003143">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995CDB" w:rsidRPr="00893575" w:rsidRDefault="00995CDB" w:rsidP="005270E7">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995CDB" w:rsidRPr="00893575" w:rsidTr="009C7F86">
        <w:trPr>
          <w:trHeight w:val="225"/>
        </w:trPr>
        <w:tc>
          <w:tcPr>
            <w:tcW w:w="3107" w:type="dxa"/>
            <w:tcBorders>
              <w:top w:val="nil"/>
              <w:left w:val="nil"/>
              <w:right w:val="nil"/>
            </w:tcBorders>
            <w:vAlign w:val="bottom"/>
          </w:tcPr>
          <w:p w:rsidR="00995CDB" w:rsidRDefault="00995CDB" w:rsidP="001205C8">
            <w:pPr>
              <w:keepNext/>
              <w:autoSpaceDE w:val="0"/>
              <w:autoSpaceDN w:val="0"/>
              <w:adjustRightInd w:val="0"/>
              <w:spacing w:after="0" w:line="240" w:lineRule="auto"/>
              <w:jc w:val="left"/>
              <w:rPr>
                <w:rFonts w:ascii="Arial" w:hAnsi="Arial" w:cs="Arial"/>
                <w:color w:val="000000"/>
                <w:sz w:val="16"/>
                <w:szCs w:val="16"/>
              </w:rPr>
            </w:pPr>
            <w:r w:rsidRPr="00995CDB">
              <w:rPr>
                <w:rFonts w:ascii="Arial" w:hAnsi="Arial" w:cs="Arial"/>
                <w:color w:val="000000"/>
                <w:sz w:val="16"/>
                <w:szCs w:val="16"/>
              </w:rPr>
              <w:t>Number of cases where individuals</w:t>
            </w:r>
            <w:r w:rsidR="008B3B42">
              <w:rPr>
                <w:rFonts w:ascii="Arial" w:hAnsi="Arial" w:cs="Arial"/>
                <w:color w:val="000000"/>
                <w:sz w:val="16"/>
                <w:szCs w:val="16"/>
              </w:rPr>
              <w:t xml:space="preserve"> are assisted through homelessness prevention services</w:t>
            </w:r>
          </w:p>
        </w:tc>
        <w:tc>
          <w:tcPr>
            <w:tcW w:w="908" w:type="dxa"/>
            <w:tcBorders>
              <w:top w:val="nil"/>
              <w:left w:val="nil"/>
              <w:right w:val="nil"/>
            </w:tcBorders>
            <w:shd w:val="clear" w:color="auto" w:fill="auto"/>
            <w:vAlign w:val="bottom"/>
          </w:tcPr>
          <w:p w:rsidR="00995CDB" w:rsidRPr="00893575" w:rsidRDefault="00995CDB"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5,500</w:t>
            </w:r>
          </w:p>
        </w:tc>
        <w:tc>
          <w:tcPr>
            <w:tcW w:w="909" w:type="dxa"/>
            <w:tcBorders>
              <w:top w:val="nil"/>
              <w:left w:val="nil"/>
              <w:right w:val="nil"/>
            </w:tcBorders>
            <w:shd w:val="clear" w:color="auto" w:fill="D9D9D9"/>
            <w:vAlign w:val="bottom"/>
          </w:tcPr>
          <w:p w:rsidR="00995CDB" w:rsidRPr="00893575" w:rsidRDefault="00995CDB"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5,500</w:t>
            </w:r>
          </w:p>
        </w:tc>
        <w:tc>
          <w:tcPr>
            <w:tcW w:w="909" w:type="dxa"/>
            <w:tcBorders>
              <w:top w:val="nil"/>
              <w:left w:val="nil"/>
              <w:right w:val="nil"/>
            </w:tcBorders>
            <w:vAlign w:val="bottom"/>
          </w:tcPr>
          <w:p w:rsidR="00995CDB" w:rsidRPr="00893575" w:rsidRDefault="00995CDB"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5,500</w:t>
            </w:r>
          </w:p>
        </w:tc>
        <w:tc>
          <w:tcPr>
            <w:tcW w:w="909" w:type="dxa"/>
            <w:tcBorders>
              <w:top w:val="nil"/>
              <w:left w:val="nil"/>
              <w:right w:val="nil"/>
            </w:tcBorders>
            <w:vAlign w:val="bottom"/>
          </w:tcPr>
          <w:p w:rsidR="00995CDB" w:rsidRPr="00893575" w:rsidRDefault="00995CDB"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5,500</w:t>
            </w:r>
          </w:p>
        </w:tc>
        <w:tc>
          <w:tcPr>
            <w:tcW w:w="909" w:type="dxa"/>
            <w:tcBorders>
              <w:top w:val="nil"/>
              <w:left w:val="nil"/>
              <w:right w:val="nil"/>
            </w:tcBorders>
            <w:vAlign w:val="bottom"/>
          </w:tcPr>
          <w:p w:rsidR="00995CDB" w:rsidRPr="00893575" w:rsidRDefault="00E145E8"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5,500</w:t>
            </w:r>
          </w:p>
        </w:tc>
      </w:tr>
      <w:tr w:rsidR="00995CDB" w:rsidRPr="00893575" w:rsidTr="009C7F86">
        <w:trPr>
          <w:trHeight w:val="225"/>
        </w:trPr>
        <w:tc>
          <w:tcPr>
            <w:tcW w:w="3107" w:type="dxa"/>
            <w:tcBorders>
              <w:top w:val="nil"/>
              <w:left w:val="nil"/>
              <w:bottom w:val="single" w:sz="4" w:space="0" w:color="auto"/>
              <w:right w:val="nil"/>
            </w:tcBorders>
            <w:vAlign w:val="bottom"/>
          </w:tcPr>
          <w:p w:rsidR="00995CDB" w:rsidRDefault="00995CDB" w:rsidP="001205C8">
            <w:pPr>
              <w:keepNext/>
              <w:autoSpaceDE w:val="0"/>
              <w:autoSpaceDN w:val="0"/>
              <w:adjustRightInd w:val="0"/>
              <w:spacing w:after="0" w:line="240" w:lineRule="auto"/>
              <w:jc w:val="left"/>
              <w:rPr>
                <w:rFonts w:ascii="Arial" w:hAnsi="Arial" w:cs="Arial"/>
                <w:color w:val="000000"/>
                <w:sz w:val="16"/>
                <w:szCs w:val="16"/>
              </w:rPr>
            </w:pPr>
            <w:r>
              <w:rPr>
                <w:rFonts w:ascii="Arial" w:hAnsi="Arial" w:cs="Arial"/>
                <w:color w:val="000000"/>
                <w:sz w:val="16"/>
                <w:szCs w:val="16"/>
              </w:rPr>
              <w:t xml:space="preserve">Number of cases where </w:t>
            </w:r>
            <w:r w:rsidRPr="00995CDB">
              <w:rPr>
                <w:rFonts w:ascii="Arial" w:hAnsi="Arial" w:cs="Arial"/>
                <w:color w:val="000000"/>
                <w:sz w:val="16"/>
                <w:szCs w:val="16"/>
              </w:rPr>
              <w:t>families are assisted through homelessness prevention services</w:t>
            </w:r>
          </w:p>
        </w:tc>
        <w:tc>
          <w:tcPr>
            <w:tcW w:w="908" w:type="dxa"/>
            <w:tcBorders>
              <w:top w:val="nil"/>
              <w:left w:val="nil"/>
              <w:bottom w:val="single" w:sz="4" w:space="0" w:color="auto"/>
              <w:right w:val="nil"/>
            </w:tcBorders>
            <w:shd w:val="clear" w:color="auto" w:fill="auto"/>
            <w:vAlign w:val="bottom"/>
          </w:tcPr>
          <w:p w:rsidR="00995CDB" w:rsidRDefault="00995CDB"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w:t>
            </w:r>
          </w:p>
        </w:tc>
        <w:tc>
          <w:tcPr>
            <w:tcW w:w="909" w:type="dxa"/>
            <w:tcBorders>
              <w:top w:val="nil"/>
              <w:left w:val="nil"/>
              <w:bottom w:val="single" w:sz="4" w:space="0" w:color="auto"/>
              <w:right w:val="nil"/>
            </w:tcBorders>
            <w:shd w:val="clear" w:color="auto" w:fill="D9D9D9"/>
            <w:vAlign w:val="bottom"/>
          </w:tcPr>
          <w:p w:rsidR="00995CDB" w:rsidRDefault="00995CDB"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w:t>
            </w:r>
          </w:p>
        </w:tc>
        <w:tc>
          <w:tcPr>
            <w:tcW w:w="909" w:type="dxa"/>
            <w:tcBorders>
              <w:top w:val="nil"/>
              <w:left w:val="nil"/>
              <w:bottom w:val="single" w:sz="4" w:space="0" w:color="auto"/>
              <w:right w:val="nil"/>
            </w:tcBorders>
            <w:vAlign w:val="bottom"/>
          </w:tcPr>
          <w:p w:rsidR="00995CDB" w:rsidRDefault="00995CDB"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w:t>
            </w:r>
          </w:p>
        </w:tc>
        <w:tc>
          <w:tcPr>
            <w:tcW w:w="909" w:type="dxa"/>
            <w:tcBorders>
              <w:top w:val="nil"/>
              <w:left w:val="nil"/>
              <w:bottom w:val="single" w:sz="4" w:space="0" w:color="auto"/>
              <w:right w:val="nil"/>
            </w:tcBorders>
            <w:vAlign w:val="bottom"/>
          </w:tcPr>
          <w:p w:rsidR="00995CDB" w:rsidRDefault="00995CDB"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w:t>
            </w:r>
          </w:p>
        </w:tc>
        <w:tc>
          <w:tcPr>
            <w:tcW w:w="909" w:type="dxa"/>
            <w:tcBorders>
              <w:top w:val="nil"/>
              <w:left w:val="nil"/>
              <w:bottom w:val="single" w:sz="4" w:space="0" w:color="auto"/>
              <w:right w:val="nil"/>
            </w:tcBorders>
            <w:vAlign w:val="bottom"/>
          </w:tcPr>
          <w:p w:rsidR="00995CDB" w:rsidRDefault="00E145E8"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w:t>
            </w:r>
          </w:p>
        </w:tc>
      </w:tr>
    </w:tbl>
    <w:p w:rsidR="00995CDB" w:rsidRPr="00995CDB" w:rsidRDefault="00995CDB" w:rsidP="00995CDB">
      <w:pPr>
        <w:pStyle w:val="TableGraphic"/>
        <w:rPr>
          <w:lang w:val="en-GB"/>
        </w:rPr>
      </w:pPr>
    </w:p>
    <w:p w:rsidR="007452AA" w:rsidRDefault="004B6449" w:rsidP="00404BE4">
      <w:pPr>
        <w:pStyle w:val="Heading7"/>
      </w:pPr>
      <w:r>
        <w:br w:type="page"/>
      </w:r>
      <w:r w:rsidR="007452AA" w:rsidRPr="00651BE4">
        <w:lastRenderedPageBreak/>
        <w:t xml:space="preserve">Program </w:t>
      </w:r>
      <w:r w:rsidR="00625F50">
        <w:t xml:space="preserve">2.1 </w:t>
      </w:r>
      <w:r w:rsidR="00E8758C">
        <w:t>k</w:t>
      </w:r>
      <w:r w:rsidR="00E8758C" w:rsidRPr="00651BE4">
        <w:t xml:space="preserve">ey </w:t>
      </w:r>
      <w:r w:rsidR="00E8758C">
        <w:t>p</w:t>
      </w:r>
      <w:r w:rsidR="00E8758C" w:rsidRPr="00651BE4">
        <w:t xml:space="preserve">erformance </w:t>
      </w:r>
      <w:r w:rsidR="00E8758C">
        <w:t>i</w:t>
      </w:r>
      <w:r w:rsidR="00E8758C" w:rsidRPr="00651BE4">
        <w:t>ndic</w:t>
      </w:r>
      <w:r w:rsidR="00E8758C">
        <w:t>ators</w:t>
      </w:r>
    </w:p>
    <w:p w:rsidR="008B3B42" w:rsidRPr="008B3B42" w:rsidRDefault="008B3B42" w:rsidP="00404BE4">
      <w:pPr>
        <w:pStyle w:val="Heading8"/>
      </w:pPr>
      <w:r>
        <w:t>Homelessness Prevention</w:t>
      </w:r>
    </w:p>
    <w:p w:rsidR="00995CDB" w:rsidRPr="00995CDB" w:rsidRDefault="00995CDB" w:rsidP="00995CDB">
      <w:pPr>
        <w:pStyle w:val="BulletBox"/>
      </w:pPr>
      <w:r>
        <w:t>P</w:t>
      </w:r>
      <w:r w:rsidRPr="00995CDB">
        <w:t>roportion of clients reporting an improved situation after assistance from homelessness prevention programs</w:t>
      </w:r>
    </w:p>
    <w:p w:rsidR="00995CDB" w:rsidRPr="00995CDB" w:rsidRDefault="00995CDB" w:rsidP="00404BE4">
      <w:pPr>
        <w:pStyle w:val="Heading8"/>
      </w:pPr>
      <w:r w:rsidRPr="00995CDB">
        <w:t>Rent Assistance</w:t>
      </w:r>
    </w:p>
    <w:p w:rsidR="00995CDB" w:rsidRPr="00995CDB" w:rsidRDefault="00995CDB" w:rsidP="00995CDB">
      <w:pPr>
        <w:pStyle w:val="BulletBox"/>
      </w:pPr>
      <w:r w:rsidRPr="00995CDB">
        <w:t>Proportion of Rent Assistance recipients in rental stress before and after receiving Rent Assistance</w:t>
      </w:r>
    </w:p>
    <w:p w:rsidR="00995CDB" w:rsidRPr="00995CDB" w:rsidRDefault="00995CDB" w:rsidP="00995CDB">
      <w:pPr>
        <w:pStyle w:val="BulletBox"/>
      </w:pPr>
      <w:r w:rsidRPr="00995CDB">
        <w:t>Proportion of Rent Assistance recipients paying enough rent to receive the maximum rate of assistance</w:t>
      </w:r>
    </w:p>
    <w:p w:rsidR="00995CDB" w:rsidRPr="00995CDB" w:rsidRDefault="00995CDB" w:rsidP="00995CDB">
      <w:pPr>
        <w:pStyle w:val="BulletBox"/>
      </w:pPr>
      <w:r w:rsidRPr="00995CDB">
        <w:t>Proportion of clients assisted who identify as Aboriginal or Torres Strait Islander</w:t>
      </w:r>
    </w:p>
    <w:p w:rsidR="00995CDB" w:rsidRPr="00995CDB" w:rsidRDefault="00995CDB" w:rsidP="00995CDB">
      <w:pPr>
        <w:pStyle w:val="BulletBox"/>
      </w:pPr>
      <w:r w:rsidRPr="00995CDB">
        <w:t xml:space="preserve">Average rent paid by Rent Assistance recipients by number of recipients, primary </w:t>
      </w:r>
      <w:r>
        <w:t>p</w:t>
      </w:r>
      <w:r w:rsidRPr="00995CDB">
        <w:t>ayment type and income unit type</w:t>
      </w:r>
    </w:p>
    <w:p w:rsidR="00995CDB" w:rsidRPr="00995CDB" w:rsidRDefault="00995CDB" w:rsidP="00995CDB">
      <w:pPr>
        <w:pStyle w:val="BulletBox"/>
      </w:pPr>
      <w:r w:rsidRPr="00995CDB">
        <w:t>Average Rent Assistance paid to Rent Assistance recipients by number of recipients, primary payment type and income unit type</w:t>
      </w:r>
    </w:p>
    <w:p w:rsidR="00995CDB" w:rsidRPr="00995CDB" w:rsidRDefault="00995CDB" w:rsidP="00995CDB">
      <w:pPr>
        <w:pStyle w:val="BulletBox"/>
      </w:pPr>
      <w:r w:rsidRPr="00995CDB">
        <w:t>Administered outlays</w:t>
      </w:r>
    </w:p>
    <w:p w:rsidR="00995CDB" w:rsidRPr="00995CDB" w:rsidRDefault="00995CDB" w:rsidP="00995CDB">
      <w:pPr>
        <w:pStyle w:val="BulletBox"/>
      </w:pPr>
      <w:r w:rsidRPr="00995CDB">
        <w:t>Number of recipients</w:t>
      </w:r>
    </w:p>
    <w:p w:rsidR="007452AA" w:rsidRPr="00651BE4" w:rsidRDefault="007452AA" w:rsidP="00F823A2"/>
    <w:p w:rsidR="007452AA" w:rsidRPr="001D60D8" w:rsidRDefault="005270E7" w:rsidP="00404BE4">
      <w:pPr>
        <w:pStyle w:val="Heading6"/>
      </w:pPr>
      <w:r>
        <w:t xml:space="preserve">Program </w:t>
      </w:r>
      <w:r w:rsidR="007452AA" w:rsidRPr="001D60D8">
        <w:t>2.2: Affordable Housing</w:t>
      </w:r>
    </w:p>
    <w:p w:rsidR="007452AA" w:rsidRDefault="007452AA" w:rsidP="005270E7">
      <w:pPr>
        <w:pStyle w:val="SinglePara"/>
      </w:pPr>
    </w:p>
    <w:p w:rsidR="005270E7" w:rsidRDefault="005270E7" w:rsidP="00404BE4">
      <w:pPr>
        <w:pStyle w:val="Heading7"/>
      </w:pPr>
      <w:r>
        <w:t xml:space="preserve">Program 2.2 </w:t>
      </w:r>
      <w:r w:rsidR="00E8758C">
        <w:t>o</w:t>
      </w:r>
      <w:r>
        <w:t>bjective</w:t>
      </w:r>
    </w:p>
    <w:p w:rsidR="005270E7" w:rsidRDefault="005270E7" w:rsidP="005270E7">
      <w:pPr>
        <w:pStyle w:val="BulletBox"/>
      </w:pPr>
      <w:r>
        <w:t>To improve the supply of affordable housing available to low- and moderate-income households.</w:t>
      </w:r>
    </w:p>
    <w:p w:rsidR="005270E7" w:rsidRDefault="005270E7" w:rsidP="005270E7">
      <w:pPr>
        <w:pStyle w:val="BulletBox"/>
      </w:pPr>
      <w:r>
        <w:t>To improve the supply of affor</w:t>
      </w:r>
      <w:r w:rsidR="00A0156C">
        <w:t>d</w:t>
      </w:r>
      <w:r>
        <w:t>able rental housing</w:t>
      </w:r>
      <w:r w:rsidR="008F50DA">
        <w:t xml:space="preserve"> to low- and moderate-income households.</w:t>
      </w:r>
    </w:p>
    <w:p w:rsidR="005270E7" w:rsidRDefault="005270E7" w:rsidP="005270E7">
      <w:pPr>
        <w:pStyle w:val="BulletBox"/>
      </w:pPr>
      <w:r>
        <w:t>To inform decision</w:t>
      </w:r>
      <w:r w:rsidR="008C1CA1">
        <w:t>-</w:t>
      </w:r>
      <w:r>
        <w:t>making by governments, the private sector and individuals.</w:t>
      </w:r>
    </w:p>
    <w:p w:rsidR="005270E7" w:rsidRPr="00B17D03" w:rsidRDefault="005270E7" w:rsidP="00404BE4">
      <w:pPr>
        <w:pStyle w:val="Heading7"/>
      </w:pPr>
      <w:r w:rsidRPr="00B17D03">
        <w:t xml:space="preserve">Program </w:t>
      </w:r>
      <w:r w:rsidR="00E8758C" w:rsidRPr="00B17D03">
        <w:t>component o</w:t>
      </w:r>
      <w:r w:rsidRPr="00B17D03">
        <w:t>bjectives</w:t>
      </w:r>
    </w:p>
    <w:p w:rsidR="005270E7" w:rsidRDefault="005270E7" w:rsidP="00404BE4">
      <w:pPr>
        <w:pStyle w:val="Heading8"/>
      </w:pPr>
      <w:r>
        <w:t>National Rental Affordability Scheme</w:t>
      </w:r>
    </w:p>
    <w:p w:rsidR="004933C8" w:rsidRDefault="004933C8" w:rsidP="00CE6400">
      <w:pPr>
        <w:pStyle w:val="NormalBox"/>
      </w:pPr>
      <w:r>
        <w:t>The National Rental Affordability Scheme (NRAS) offers financial incentives to the business sector and community organisations to build and rent dwellings to low- and moderate-income households, at a rate that is at least 20 per cent below market rates.</w:t>
      </w:r>
    </w:p>
    <w:p w:rsidR="004933C8" w:rsidRDefault="004933C8" w:rsidP="00CE6400">
      <w:pPr>
        <w:pStyle w:val="NormalBox"/>
      </w:pPr>
      <w:r>
        <w:t>The scheme aims to:</w:t>
      </w:r>
    </w:p>
    <w:p w:rsidR="004933C8" w:rsidRDefault="004933C8" w:rsidP="006D2B7E">
      <w:pPr>
        <w:pStyle w:val="BulletBox"/>
      </w:pPr>
      <w:r>
        <w:t>Increase the supply of new affordable rental housing</w:t>
      </w:r>
    </w:p>
    <w:p w:rsidR="004933C8" w:rsidRDefault="004933C8" w:rsidP="006D2B7E">
      <w:pPr>
        <w:pStyle w:val="BulletBox"/>
      </w:pPr>
      <w:r>
        <w:t>Reduce rental costs for low- and moderate-income housing</w:t>
      </w:r>
    </w:p>
    <w:p w:rsidR="005270E7" w:rsidRDefault="004933C8" w:rsidP="006D2B7E">
      <w:pPr>
        <w:pStyle w:val="BulletBox"/>
      </w:pPr>
      <w:r>
        <w:t>Encourage large-scale investment and innovative affordable housing</w:t>
      </w:r>
      <w:r w:rsidR="00540B01">
        <w:t>.</w:t>
      </w:r>
    </w:p>
    <w:p w:rsidR="004933C8" w:rsidRDefault="004933C8" w:rsidP="0040773D">
      <w:pPr>
        <w:pStyle w:val="NormalBox"/>
        <w:spacing w:before="60"/>
      </w:pPr>
      <w:r>
        <w:lastRenderedPageBreak/>
        <w:t>The Australian Government is committed to stimulating the construction of 50,000 new, affordable rental dwellings. This will see a total of 35,000 dwellings delivered by 30 June 2014, with the remaining 15,000 dwellings delivered in 2015–16, providing more affordable private rental properties for Australians and their families.</w:t>
      </w:r>
    </w:p>
    <w:p w:rsidR="005270E7" w:rsidRDefault="005270E7" w:rsidP="00404BE4">
      <w:pPr>
        <w:pStyle w:val="Heading8"/>
      </w:pPr>
      <w:r>
        <w:t>Building Better Regional Cities</w:t>
      </w:r>
    </w:p>
    <w:p w:rsidR="005270E7" w:rsidRDefault="005270E7" w:rsidP="00CE6400">
      <w:pPr>
        <w:pStyle w:val="NormalBox"/>
        <w:pBdr>
          <w:between w:val="single" w:sz="2" w:space="3" w:color="auto"/>
        </w:pBdr>
      </w:pPr>
      <w:r>
        <w:t>The Building Better Regional Cities (BBRC) program is a three-year commitment by the Australian Government to invest in local infrastructure projects that will support an increased number of affordable homes in high-growth regional cities. Grants are provided to local governments for local infrastructure projects that support new housing developments, including connecting roads, extensions to drains and sewers, and community infrastructure such as parks and community centres.</w:t>
      </w:r>
    </w:p>
    <w:p w:rsidR="00153B8A" w:rsidRPr="00153B8A" w:rsidRDefault="00153B8A" w:rsidP="0009488C">
      <w:pPr>
        <w:pStyle w:val="NormalBox"/>
        <w:pBdr>
          <w:between w:val="single" w:sz="2" w:space="3" w:color="auto"/>
        </w:pBdr>
      </w:pPr>
      <w:proofErr w:type="gramStart"/>
      <w:r>
        <w:t>Linked to: Annual incentives under the National Rental Affordability Scheme</w:t>
      </w:r>
      <w:r w:rsidR="003F12EB">
        <w:t xml:space="preserve"> that are provided by tax offsets are delivered by the Australian Taxation Office.</w:t>
      </w:r>
      <w:proofErr w:type="gramEnd"/>
      <w:r w:rsidR="003F12EB">
        <w:t xml:space="preserve"> For more information refer to </w:t>
      </w:r>
      <w:r w:rsidR="00D75752">
        <w:t xml:space="preserve">the </w:t>
      </w:r>
      <w:r w:rsidR="003F12EB">
        <w:t>Treasury’s 2013</w:t>
      </w:r>
      <w:r w:rsidR="00483338">
        <w:t>–</w:t>
      </w:r>
      <w:r w:rsidR="003F12EB">
        <w:t>14 PB Statements.</w:t>
      </w:r>
    </w:p>
    <w:p w:rsidR="004A5B90" w:rsidRDefault="004A5B90" w:rsidP="004A5B90">
      <w:pPr>
        <w:pStyle w:val="SinglePara"/>
      </w:pPr>
    </w:p>
    <w:p w:rsidR="004A5B90" w:rsidRDefault="004A5B90" w:rsidP="00404BE4">
      <w:pPr>
        <w:pStyle w:val="Heading7"/>
      </w:pPr>
      <w:r>
        <w:br w:type="page"/>
      </w:r>
      <w:r>
        <w:lastRenderedPageBreak/>
        <w:t xml:space="preserve">Program 2.2 </w:t>
      </w:r>
      <w:r w:rsidR="00E8758C">
        <w:t>e</w:t>
      </w:r>
      <w:r>
        <w:t>xpenses</w:t>
      </w:r>
    </w:p>
    <w:p w:rsidR="00906BA2" w:rsidRDefault="00906BA2" w:rsidP="00906BA2">
      <w:pPr>
        <w:pStyle w:val="NormalBox"/>
      </w:pPr>
      <w:r>
        <w:t>The Housing Affordability Fund ceases at the end of 2012–13.</w:t>
      </w:r>
    </w:p>
    <w:p w:rsidR="00906BA2" w:rsidRDefault="00906BA2" w:rsidP="00906BA2">
      <w:pPr>
        <w:pStyle w:val="NormalBox"/>
      </w:pPr>
      <w:r>
        <w:t xml:space="preserve">The NRAS provides </w:t>
      </w:r>
      <w:r w:rsidR="008F50DA">
        <w:t>annual financial</w:t>
      </w:r>
      <w:r>
        <w:t xml:space="preserve"> </w:t>
      </w:r>
      <w:r w:rsidR="008F50DA">
        <w:t>i</w:t>
      </w:r>
      <w:r>
        <w:t>ncentive</w:t>
      </w:r>
      <w:r w:rsidR="008F50DA">
        <w:t>s</w:t>
      </w:r>
      <w:r>
        <w:t xml:space="preserve"> to the business sector and community organisations to build and rent dwellings to low- and moderate-income households at 20 per cent or more below market rates. The incentive is delivered through either </w:t>
      </w:r>
      <w:r w:rsidR="008F50DA">
        <w:t xml:space="preserve">cash </w:t>
      </w:r>
      <w:r>
        <w:t xml:space="preserve">payments </w:t>
      </w:r>
      <w:r w:rsidR="008F50DA">
        <w:t xml:space="preserve">by FaHCSIA </w:t>
      </w:r>
      <w:r>
        <w:t xml:space="preserve">or refundable tax offsets. The NRAS refundable tax offsets are delivered through the Australian Taxation Office and are not part of the FaHCSIA Budget. The change in expenses across the financial years reflects the projected </w:t>
      </w:r>
      <w:r w:rsidR="008F50DA">
        <w:t>delivery of dwellings by approved participants.</w:t>
      </w:r>
    </w:p>
    <w:p w:rsidR="00906BA2" w:rsidRPr="00906BA2" w:rsidRDefault="00906BA2" w:rsidP="00906BA2">
      <w:pPr>
        <w:pStyle w:val="NormalBox"/>
      </w:pPr>
      <w:r>
        <w:t xml:space="preserve">The Building Better Regional Cities </w:t>
      </w:r>
      <w:r w:rsidR="00DC4F5A">
        <w:t>program ceases at the end of 2013–14</w:t>
      </w:r>
      <w:r>
        <w:t>.</w:t>
      </w:r>
    </w:p>
    <w:p w:rsidR="007452AA" w:rsidRDefault="007452AA" w:rsidP="00167BCB">
      <w:pPr>
        <w:pStyle w:val="TableHeading"/>
      </w:pPr>
      <w:r w:rsidRPr="002F6C24">
        <w:t>Table 2</w:t>
      </w:r>
      <w:r w:rsidR="004A5B90">
        <w:t>.</w:t>
      </w:r>
      <w:r w:rsidRPr="002F6C24">
        <w:t xml:space="preserve">2.2: </w:t>
      </w:r>
      <w:r w:rsidR="004A5B90">
        <w:t>Budget</w:t>
      </w:r>
      <w:r w:rsidR="008B3B42">
        <w:t>ed</w:t>
      </w:r>
      <w:r w:rsidR="004A5B90">
        <w:t xml:space="preserve"> </w:t>
      </w:r>
      <w:r w:rsidR="00E8758C">
        <w:t>e</w:t>
      </w:r>
      <w:r w:rsidRPr="002F6C24">
        <w:t xml:space="preserve">xpenses </w:t>
      </w:r>
      <w:r w:rsidR="004A5B90">
        <w:t>for Affordable Housing</w:t>
      </w:r>
    </w:p>
    <w:p w:rsidR="00AC615A" w:rsidRPr="00AC615A" w:rsidRDefault="0066368D" w:rsidP="00AC615A">
      <w:pPr>
        <w:pStyle w:val="TableGraphic"/>
      </w:pPr>
      <w:r>
        <w:rPr>
          <w:noProof/>
        </w:rPr>
        <w:drawing>
          <wp:inline distT="0" distB="0" distL="0" distR="0" wp14:anchorId="7347F10F" wp14:editId="29F7AFF5">
            <wp:extent cx="4878705" cy="2455221"/>
            <wp:effectExtent l="0" t="0" r="0" b="2540"/>
            <wp:docPr id="307" name="Picture 307" descr="Table 2.2.2: Budgeted expenses for Affordable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78705" cy="2455221"/>
                    </a:xfrm>
                    <a:prstGeom prst="rect">
                      <a:avLst/>
                    </a:prstGeom>
                    <a:noFill/>
                    <a:ln>
                      <a:noFill/>
                    </a:ln>
                  </pic:spPr>
                </pic:pic>
              </a:graphicData>
            </a:graphic>
          </wp:inline>
        </w:drawing>
      </w:r>
    </w:p>
    <w:p w:rsidR="007452AA" w:rsidRDefault="004A5B90" w:rsidP="00404BE4">
      <w:pPr>
        <w:pStyle w:val="Heading7"/>
      </w:pPr>
      <w:r>
        <w:br w:type="page"/>
      </w:r>
      <w:r w:rsidR="007452AA" w:rsidRPr="009A42B2">
        <w:lastRenderedPageBreak/>
        <w:t xml:space="preserve">Program </w:t>
      </w:r>
      <w:r w:rsidR="00625F50">
        <w:t xml:space="preserve">2.2 </w:t>
      </w:r>
      <w:r w:rsidR="00EC1BA1">
        <w:t>d</w:t>
      </w:r>
      <w:r>
        <w:t>eliverables</w:t>
      </w:r>
    </w:p>
    <w:p w:rsidR="004A5B90" w:rsidRPr="009C7F86" w:rsidRDefault="004A5B90" w:rsidP="00404BE4">
      <w:pPr>
        <w:pStyle w:val="Heading8"/>
      </w:pPr>
      <w:r w:rsidRPr="009C7F86">
        <w:t>National Rental Affordability Scheme</w:t>
      </w:r>
    </w:p>
    <w:p w:rsidR="004A5B90" w:rsidRPr="004A5B90" w:rsidRDefault="004A5B90" w:rsidP="0040773D">
      <w:pPr>
        <w:pStyle w:val="BulletBox"/>
      </w:pPr>
      <w:r w:rsidRPr="004A5B90">
        <w:t>Allocate incentives for the NRAS in accordance with statutory criteria so NRAS dwellings are made available at reduced rents for eligible low- and moderate-income households</w:t>
      </w:r>
    </w:p>
    <w:p w:rsidR="004A5B90" w:rsidRPr="009C7F86" w:rsidRDefault="004A5B90" w:rsidP="00404BE4">
      <w:pPr>
        <w:pStyle w:val="Heading8"/>
      </w:pPr>
      <w:r w:rsidRPr="009C7F86">
        <w:t>Building Better Regional Cities</w:t>
      </w:r>
    </w:p>
    <w:p w:rsidR="004A5B90" w:rsidRPr="004A5B90" w:rsidRDefault="004A5B90" w:rsidP="0040773D">
      <w:pPr>
        <w:pStyle w:val="BulletBox"/>
      </w:pPr>
      <w:r w:rsidRPr="004A5B90">
        <w:t>Effectively manage the BBRC program to support quality projects that help lower the cost of building new housing, improve supply and make housing more affordable</w:t>
      </w:r>
    </w:p>
    <w:p w:rsidR="00D54AAB" w:rsidRDefault="004A5B90" w:rsidP="004A5B90">
      <w:pPr>
        <w:pStyle w:val="TableHeading"/>
      </w:pPr>
      <w:r>
        <w:t>A</w:t>
      </w:r>
      <w:r w:rsidR="00114603">
        <w:t>ffordable Housing deliverables t</w:t>
      </w:r>
      <w:r>
        <w:t>argets</w:t>
      </w:r>
    </w:p>
    <w:tbl>
      <w:tblPr>
        <w:tblW w:w="7651" w:type="dxa"/>
        <w:tblInd w:w="40" w:type="dxa"/>
        <w:tblCellMar>
          <w:top w:w="57" w:type="dxa"/>
          <w:left w:w="30" w:type="dxa"/>
          <w:bottom w:w="57" w:type="dxa"/>
          <w:right w:w="30" w:type="dxa"/>
        </w:tblCellMar>
        <w:tblLook w:val="0000" w:firstRow="0" w:lastRow="0" w:firstColumn="0" w:lastColumn="0" w:noHBand="0" w:noVBand="0"/>
        <w:tblDescription w:val="Affordable Housing deliverables targets"/>
      </w:tblPr>
      <w:tblGrid>
        <w:gridCol w:w="3107"/>
        <w:gridCol w:w="908"/>
        <w:gridCol w:w="909"/>
        <w:gridCol w:w="909"/>
        <w:gridCol w:w="909"/>
        <w:gridCol w:w="909"/>
      </w:tblGrid>
      <w:tr w:rsidR="004A5B90" w:rsidRPr="00893575" w:rsidTr="002D73FA">
        <w:trPr>
          <w:trHeight w:val="225"/>
        </w:trPr>
        <w:tc>
          <w:tcPr>
            <w:tcW w:w="3107" w:type="dxa"/>
            <w:tcBorders>
              <w:top w:val="single" w:sz="2" w:space="0" w:color="auto"/>
              <w:left w:val="nil"/>
              <w:bottom w:val="single" w:sz="2" w:space="0" w:color="auto"/>
              <w:right w:val="nil"/>
            </w:tcBorders>
          </w:tcPr>
          <w:p w:rsidR="004A5B90" w:rsidRPr="00893575" w:rsidRDefault="004A5B90" w:rsidP="002D73FA">
            <w:pPr>
              <w:keepNext/>
              <w:autoSpaceDE w:val="0"/>
              <w:autoSpaceDN w:val="0"/>
              <w:adjustRightInd w:val="0"/>
              <w:spacing w:after="0" w:line="240" w:lineRule="auto"/>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4A5B90" w:rsidRPr="00893575" w:rsidRDefault="004A5B90" w:rsidP="002D73FA">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r w:rsidR="002D73FA">
              <w:rPr>
                <w:rFonts w:ascii="Arial" w:hAnsi="Arial" w:cs="Arial"/>
                <w:color w:val="000000"/>
                <w:sz w:val="16"/>
                <w:szCs w:val="16"/>
              </w:rPr>
              <w:t xml:space="preserve"> </w:t>
            </w: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4A5B90" w:rsidRPr="00893575" w:rsidRDefault="004A5B90" w:rsidP="002D73FA">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r w:rsidR="002D73FA">
              <w:rPr>
                <w:rFonts w:ascii="Arial" w:hAnsi="Arial" w:cs="Arial"/>
                <w:color w:val="000000"/>
                <w:sz w:val="16"/>
                <w:szCs w:val="16"/>
              </w:rPr>
              <w:t xml:space="preserve"> </w:t>
            </w:r>
            <w:r>
              <w:rPr>
                <w:rFonts w:ascii="Arial" w:hAnsi="Arial" w:cs="Arial"/>
                <w:color w:val="000000"/>
                <w:sz w:val="16"/>
                <w:szCs w:val="16"/>
              </w:rPr>
              <w:t>Budget</w:t>
            </w:r>
          </w:p>
        </w:tc>
        <w:tc>
          <w:tcPr>
            <w:tcW w:w="909" w:type="dxa"/>
            <w:tcBorders>
              <w:top w:val="single" w:sz="2" w:space="0" w:color="auto"/>
              <w:left w:val="nil"/>
              <w:bottom w:val="single" w:sz="2" w:space="0" w:color="auto"/>
              <w:right w:val="nil"/>
            </w:tcBorders>
          </w:tcPr>
          <w:p w:rsidR="004A5B90" w:rsidRPr="00893575" w:rsidRDefault="004A5B90" w:rsidP="002D73F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4A5B90" w:rsidRPr="00893575" w:rsidRDefault="004A5B90" w:rsidP="002D73F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r w:rsidR="002D73FA">
              <w:rPr>
                <w:rFonts w:ascii="Arial" w:hAnsi="Arial" w:cs="Arial"/>
                <w:color w:val="000000"/>
                <w:sz w:val="16"/>
                <w:szCs w:val="16"/>
              </w:rPr>
              <w:t xml:space="preserve"> </w:t>
            </w:r>
            <w:r w:rsidRPr="00893575">
              <w:rPr>
                <w:rFonts w:ascii="Arial" w:hAnsi="Arial" w:cs="Arial"/>
                <w:color w:val="000000"/>
                <w:sz w:val="16"/>
                <w:szCs w:val="16"/>
              </w:rPr>
              <w:t>Forward</w:t>
            </w:r>
            <w:r w:rsidR="002D73FA">
              <w:rPr>
                <w:rFonts w:ascii="Arial" w:hAnsi="Arial" w:cs="Arial"/>
                <w:color w:val="000000"/>
                <w:sz w:val="16"/>
                <w:szCs w:val="16"/>
              </w:rPr>
              <w:t xml:space="preserve"> </w:t>
            </w: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4A5B90" w:rsidRPr="00893575" w:rsidRDefault="004A5B90" w:rsidP="002D73F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r w:rsidR="002D73FA">
              <w:rPr>
                <w:rFonts w:ascii="Arial" w:hAnsi="Arial" w:cs="Arial"/>
                <w:color w:val="000000"/>
                <w:sz w:val="16"/>
                <w:szCs w:val="16"/>
              </w:rPr>
              <w:t xml:space="preserve"> </w:t>
            </w:r>
            <w:r w:rsidRPr="00893575">
              <w:rPr>
                <w:rFonts w:ascii="Arial" w:hAnsi="Arial" w:cs="Arial"/>
                <w:color w:val="000000"/>
                <w:sz w:val="16"/>
                <w:szCs w:val="16"/>
              </w:rPr>
              <w:t>Forward</w:t>
            </w:r>
            <w:r w:rsidR="002D73FA">
              <w:rPr>
                <w:rFonts w:ascii="Arial" w:hAnsi="Arial" w:cs="Arial"/>
                <w:color w:val="000000"/>
                <w:sz w:val="16"/>
                <w:szCs w:val="16"/>
              </w:rPr>
              <w:t xml:space="preserve"> </w:t>
            </w:r>
            <w:r w:rsidRPr="00893575">
              <w:rPr>
                <w:rFonts w:ascii="Arial" w:hAnsi="Arial" w:cs="Arial"/>
                <w:color w:val="000000"/>
                <w:sz w:val="16"/>
                <w:szCs w:val="16"/>
              </w:rPr>
              <w:t xml:space="preserve">year </w:t>
            </w:r>
            <w:r>
              <w:rPr>
                <w:rFonts w:ascii="Arial" w:hAnsi="Arial" w:cs="Arial"/>
                <w:color w:val="000000"/>
                <w:sz w:val="16"/>
                <w:szCs w:val="16"/>
              </w:rPr>
              <w:t>3</w:t>
            </w:r>
          </w:p>
        </w:tc>
      </w:tr>
      <w:tr w:rsidR="00884D18" w:rsidRPr="00893575" w:rsidTr="001205C8">
        <w:trPr>
          <w:trHeight w:val="225"/>
        </w:trPr>
        <w:tc>
          <w:tcPr>
            <w:tcW w:w="3107" w:type="dxa"/>
            <w:tcBorders>
              <w:top w:val="single" w:sz="2" w:space="0" w:color="auto"/>
              <w:left w:val="nil"/>
              <w:right w:val="nil"/>
            </w:tcBorders>
            <w:vAlign w:val="bottom"/>
          </w:tcPr>
          <w:p w:rsidR="00884D18" w:rsidRPr="00893575" w:rsidRDefault="00884D18" w:rsidP="001205C8">
            <w:pPr>
              <w:keepNext/>
              <w:autoSpaceDE w:val="0"/>
              <w:autoSpaceDN w:val="0"/>
              <w:adjustRightInd w:val="0"/>
              <w:spacing w:after="0" w:line="240" w:lineRule="auto"/>
              <w:jc w:val="left"/>
              <w:rPr>
                <w:rFonts w:ascii="Arial" w:hAnsi="Arial" w:cs="Arial"/>
                <w:color w:val="000000"/>
                <w:sz w:val="16"/>
                <w:szCs w:val="16"/>
              </w:rPr>
            </w:pPr>
            <w:r>
              <w:rPr>
                <w:rFonts w:ascii="Arial" w:hAnsi="Arial" w:cs="Arial"/>
                <w:color w:val="000000"/>
                <w:sz w:val="16"/>
                <w:szCs w:val="16"/>
              </w:rPr>
              <w:t>NRAS</w:t>
            </w:r>
          </w:p>
        </w:tc>
        <w:tc>
          <w:tcPr>
            <w:tcW w:w="908" w:type="dxa"/>
            <w:tcBorders>
              <w:top w:val="single" w:sz="2" w:space="0" w:color="auto"/>
              <w:left w:val="nil"/>
              <w:bottom w:val="nil"/>
              <w:right w:val="nil"/>
            </w:tcBorders>
            <w:shd w:val="clear" w:color="auto" w:fill="auto"/>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single" w:sz="2" w:space="0" w:color="auto"/>
              <w:left w:val="nil"/>
              <w:bottom w:val="nil"/>
              <w:right w:val="nil"/>
            </w:tcBorders>
            <w:shd w:val="clear" w:color="auto" w:fill="D9D9D9"/>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single" w:sz="2" w:space="0" w:color="auto"/>
              <w:left w:val="nil"/>
              <w:bottom w:val="nil"/>
              <w:right w:val="nil"/>
            </w:tcBorders>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single" w:sz="2" w:space="0" w:color="auto"/>
              <w:left w:val="nil"/>
              <w:bottom w:val="nil"/>
              <w:right w:val="nil"/>
            </w:tcBorders>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single" w:sz="2" w:space="0" w:color="auto"/>
              <w:left w:val="nil"/>
              <w:bottom w:val="nil"/>
              <w:right w:val="nil"/>
            </w:tcBorders>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r>
      <w:tr w:rsidR="00884D18" w:rsidRPr="00893575" w:rsidTr="002D73FA">
        <w:trPr>
          <w:trHeight w:val="225"/>
        </w:trPr>
        <w:tc>
          <w:tcPr>
            <w:tcW w:w="3107" w:type="dxa"/>
            <w:tcBorders>
              <w:top w:val="nil"/>
              <w:left w:val="nil"/>
              <w:right w:val="nil"/>
            </w:tcBorders>
            <w:vAlign w:val="bottom"/>
          </w:tcPr>
          <w:p w:rsidR="00884D18" w:rsidRDefault="00884D18" w:rsidP="00F0287D">
            <w:pPr>
              <w:keepNext/>
              <w:autoSpaceDE w:val="0"/>
              <w:autoSpaceDN w:val="0"/>
              <w:adjustRightInd w:val="0"/>
              <w:spacing w:after="0" w:line="240" w:lineRule="auto"/>
              <w:jc w:val="left"/>
              <w:rPr>
                <w:rFonts w:ascii="Arial" w:hAnsi="Arial" w:cs="Arial"/>
                <w:color w:val="000000"/>
                <w:sz w:val="16"/>
                <w:szCs w:val="16"/>
              </w:rPr>
            </w:pPr>
            <w:r>
              <w:rPr>
                <w:rFonts w:ascii="Arial" w:hAnsi="Arial" w:cs="Arial"/>
                <w:color w:val="000000"/>
                <w:sz w:val="16"/>
                <w:szCs w:val="16"/>
              </w:rPr>
              <w:t>Allocate incentives for the NRAS in accordance with statutory criteria so NRAS dwellings are made available at reduced rents for eligible low- and moderate-income households.</w:t>
            </w:r>
            <w:r w:rsidR="00F0287D">
              <w:rPr>
                <w:rStyle w:val="FootnoteReference"/>
                <w:rFonts w:cs="Arial"/>
                <w:color w:val="000000"/>
                <w:szCs w:val="16"/>
              </w:rPr>
              <w:footnoteReference w:id="10"/>
            </w:r>
          </w:p>
        </w:tc>
        <w:tc>
          <w:tcPr>
            <w:tcW w:w="908" w:type="dxa"/>
            <w:tcBorders>
              <w:top w:val="nil"/>
              <w:left w:val="nil"/>
              <w:bottom w:val="nil"/>
              <w:right w:val="nil"/>
            </w:tcBorders>
            <w:shd w:val="clear" w:color="auto" w:fill="auto"/>
            <w:vAlign w:val="bottom"/>
          </w:tcPr>
          <w:p w:rsidR="00884D18" w:rsidRPr="00893575" w:rsidRDefault="00995245"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nil"/>
              <w:right w:val="nil"/>
            </w:tcBorders>
            <w:shd w:val="clear" w:color="auto" w:fill="D9D9D9"/>
            <w:vAlign w:val="bottom"/>
          </w:tcPr>
          <w:p w:rsidR="00884D18" w:rsidRPr="00893575" w:rsidRDefault="00A0156C"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35,000 dwellings</w:t>
            </w:r>
          </w:p>
        </w:tc>
        <w:tc>
          <w:tcPr>
            <w:tcW w:w="909" w:type="dxa"/>
            <w:tcBorders>
              <w:top w:val="nil"/>
              <w:left w:val="nil"/>
              <w:bottom w:val="nil"/>
              <w:right w:val="nil"/>
            </w:tcBorders>
            <w:vAlign w:val="bottom"/>
          </w:tcPr>
          <w:p w:rsidR="00884D18" w:rsidRPr="00893575" w:rsidRDefault="00884D18" w:rsidP="00F0287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35,000 dwellings</w:t>
            </w:r>
          </w:p>
        </w:tc>
        <w:tc>
          <w:tcPr>
            <w:tcW w:w="909" w:type="dxa"/>
            <w:tcBorders>
              <w:top w:val="nil"/>
              <w:left w:val="nil"/>
              <w:bottom w:val="nil"/>
              <w:right w:val="nil"/>
            </w:tcBorders>
            <w:vAlign w:val="bottom"/>
          </w:tcPr>
          <w:p w:rsidR="00884D18" w:rsidRPr="00893575" w:rsidRDefault="00A0156C"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50,000 dwellings</w:t>
            </w:r>
          </w:p>
        </w:tc>
        <w:tc>
          <w:tcPr>
            <w:tcW w:w="909" w:type="dxa"/>
            <w:tcBorders>
              <w:top w:val="nil"/>
              <w:left w:val="nil"/>
              <w:bottom w:val="nil"/>
              <w:right w:val="nil"/>
            </w:tcBorders>
            <w:vAlign w:val="bottom"/>
          </w:tcPr>
          <w:p w:rsidR="00E145E8" w:rsidRPr="00E145E8" w:rsidRDefault="00E145E8" w:rsidP="001205C8">
            <w:pPr>
              <w:keepNext/>
              <w:autoSpaceDE w:val="0"/>
              <w:autoSpaceDN w:val="0"/>
              <w:adjustRightInd w:val="0"/>
              <w:spacing w:after="0" w:line="240" w:lineRule="auto"/>
              <w:jc w:val="right"/>
              <w:rPr>
                <w:rFonts w:ascii="Arial" w:hAnsi="Arial" w:cs="Arial"/>
                <w:color w:val="000000"/>
                <w:sz w:val="16"/>
                <w:szCs w:val="16"/>
              </w:rPr>
            </w:pPr>
            <w:r w:rsidRPr="00E145E8">
              <w:rPr>
                <w:rFonts w:ascii="Arial" w:hAnsi="Arial" w:cs="Arial"/>
                <w:color w:val="000000"/>
                <w:sz w:val="16"/>
                <w:szCs w:val="16"/>
              </w:rPr>
              <w:t>50,000</w:t>
            </w:r>
          </w:p>
          <w:p w:rsidR="00884D18" w:rsidRPr="000C048F" w:rsidRDefault="00E145E8" w:rsidP="001205C8">
            <w:pPr>
              <w:keepNext/>
              <w:autoSpaceDE w:val="0"/>
              <w:autoSpaceDN w:val="0"/>
              <w:adjustRightInd w:val="0"/>
              <w:spacing w:after="0" w:line="240" w:lineRule="auto"/>
              <w:jc w:val="right"/>
              <w:rPr>
                <w:rFonts w:ascii="Arial" w:hAnsi="Arial" w:cs="Arial"/>
                <w:color w:val="000000"/>
                <w:sz w:val="16"/>
                <w:szCs w:val="16"/>
                <w:highlight w:val="yellow"/>
              </w:rPr>
            </w:pPr>
            <w:r w:rsidRPr="00E145E8">
              <w:rPr>
                <w:rFonts w:ascii="Arial" w:hAnsi="Arial" w:cs="Arial"/>
                <w:color w:val="000000"/>
                <w:sz w:val="16"/>
                <w:szCs w:val="16"/>
              </w:rPr>
              <w:t>dwellings</w:t>
            </w:r>
          </w:p>
        </w:tc>
      </w:tr>
      <w:tr w:rsidR="00884D18" w:rsidRPr="00893575" w:rsidTr="002D73FA">
        <w:trPr>
          <w:trHeight w:val="225"/>
        </w:trPr>
        <w:tc>
          <w:tcPr>
            <w:tcW w:w="3107" w:type="dxa"/>
            <w:tcBorders>
              <w:top w:val="nil"/>
              <w:left w:val="nil"/>
              <w:right w:val="nil"/>
            </w:tcBorders>
            <w:vAlign w:val="bottom"/>
          </w:tcPr>
          <w:p w:rsidR="00884D18" w:rsidRDefault="00884D18" w:rsidP="001205C8">
            <w:pPr>
              <w:keepNext/>
              <w:autoSpaceDE w:val="0"/>
              <w:autoSpaceDN w:val="0"/>
              <w:adjustRightInd w:val="0"/>
              <w:spacing w:after="0" w:line="240" w:lineRule="auto"/>
              <w:jc w:val="left"/>
              <w:rPr>
                <w:rFonts w:ascii="Arial" w:hAnsi="Arial" w:cs="Arial"/>
                <w:color w:val="000000"/>
                <w:sz w:val="16"/>
                <w:szCs w:val="16"/>
              </w:rPr>
            </w:pPr>
            <w:r>
              <w:rPr>
                <w:rFonts w:ascii="Arial" w:hAnsi="Arial" w:cs="Arial"/>
                <w:color w:val="000000"/>
                <w:sz w:val="16"/>
                <w:szCs w:val="16"/>
              </w:rPr>
              <w:t>BBRC</w:t>
            </w:r>
          </w:p>
        </w:tc>
        <w:tc>
          <w:tcPr>
            <w:tcW w:w="908" w:type="dxa"/>
            <w:tcBorders>
              <w:top w:val="nil"/>
              <w:left w:val="nil"/>
              <w:bottom w:val="nil"/>
              <w:right w:val="nil"/>
            </w:tcBorders>
            <w:shd w:val="clear" w:color="auto" w:fill="auto"/>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bottom w:val="nil"/>
              <w:right w:val="nil"/>
            </w:tcBorders>
            <w:shd w:val="clear" w:color="auto" w:fill="D9D9D9"/>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bottom w:val="nil"/>
              <w:right w:val="nil"/>
            </w:tcBorders>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bottom w:val="nil"/>
              <w:right w:val="nil"/>
            </w:tcBorders>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bottom w:val="nil"/>
              <w:right w:val="nil"/>
            </w:tcBorders>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r>
      <w:tr w:rsidR="00884D18" w:rsidRPr="00893575" w:rsidTr="002D73FA">
        <w:trPr>
          <w:trHeight w:val="225"/>
        </w:trPr>
        <w:tc>
          <w:tcPr>
            <w:tcW w:w="3107" w:type="dxa"/>
            <w:tcBorders>
              <w:top w:val="nil"/>
              <w:left w:val="nil"/>
              <w:right w:val="nil"/>
            </w:tcBorders>
            <w:vAlign w:val="bottom"/>
          </w:tcPr>
          <w:p w:rsidR="00884D18" w:rsidRDefault="00884D18" w:rsidP="001205C8">
            <w:pPr>
              <w:keepNext/>
              <w:autoSpaceDE w:val="0"/>
              <w:autoSpaceDN w:val="0"/>
              <w:adjustRightInd w:val="0"/>
              <w:spacing w:after="0" w:line="240" w:lineRule="auto"/>
              <w:jc w:val="left"/>
              <w:rPr>
                <w:rFonts w:ascii="Arial" w:hAnsi="Arial" w:cs="Arial"/>
                <w:color w:val="000000"/>
                <w:sz w:val="16"/>
                <w:szCs w:val="16"/>
              </w:rPr>
            </w:pPr>
            <w:r>
              <w:rPr>
                <w:rFonts w:ascii="Arial" w:hAnsi="Arial" w:cs="Arial"/>
                <w:color w:val="000000"/>
                <w:sz w:val="16"/>
                <w:szCs w:val="16"/>
              </w:rPr>
              <w:t>Effectively manage the BBRC funding agreements to ensure the projects proceed in line with expectations on their delivery of infrastructure for housing supply.</w:t>
            </w:r>
          </w:p>
        </w:tc>
        <w:tc>
          <w:tcPr>
            <w:tcW w:w="908" w:type="dxa"/>
            <w:tcBorders>
              <w:top w:val="nil"/>
              <w:left w:val="nil"/>
              <w:bottom w:val="nil"/>
              <w:right w:val="nil"/>
            </w:tcBorders>
            <w:shd w:val="clear" w:color="auto" w:fill="auto"/>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bottom w:val="nil"/>
              <w:right w:val="nil"/>
            </w:tcBorders>
            <w:shd w:val="clear" w:color="auto" w:fill="D9D9D9"/>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bottom w:val="nil"/>
              <w:right w:val="nil"/>
            </w:tcBorders>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bottom w:val="nil"/>
              <w:right w:val="nil"/>
            </w:tcBorders>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bottom w:val="nil"/>
              <w:right w:val="nil"/>
            </w:tcBorders>
            <w:vAlign w:val="bottom"/>
          </w:tcPr>
          <w:p w:rsidR="00884D18" w:rsidRPr="00893575" w:rsidRDefault="00884D18" w:rsidP="001205C8">
            <w:pPr>
              <w:keepNext/>
              <w:autoSpaceDE w:val="0"/>
              <w:autoSpaceDN w:val="0"/>
              <w:adjustRightInd w:val="0"/>
              <w:spacing w:after="0" w:line="240" w:lineRule="auto"/>
              <w:jc w:val="right"/>
              <w:rPr>
                <w:rFonts w:ascii="Arial" w:hAnsi="Arial" w:cs="Arial"/>
                <w:color w:val="000000"/>
                <w:sz w:val="16"/>
                <w:szCs w:val="16"/>
              </w:rPr>
            </w:pPr>
          </w:p>
        </w:tc>
      </w:tr>
      <w:tr w:rsidR="00A0156C" w:rsidRPr="00893575" w:rsidTr="002D73FA">
        <w:trPr>
          <w:trHeight w:val="225"/>
        </w:trPr>
        <w:tc>
          <w:tcPr>
            <w:tcW w:w="3107" w:type="dxa"/>
            <w:tcBorders>
              <w:top w:val="nil"/>
              <w:left w:val="nil"/>
              <w:right w:val="nil"/>
            </w:tcBorders>
            <w:vAlign w:val="bottom"/>
          </w:tcPr>
          <w:p w:rsidR="00A0156C" w:rsidRPr="0040773D" w:rsidRDefault="00A0156C" w:rsidP="0040773D">
            <w:pPr>
              <w:keepNext/>
              <w:autoSpaceDE w:val="0"/>
              <w:autoSpaceDN w:val="0"/>
              <w:adjustRightInd w:val="0"/>
              <w:spacing w:after="0" w:line="240" w:lineRule="auto"/>
              <w:ind w:left="312" w:hanging="142"/>
              <w:jc w:val="left"/>
              <w:rPr>
                <w:rFonts w:ascii="Arial" w:hAnsi="Arial" w:cs="Arial"/>
                <w:sz w:val="16"/>
                <w:szCs w:val="16"/>
              </w:rPr>
            </w:pPr>
            <w:r w:rsidRPr="0040773D">
              <w:rPr>
                <w:rFonts w:ascii="Arial" w:hAnsi="Arial" w:cs="Arial"/>
                <w:sz w:val="16"/>
                <w:szCs w:val="16"/>
              </w:rPr>
              <w:t>– Number of funding agreements signed</w:t>
            </w:r>
          </w:p>
        </w:tc>
        <w:tc>
          <w:tcPr>
            <w:tcW w:w="908" w:type="dxa"/>
            <w:tcBorders>
              <w:top w:val="nil"/>
              <w:left w:val="nil"/>
              <w:bottom w:val="nil"/>
              <w:right w:val="nil"/>
            </w:tcBorders>
            <w:shd w:val="clear" w:color="auto" w:fill="auto"/>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w:t>
            </w:r>
          </w:p>
        </w:tc>
        <w:tc>
          <w:tcPr>
            <w:tcW w:w="909" w:type="dxa"/>
            <w:tcBorders>
              <w:top w:val="nil"/>
              <w:left w:val="nil"/>
              <w:bottom w:val="nil"/>
              <w:right w:val="nil"/>
            </w:tcBorders>
            <w:shd w:val="clear" w:color="auto" w:fill="D9D9D9"/>
            <w:vAlign w:val="bottom"/>
          </w:tcPr>
          <w:p w:rsidR="00A0156C" w:rsidRPr="00893575" w:rsidRDefault="000C048F"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nil"/>
              <w:right w:val="nil"/>
            </w:tcBorders>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nil"/>
              <w:right w:val="nil"/>
            </w:tcBorders>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nil"/>
              <w:right w:val="nil"/>
            </w:tcBorders>
            <w:vAlign w:val="bottom"/>
          </w:tcPr>
          <w:p w:rsidR="00A0156C" w:rsidRPr="00893575" w:rsidRDefault="00E145E8"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A0156C" w:rsidRPr="00893575" w:rsidTr="002D73FA">
        <w:trPr>
          <w:trHeight w:val="225"/>
        </w:trPr>
        <w:tc>
          <w:tcPr>
            <w:tcW w:w="3107" w:type="dxa"/>
            <w:tcBorders>
              <w:top w:val="nil"/>
              <w:left w:val="nil"/>
              <w:right w:val="nil"/>
            </w:tcBorders>
            <w:vAlign w:val="bottom"/>
          </w:tcPr>
          <w:p w:rsidR="00A0156C" w:rsidRPr="0040773D" w:rsidRDefault="00A0156C" w:rsidP="0040773D">
            <w:pPr>
              <w:keepNext/>
              <w:autoSpaceDE w:val="0"/>
              <w:autoSpaceDN w:val="0"/>
              <w:adjustRightInd w:val="0"/>
              <w:spacing w:after="0" w:line="240" w:lineRule="auto"/>
              <w:ind w:left="312" w:hanging="142"/>
              <w:jc w:val="left"/>
              <w:rPr>
                <w:rFonts w:ascii="Arial" w:hAnsi="Arial" w:cs="Arial"/>
                <w:sz w:val="16"/>
                <w:szCs w:val="16"/>
              </w:rPr>
            </w:pPr>
            <w:r w:rsidRPr="0040773D">
              <w:rPr>
                <w:rFonts w:ascii="Arial" w:hAnsi="Arial" w:cs="Arial"/>
                <w:sz w:val="16"/>
                <w:szCs w:val="16"/>
              </w:rPr>
              <w:t>– Infrastructure works completed</w:t>
            </w:r>
          </w:p>
        </w:tc>
        <w:tc>
          <w:tcPr>
            <w:tcW w:w="908" w:type="dxa"/>
            <w:tcBorders>
              <w:top w:val="nil"/>
              <w:left w:val="nil"/>
              <w:bottom w:val="nil"/>
              <w:right w:val="nil"/>
            </w:tcBorders>
            <w:shd w:val="clear" w:color="auto" w:fill="auto"/>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tc>
        <w:tc>
          <w:tcPr>
            <w:tcW w:w="909" w:type="dxa"/>
            <w:tcBorders>
              <w:top w:val="nil"/>
              <w:left w:val="nil"/>
              <w:bottom w:val="nil"/>
              <w:right w:val="nil"/>
            </w:tcBorders>
            <w:shd w:val="clear" w:color="auto" w:fill="D9D9D9"/>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w:t>
            </w:r>
          </w:p>
        </w:tc>
        <w:tc>
          <w:tcPr>
            <w:tcW w:w="909" w:type="dxa"/>
            <w:tcBorders>
              <w:top w:val="nil"/>
              <w:left w:val="nil"/>
              <w:bottom w:val="nil"/>
              <w:right w:val="nil"/>
            </w:tcBorders>
            <w:vAlign w:val="bottom"/>
          </w:tcPr>
          <w:p w:rsidR="00A0156C" w:rsidRPr="00893575" w:rsidRDefault="000C048F"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nil"/>
              <w:right w:val="nil"/>
            </w:tcBorders>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nil"/>
              <w:right w:val="nil"/>
            </w:tcBorders>
            <w:vAlign w:val="bottom"/>
          </w:tcPr>
          <w:p w:rsidR="00A0156C" w:rsidRPr="00893575" w:rsidRDefault="00E145E8"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A0156C" w:rsidRPr="00893575" w:rsidTr="002D73FA">
        <w:trPr>
          <w:trHeight w:val="225"/>
        </w:trPr>
        <w:tc>
          <w:tcPr>
            <w:tcW w:w="3107" w:type="dxa"/>
            <w:tcBorders>
              <w:top w:val="nil"/>
              <w:left w:val="nil"/>
              <w:right w:val="nil"/>
            </w:tcBorders>
            <w:vAlign w:val="bottom"/>
          </w:tcPr>
          <w:p w:rsidR="00A0156C" w:rsidRPr="0040773D" w:rsidRDefault="00A0156C" w:rsidP="0040773D">
            <w:pPr>
              <w:keepNext/>
              <w:autoSpaceDE w:val="0"/>
              <w:autoSpaceDN w:val="0"/>
              <w:adjustRightInd w:val="0"/>
              <w:spacing w:after="0" w:line="240" w:lineRule="auto"/>
              <w:ind w:left="312" w:hanging="142"/>
              <w:jc w:val="left"/>
              <w:rPr>
                <w:rFonts w:ascii="Arial" w:hAnsi="Arial" w:cs="Arial"/>
                <w:sz w:val="16"/>
                <w:szCs w:val="16"/>
              </w:rPr>
            </w:pPr>
            <w:r w:rsidRPr="0040773D">
              <w:rPr>
                <w:rFonts w:ascii="Arial" w:hAnsi="Arial" w:cs="Arial"/>
                <w:sz w:val="16"/>
                <w:szCs w:val="16"/>
              </w:rPr>
              <w:t>– Subsidised dwellings/lots</w:t>
            </w:r>
          </w:p>
        </w:tc>
        <w:tc>
          <w:tcPr>
            <w:tcW w:w="908" w:type="dxa"/>
            <w:tcBorders>
              <w:top w:val="nil"/>
              <w:left w:val="nil"/>
              <w:bottom w:val="nil"/>
              <w:right w:val="nil"/>
            </w:tcBorders>
            <w:shd w:val="clear" w:color="auto" w:fill="auto"/>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nil"/>
              <w:right w:val="nil"/>
            </w:tcBorders>
            <w:shd w:val="clear" w:color="auto" w:fill="D9D9D9"/>
            <w:vAlign w:val="bottom"/>
          </w:tcPr>
          <w:p w:rsidR="00A0156C" w:rsidRPr="00893575" w:rsidRDefault="0035149F"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nil"/>
              <w:right w:val="nil"/>
            </w:tcBorders>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nil"/>
              <w:right w:val="nil"/>
            </w:tcBorders>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2,000</w:t>
            </w:r>
          </w:p>
        </w:tc>
        <w:tc>
          <w:tcPr>
            <w:tcW w:w="909" w:type="dxa"/>
            <w:tcBorders>
              <w:top w:val="nil"/>
              <w:left w:val="nil"/>
              <w:bottom w:val="nil"/>
              <w:right w:val="nil"/>
            </w:tcBorders>
            <w:vAlign w:val="bottom"/>
          </w:tcPr>
          <w:p w:rsidR="00A0156C" w:rsidRPr="00893575" w:rsidRDefault="00E145E8"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A0156C" w:rsidRPr="00893575" w:rsidTr="002D73FA">
        <w:trPr>
          <w:trHeight w:val="225"/>
        </w:trPr>
        <w:tc>
          <w:tcPr>
            <w:tcW w:w="3107" w:type="dxa"/>
            <w:tcBorders>
              <w:left w:val="nil"/>
              <w:bottom w:val="single" w:sz="2" w:space="0" w:color="auto"/>
              <w:right w:val="nil"/>
            </w:tcBorders>
            <w:vAlign w:val="bottom"/>
          </w:tcPr>
          <w:p w:rsidR="00A0156C" w:rsidRPr="0040773D" w:rsidRDefault="00A0156C" w:rsidP="0040773D">
            <w:pPr>
              <w:keepNext/>
              <w:autoSpaceDE w:val="0"/>
              <w:autoSpaceDN w:val="0"/>
              <w:adjustRightInd w:val="0"/>
              <w:spacing w:after="0" w:line="240" w:lineRule="auto"/>
              <w:ind w:left="312" w:hanging="142"/>
              <w:jc w:val="left"/>
              <w:rPr>
                <w:rFonts w:ascii="Arial" w:hAnsi="Arial" w:cs="Arial"/>
                <w:sz w:val="16"/>
                <w:szCs w:val="16"/>
              </w:rPr>
            </w:pPr>
            <w:r w:rsidRPr="0040773D">
              <w:rPr>
                <w:rFonts w:ascii="Arial" w:hAnsi="Arial" w:cs="Arial"/>
                <w:sz w:val="16"/>
                <w:szCs w:val="16"/>
              </w:rPr>
              <w:t>– Lots/dwellings brought forward according</w:t>
            </w:r>
            <w:r w:rsidR="001205C8" w:rsidRPr="0040773D">
              <w:rPr>
                <w:rFonts w:ascii="Arial" w:hAnsi="Arial" w:cs="Arial"/>
                <w:sz w:val="16"/>
                <w:szCs w:val="16"/>
              </w:rPr>
              <w:t xml:space="preserve"> </w:t>
            </w:r>
            <w:r w:rsidRPr="0040773D">
              <w:rPr>
                <w:rFonts w:ascii="Arial" w:hAnsi="Arial" w:cs="Arial"/>
                <w:sz w:val="16"/>
                <w:szCs w:val="16"/>
              </w:rPr>
              <w:t>to contracts</w:t>
            </w:r>
          </w:p>
        </w:tc>
        <w:tc>
          <w:tcPr>
            <w:tcW w:w="908" w:type="dxa"/>
            <w:tcBorders>
              <w:top w:val="nil"/>
              <w:left w:val="nil"/>
              <w:bottom w:val="single" w:sz="2" w:space="0" w:color="auto"/>
              <w:right w:val="nil"/>
            </w:tcBorders>
            <w:shd w:val="clear" w:color="auto" w:fill="auto"/>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single" w:sz="2" w:space="0" w:color="auto"/>
              <w:right w:val="nil"/>
            </w:tcBorders>
            <w:shd w:val="clear" w:color="auto" w:fill="D9D9D9"/>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single" w:sz="2" w:space="0" w:color="auto"/>
              <w:right w:val="nil"/>
            </w:tcBorders>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9" w:type="dxa"/>
            <w:tcBorders>
              <w:top w:val="nil"/>
              <w:left w:val="nil"/>
              <w:bottom w:val="single" w:sz="2" w:space="0" w:color="auto"/>
              <w:right w:val="nil"/>
            </w:tcBorders>
            <w:vAlign w:val="bottom"/>
          </w:tcPr>
          <w:p w:rsidR="00A0156C" w:rsidRPr="00893575" w:rsidRDefault="00A0156C"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3,500</w:t>
            </w:r>
          </w:p>
        </w:tc>
        <w:tc>
          <w:tcPr>
            <w:tcW w:w="909" w:type="dxa"/>
            <w:tcBorders>
              <w:top w:val="nil"/>
              <w:left w:val="nil"/>
              <w:bottom w:val="single" w:sz="2" w:space="0" w:color="auto"/>
              <w:right w:val="nil"/>
            </w:tcBorders>
            <w:vAlign w:val="bottom"/>
          </w:tcPr>
          <w:p w:rsidR="00A0156C" w:rsidRPr="00893575" w:rsidRDefault="00E145E8" w:rsidP="003A485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w:t>
            </w:r>
          </w:p>
        </w:tc>
      </w:tr>
    </w:tbl>
    <w:p w:rsidR="00A0156C" w:rsidRDefault="00A0156C" w:rsidP="00A0156C"/>
    <w:p w:rsidR="007452AA" w:rsidRDefault="00A0156C" w:rsidP="00404BE4">
      <w:pPr>
        <w:pStyle w:val="Heading7"/>
      </w:pPr>
      <w:r>
        <w:br w:type="page"/>
      </w:r>
      <w:r w:rsidR="007452AA" w:rsidRPr="009A42B2">
        <w:lastRenderedPageBreak/>
        <w:t xml:space="preserve">Program </w:t>
      </w:r>
      <w:r w:rsidR="00625F50">
        <w:t xml:space="preserve">2.2 </w:t>
      </w:r>
      <w:r w:rsidR="00EC1BA1">
        <w:t>k</w:t>
      </w:r>
      <w:r w:rsidR="00EC1BA1" w:rsidRPr="009A42B2">
        <w:t xml:space="preserve">ey </w:t>
      </w:r>
      <w:r w:rsidR="00EC1BA1">
        <w:t>p</w:t>
      </w:r>
      <w:r w:rsidR="00EC1BA1" w:rsidRPr="009A42B2">
        <w:t xml:space="preserve">erformance </w:t>
      </w:r>
      <w:r w:rsidR="00EC1BA1">
        <w:t>i</w:t>
      </w:r>
      <w:r w:rsidR="00EC1BA1" w:rsidRPr="009A42B2">
        <w:t>ndicators</w:t>
      </w:r>
    </w:p>
    <w:p w:rsidR="00A0156C" w:rsidRDefault="00A0156C" w:rsidP="00A0156C">
      <w:pPr>
        <w:pStyle w:val="BulletBox"/>
      </w:pPr>
      <w:r>
        <w:t>Cumulatively deliver 35,000 affordable rental dwellings (in total) into the NRAS by 30 June 2014</w:t>
      </w:r>
    </w:p>
    <w:p w:rsidR="00A0156C" w:rsidRDefault="00A0156C" w:rsidP="00A0156C">
      <w:pPr>
        <w:pStyle w:val="BulletBox"/>
      </w:pPr>
      <w:r>
        <w:t>Cumulatively deliver 50,000 affordable rental dwellings (in total) into the NRAS by 30 June 2016</w:t>
      </w:r>
    </w:p>
    <w:p w:rsidR="00A0156C" w:rsidRDefault="00A0156C" w:rsidP="00A0156C">
      <w:pPr>
        <w:pStyle w:val="BulletBox"/>
      </w:pPr>
      <w:r>
        <w:t>Number of dwellings/lots that have been reduced in price and savings have been passed to home buyers or rentals reduced in price and savings have been passed to renters as a result of BBRC</w:t>
      </w:r>
    </w:p>
    <w:p w:rsidR="00A0156C" w:rsidRPr="00A0156C" w:rsidRDefault="00A0156C" w:rsidP="00A0156C">
      <w:pPr>
        <w:pStyle w:val="BulletBox"/>
      </w:pPr>
      <w:r>
        <w:t>Number of dwellings/lots that have been brought forward as a consequence of the BBRC program</w:t>
      </w:r>
    </w:p>
    <w:p w:rsidR="00D97B19" w:rsidRPr="00D97B19" w:rsidRDefault="00D97B19" w:rsidP="00C57D67">
      <w:pPr>
        <w:pStyle w:val="Heading4"/>
      </w:pPr>
      <w:r>
        <w:br w:type="page"/>
      </w:r>
    </w:p>
    <w:p w:rsidR="00404BE4" w:rsidRPr="00404BE4" w:rsidRDefault="00404BE4" w:rsidP="00D97B19">
      <w:pPr>
        <w:pStyle w:val="Heading4"/>
        <w:pBdr>
          <w:top w:val="single" w:sz="4" w:space="1" w:color="auto"/>
          <w:left w:val="single" w:sz="4" w:space="4" w:color="auto"/>
          <w:bottom w:val="single" w:sz="4" w:space="1" w:color="auto"/>
          <w:right w:val="single" w:sz="4" w:space="4" w:color="auto"/>
        </w:pBdr>
        <w:shd w:val="pct15" w:color="auto" w:fill="auto"/>
      </w:pPr>
      <w:r w:rsidRPr="00404BE4">
        <w:t>Outcome 3: Community Capability and the Vulnerable</w:t>
      </w:r>
    </w:p>
    <w:p w:rsidR="003608C9" w:rsidRPr="00404BE4" w:rsidRDefault="00404BE4" w:rsidP="00D97B19">
      <w:pPr>
        <w:pBdr>
          <w:top w:val="single" w:sz="4" w:space="1" w:color="auto"/>
          <w:left w:val="single" w:sz="4" w:space="4" w:color="auto"/>
          <w:bottom w:val="single" w:sz="4" w:space="1" w:color="auto"/>
          <w:right w:val="single" w:sz="4" w:space="4" w:color="auto"/>
        </w:pBdr>
        <w:shd w:val="pct15" w:color="auto" w:fill="auto"/>
        <w:rPr>
          <w:rFonts w:ascii="Arial" w:hAnsi="Arial" w:cs="Arial"/>
        </w:rPr>
      </w:pPr>
      <w:proofErr w:type="gramStart"/>
      <w:r w:rsidRPr="00404BE4">
        <w:rPr>
          <w:rFonts w:ascii="Arial" w:hAnsi="Arial" w:cs="Arial"/>
        </w:rPr>
        <w:t>Improved capacity for vulnerable people and communities to participate economically and socially and to manage life-transitions through payments, targeted support services and community capability building initiatives.</w:t>
      </w:r>
      <w:proofErr w:type="gramEnd"/>
    </w:p>
    <w:p w:rsidR="007452AA" w:rsidRDefault="007452AA" w:rsidP="00C57D67">
      <w:pPr>
        <w:pStyle w:val="Heading5"/>
      </w:pPr>
      <w:r w:rsidRPr="009A42B2">
        <w:t xml:space="preserve">Outcome 3 </w:t>
      </w:r>
      <w:r w:rsidR="00EC1BA1">
        <w:t>s</w:t>
      </w:r>
      <w:r w:rsidRPr="009A42B2">
        <w:t>trategy</w:t>
      </w:r>
    </w:p>
    <w:p w:rsidR="00C47134" w:rsidRDefault="00C47134" w:rsidP="00C47134">
      <w:r>
        <w:t>FaHCSIA funds services to help reduce the immediate impact of financial stress on vulnerable Australians and to help them build long-term financial capacity and resilience.</w:t>
      </w:r>
    </w:p>
    <w:p w:rsidR="00C47134" w:rsidRDefault="00C47134" w:rsidP="00C47134">
      <w:r>
        <w:t>Not-for-profit organisations are funded to deliver responsive and integrated services that meet local community needs, build partnerships that result in better access to information and services for vulnerable individuals and families, and support volunteers.</w:t>
      </w:r>
    </w:p>
    <w:p w:rsidR="00C47134" w:rsidRDefault="00C47134" w:rsidP="00C47134">
      <w:r>
        <w:t>Measures include providing crisis assistance</w:t>
      </w:r>
      <w:r w:rsidR="00937569">
        <w:t xml:space="preserve">; </w:t>
      </w:r>
      <w:r>
        <w:t>information and education on money management and home energy savings</w:t>
      </w:r>
      <w:r w:rsidR="00937569">
        <w:t xml:space="preserve">; </w:t>
      </w:r>
      <w:r>
        <w:t>and expert help with financial matters, including financial counselling, microfinance products, income management and payments for individuals in special circumstances.</w:t>
      </w:r>
    </w:p>
    <w:p w:rsidR="00C47134" w:rsidRDefault="00C47134" w:rsidP="00C47134">
      <w:r>
        <w:t xml:space="preserve">Among the key target groups assisted are people with low incomes, those on income management, people in financial stress and people making the transition to </w:t>
      </w:r>
      <w:proofErr w:type="gramStart"/>
      <w:r>
        <w:t>retirement.</w:t>
      </w:r>
      <w:proofErr w:type="gramEnd"/>
    </w:p>
    <w:p w:rsidR="00C47134" w:rsidRDefault="00C47134" w:rsidP="00C47134">
      <w:r>
        <w:t xml:space="preserve">Initiatives </w:t>
      </w:r>
      <w:r w:rsidR="00DC4F5A">
        <w:t xml:space="preserve">in this year’s Budget </w:t>
      </w:r>
      <w:r>
        <w:t xml:space="preserve">include </w:t>
      </w:r>
      <w:r w:rsidR="00DC4F5A">
        <w:t xml:space="preserve">extending </w:t>
      </w:r>
      <w:r>
        <w:t>the Community Development Financial Institutions pilot, which FaHCSIA will continue to manage for a further year to June 2014. This facility allows low-income Australians who are able to repay a loan</w:t>
      </w:r>
      <w:r w:rsidR="008C1CA1">
        <w:t>,</w:t>
      </w:r>
      <w:r>
        <w:t xml:space="preserve"> but are excluded from mainstream finance</w:t>
      </w:r>
      <w:r w:rsidR="008C1CA1">
        <w:t>,</w:t>
      </w:r>
      <w:r>
        <w:t xml:space="preserve"> to take out a loan to purchase essential items.</w:t>
      </w:r>
    </w:p>
    <w:p w:rsidR="00C47134" w:rsidRDefault="00C47134" w:rsidP="00C47134">
      <w:r>
        <w:t>From 2013, Special Benefit recipients under Age Pension age are among the more than one million allowance recipients who will receive the new Income Support Bonus in March and September each year.</w:t>
      </w:r>
      <w:r w:rsidR="00DC4F5A">
        <w:t xml:space="preserve"> </w:t>
      </w:r>
      <w:r>
        <w:t>Single recipients will receive a tax-free Income Support Bonus of $210, paid in two instalments of $105, and partnered recipients will receive $175, paid in two instalments of $87.50.</w:t>
      </w:r>
    </w:p>
    <w:p w:rsidR="00C47134" w:rsidRDefault="00C47134" w:rsidP="00C47134">
      <w:r>
        <w:t>Income management, which began in Western Australia in 2008 and is overseen by FaHCSIA, is being continued in this Budget in Perth</w:t>
      </w:r>
      <w:r w:rsidR="008E2D2A">
        <w:t xml:space="preserve"> and the </w:t>
      </w:r>
      <w:r>
        <w:t>Peel and Kimberley regions.</w:t>
      </w:r>
    </w:p>
    <w:p w:rsidR="00C47134" w:rsidRDefault="00C47134" w:rsidP="00C47134">
      <w:r>
        <w:t xml:space="preserve">Income management assists families </w:t>
      </w:r>
      <w:r w:rsidR="000767A4">
        <w:t xml:space="preserve">to </w:t>
      </w:r>
      <w:r>
        <w:t>take greater responsibility for their lives and particularly for their children. FaHCSIA will continue to work with the Department of Human Services to ensure that income management operates effectively.</w:t>
      </w:r>
    </w:p>
    <w:p w:rsidR="00852779" w:rsidRDefault="00852779" w:rsidP="00C47134">
      <w:r>
        <w:lastRenderedPageBreak/>
        <w:t xml:space="preserve">In 2012, Fair Work Australia made a historic </w:t>
      </w:r>
      <w:r w:rsidRPr="00852779">
        <w:t xml:space="preserve">decision to increase wages for workers employed under the Social, Community, Home </w:t>
      </w:r>
      <w:r w:rsidR="00FC3557">
        <w:t>C</w:t>
      </w:r>
      <w:r w:rsidRPr="00852779">
        <w:t>are and Disability Services (SACS) Industry Award 2010. Many SACS employees deliver government programs that assist vulnerable people and communities. For this reason, the Government retains an ongoing commitment to pay its share of the</w:t>
      </w:r>
      <w:r>
        <w:t xml:space="preserve"> Fair Work Australia decision. </w:t>
      </w:r>
      <w:r w:rsidRPr="00852779">
        <w:t xml:space="preserve">A </w:t>
      </w:r>
      <w:r w:rsidR="00FC3557">
        <w:t>s</w:t>
      </w:r>
      <w:r w:rsidRPr="00852779">
        <w:t xml:space="preserve">pecial </w:t>
      </w:r>
      <w:r w:rsidR="00FC3557">
        <w:t>a</w:t>
      </w:r>
      <w:r w:rsidRPr="00852779">
        <w:t>ccount has been created setting aside more than $2.8 billion over nine years for the sole purpose of meeting the costs associated with these pay incr</w:t>
      </w:r>
      <w:r>
        <w:t xml:space="preserve">eases. </w:t>
      </w:r>
      <w:r w:rsidRPr="00852779">
        <w:t xml:space="preserve">FaHCSIA manages the </w:t>
      </w:r>
      <w:r w:rsidR="00FC3557">
        <w:t>s</w:t>
      </w:r>
      <w:r w:rsidRPr="00852779">
        <w:t xml:space="preserve">pecial </w:t>
      </w:r>
      <w:r w:rsidR="00FC3557">
        <w:t>a</w:t>
      </w:r>
      <w:r w:rsidRPr="00852779">
        <w:t>ccount on behalf of eight affected Commonwealth agencies.</w:t>
      </w:r>
    </w:p>
    <w:p w:rsidR="00C47134" w:rsidRDefault="00C47134" w:rsidP="00D85100">
      <w:r>
        <w:t>The Government continues to pursue reforms to tackle problem gambling.</w:t>
      </w:r>
      <w:r w:rsidR="00DC4F5A">
        <w:t xml:space="preserve"> The Government’s national gambling reform legislation will </w:t>
      </w:r>
      <w:r>
        <w:t>reduce the harm caused by gaming machines to problem gamblers and those at risk of experiencing that harm, including the families and communities of problem gamblers.</w:t>
      </w:r>
    </w:p>
    <w:p w:rsidR="00C47134" w:rsidRDefault="00C47134" w:rsidP="00C47134">
      <w:r>
        <w:t xml:space="preserve">The main measures included in the </w:t>
      </w:r>
      <w:r w:rsidR="00DC4F5A">
        <w:t xml:space="preserve">legislation are </w:t>
      </w:r>
      <w:r>
        <w:t>pre</w:t>
      </w:r>
      <w:r w:rsidR="00CD58F6">
        <w:t>-</w:t>
      </w:r>
      <w:r>
        <w:t xml:space="preserve">commitment and dynamic warnings for gaming machines, and a $250 </w:t>
      </w:r>
      <w:r w:rsidR="00DC4F5A">
        <w:t xml:space="preserve">daily </w:t>
      </w:r>
      <w:r>
        <w:t xml:space="preserve">withdrawal limit for automatic teller machines located in gaming machine premises </w:t>
      </w:r>
      <w:r w:rsidR="007D52D6">
        <w:t>(</w:t>
      </w:r>
      <w:r>
        <w:t>excluding casinos</w:t>
      </w:r>
      <w:r w:rsidR="007D52D6">
        <w:t>)</w:t>
      </w:r>
      <w:r>
        <w:t>.</w:t>
      </w:r>
      <w:r w:rsidR="007F284E">
        <w:t xml:space="preserve"> </w:t>
      </w:r>
      <w:r>
        <w:t xml:space="preserve">A Commonwealth gambling regulator has been established under the </w:t>
      </w:r>
      <w:r w:rsidR="007D52D6">
        <w:rPr>
          <w:i/>
        </w:rPr>
        <w:t xml:space="preserve">National Gambling Reform </w:t>
      </w:r>
      <w:r w:rsidRPr="0040773D">
        <w:rPr>
          <w:i/>
        </w:rPr>
        <w:t>Act</w:t>
      </w:r>
      <w:r w:rsidR="007D52D6">
        <w:rPr>
          <w:i/>
        </w:rPr>
        <w:t xml:space="preserve"> 2012</w:t>
      </w:r>
      <w:r>
        <w:t xml:space="preserve"> to perform a range of regulatory functions</w:t>
      </w:r>
      <w:r w:rsidR="007F284E">
        <w:t xml:space="preserve">, with funding allocated in this </w:t>
      </w:r>
      <w:r w:rsidR="007D52D6">
        <w:t>Budget</w:t>
      </w:r>
      <w:r>
        <w:t>.</w:t>
      </w:r>
    </w:p>
    <w:p w:rsidR="00A82303" w:rsidRPr="001C73A9" w:rsidRDefault="0035025C" w:rsidP="00C57D67">
      <w:pPr>
        <w:pStyle w:val="Heading5"/>
      </w:pPr>
      <w:r>
        <w:br w:type="page"/>
      </w:r>
      <w:r w:rsidR="00A82303" w:rsidRPr="001C73A9">
        <w:lastRenderedPageBreak/>
        <w:t xml:space="preserve">Outcome </w:t>
      </w:r>
      <w:r w:rsidR="00DB3B87" w:rsidRPr="001C73A9">
        <w:t>expense statement</w:t>
      </w:r>
    </w:p>
    <w:p w:rsidR="00A82303" w:rsidRDefault="00A82303" w:rsidP="00A82303">
      <w:r w:rsidRPr="00A82303">
        <w:t>Table</w:t>
      </w:r>
      <w:r>
        <w:t xml:space="preserve"> 2.3 provides an overview for the total expenses for Outcome 3, by program.</w:t>
      </w:r>
    </w:p>
    <w:p w:rsidR="007452AA" w:rsidRDefault="0062778F" w:rsidP="0062778F">
      <w:pPr>
        <w:pStyle w:val="TableHeading"/>
      </w:pPr>
      <w:r w:rsidRPr="0062778F">
        <w:t>Table 2.3</w:t>
      </w:r>
      <w:r w:rsidR="007452AA" w:rsidRPr="0062778F">
        <w:t>:</w:t>
      </w:r>
      <w:r w:rsidR="003C0FAF" w:rsidRPr="0062778F">
        <w:t xml:space="preserve"> </w:t>
      </w:r>
      <w:r w:rsidR="007452AA" w:rsidRPr="0062778F">
        <w:t xml:space="preserve">Budgeted </w:t>
      </w:r>
      <w:r w:rsidR="00DB3B87">
        <w:t>e</w:t>
      </w:r>
      <w:r w:rsidR="007452AA" w:rsidRPr="0062778F">
        <w:t>xpenses for Outcome 3</w:t>
      </w:r>
    </w:p>
    <w:p w:rsidR="00AC615A" w:rsidRPr="00AC615A" w:rsidRDefault="007B4BBD" w:rsidP="00AC615A">
      <w:pPr>
        <w:pStyle w:val="TableGraphic"/>
      </w:pPr>
      <w:r>
        <w:rPr>
          <w:noProof/>
        </w:rPr>
        <w:drawing>
          <wp:inline distT="0" distB="0" distL="0" distR="0" wp14:anchorId="1E2605E0" wp14:editId="33BC1ADF">
            <wp:extent cx="4878705" cy="5173520"/>
            <wp:effectExtent l="0" t="0" r="0" b="8255"/>
            <wp:docPr id="149" name="Picture 149" descr="Table 2.3: Budgeted expenses for Outcom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78705" cy="5173520"/>
                    </a:xfrm>
                    <a:prstGeom prst="rect">
                      <a:avLst/>
                    </a:prstGeom>
                    <a:noFill/>
                    <a:ln>
                      <a:noFill/>
                    </a:ln>
                  </pic:spPr>
                </pic:pic>
              </a:graphicData>
            </a:graphic>
          </wp:inline>
        </w:drawing>
      </w:r>
    </w:p>
    <w:p w:rsidR="00E869E5" w:rsidRDefault="00E869E5" w:rsidP="00C5331F">
      <w:pPr>
        <w:pStyle w:val="TableHeading"/>
      </w:pPr>
      <w:r>
        <w:br w:type="page"/>
      </w:r>
      <w:r w:rsidR="009B64C9">
        <w:lastRenderedPageBreak/>
        <w:t>Table 2.</w:t>
      </w:r>
      <w:r w:rsidRPr="009A42B2">
        <w:t>3</w:t>
      </w:r>
      <w:r>
        <w:t xml:space="preserve">: </w:t>
      </w:r>
      <w:r w:rsidRPr="009A42B2">
        <w:t xml:space="preserve">Budgeted </w:t>
      </w:r>
      <w:r w:rsidR="00DB3B87">
        <w:t>e</w:t>
      </w:r>
      <w:r w:rsidRPr="009A42B2">
        <w:t>xpenses for Outcome 3</w:t>
      </w:r>
      <w:r>
        <w:t xml:space="preserve"> (continued)</w:t>
      </w:r>
    </w:p>
    <w:p w:rsidR="00E83D56" w:rsidRPr="00E83D56" w:rsidRDefault="007B4BBD" w:rsidP="00E83D56">
      <w:pPr>
        <w:pStyle w:val="TableGraphic"/>
      </w:pPr>
      <w:r>
        <w:rPr>
          <w:noProof/>
        </w:rPr>
        <w:drawing>
          <wp:inline distT="0" distB="0" distL="0" distR="0" wp14:anchorId="525FB534" wp14:editId="3CB75DB6">
            <wp:extent cx="4878705" cy="5668047"/>
            <wp:effectExtent l="0" t="0" r="0" b="8890"/>
            <wp:docPr id="150" name="Picture 150" descr="Table 2.3: Budgeted expenses for Outcome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78705" cy="5668047"/>
                    </a:xfrm>
                    <a:prstGeom prst="rect">
                      <a:avLst/>
                    </a:prstGeom>
                    <a:noFill/>
                    <a:ln>
                      <a:noFill/>
                    </a:ln>
                  </pic:spPr>
                </pic:pic>
              </a:graphicData>
            </a:graphic>
          </wp:inline>
        </w:drawing>
      </w:r>
    </w:p>
    <w:p w:rsidR="007452AA" w:rsidRDefault="007452AA" w:rsidP="00C57D67">
      <w:pPr>
        <w:pStyle w:val="Heading5"/>
      </w:pPr>
      <w:r w:rsidRPr="00B06D93">
        <w:rPr>
          <w:highlight w:val="yellow"/>
        </w:rPr>
        <w:br w:type="page"/>
      </w:r>
      <w:r w:rsidR="006935BA">
        <w:lastRenderedPageBreak/>
        <w:t>Contributions to Outcome 3: Community Capability and the Vulnerable</w:t>
      </w:r>
    </w:p>
    <w:p w:rsidR="006935BA" w:rsidRPr="006935BA" w:rsidRDefault="006935BA" w:rsidP="00C57D67">
      <w:pPr>
        <w:pStyle w:val="Heading6"/>
      </w:pPr>
      <w:r w:rsidRPr="006935BA">
        <w:t>Program 3.1: Financial Management</w:t>
      </w:r>
    </w:p>
    <w:p w:rsidR="006935BA" w:rsidRDefault="006935BA" w:rsidP="004B6449">
      <w:pPr>
        <w:pStyle w:val="SinglePara"/>
        <w:rPr>
          <w:lang w:val="en-GB"/>
        </w:rPr>
      </w:pPr>
    </w:p>
    <w:p w:rsidR="006935BA" w:rsidRDefault="006935BA" w:rsidP="00C57D67">
      <w:pPr>
        <w:pStyle w:val="Heading7"/>
      </w:pPr>
      <w:r>
        <w:t xml:space="preserve">Program 3.1 </w:t>
      </w:r>
      <w:r w:rsidR="00861D5C">
        <w:t>ob</w:t>
      </w:r>
      <w:r>
        <w:t>jective</w:t>
      </w:r>
    </w:p>
    <w:p w:rsidR="006935BA" w:rsidRDefault="00C6622C" w:rsidP="006935BA">
      <w:pPr>
        <w:pStyle w:val="NormalBox"/>
      </w:pPr>
      <w:proofErr w:type="gramStart"/>
      <w:r>
        <w:t>To improve the financial knowledge, skills, capabilities and financial resilience of vulnerable individuals and families</w:t>
      </w:r>
      <w:r w:rsidR="0035025C">
        <w:t xml:space="preserve"> and </w:t>
      </w:r>
      <w:r>
        <w:t xml:space="preserve">alleviate the immediate impact of financial </w:t>
      </w:r>
      <w:r w:rsidR="007B56E0">
        <w:t>stress, and to progress initiatives in relation to problem gambling.</w:t>
      </w:r>
      <w:proofErr w:type="gramEnd"/>
    </w:p>
    <w:p w:rsidR="00BC03DE" w:rsidRDefault="00BC03DE" w:rsidP="00C57D67">
      <w:pPr>
        <w:pStyle w:val="Heading7"/>
      </w:pPr>
      <w:r>
        <w:t xml:space="preserve">Program </w:t>
      </w:r>
      <w:r w:rsidR="00861D5C" w:rsidRPr="00A67520">
        <w:t>component</w:t>
      </w:r>
      <w:r w:rsidR="00861D5C">
        <w:t xml:space="preserve"> objectives</w:t>
      </w:r>
    </w:p>
    <w:p w:rsidR="00BC03DE" w:rsidRDefault="00BC03DE" w:rsidP="00C57D67">
      <w:pPr>
        <w:pStyle w:val="Heading8"/>
      </w:pPr>
      <w:r>
        <w:t>Financial Management Information and Assistance</w:t>
      </w:r>
    </w:p>
    <w:p w:rsidR="00BC03DE" w:rsidRDefault="00BC03DE" w:rsidP="00BC03DE">
      <w:pPr>
        <w:pStyle w:val="NormalBox"/>
      </w:pPr>
      <w:r>
        <w:t>The Financial Management Program aims to build financial resilience and wellbeing for vulnerable people and those most a</w:t>
      </w:r>
      <w:r w:rsidR="0035149F">
        <w:t>t</w:t>
      </w:r>
      <w:r>
        <w:t xml:space="preserve"> risk of financial and social exclusion and disadvantage.</w:t>
      </w:r>
    </w:p>
    <w:p w:rsidR="00BC03DE" w:rsidRDefault="00BC03DE" w:rsidP="00BC03DE">
      <w:pPr>
        <w:pStyle w:val="NormalBox"/>
      </w:pPr>
      <w:r>
        <w:t xml:space="preserve">The services included under the program provide crisis support, budgeting and financial counselling, financial education, access to financial </w:t>
      </w:r>
      <w:r w:rsidR="00254B87">
        <w:t xml:space="preserve">services </w:t>
      </w:r>
      <w:r>
        <w:t xml:space="preserve">and products, assistance with energy efficiency, and </w:t>
      </w:r>
      <w:r w:rsidR="0035025C">
        <w:t xml:space="preserve">the implementation of </w:t>
      </w:r>
      <w:r>
        <w:t xml:space="preserve">the reforms </w:t>
      </w:r>
      <w:r w:rsidR="0035025C">
        <w:t>to</w:t>
      </w:r>
      <w:r>
        <w:t xml:space="preserve"> tackl</w:t>
      </w:r>
      <w:r w:rsidR="0035025C">
        <w:t>e</w:t>
      </w:r>
      <w:r>
        <w:t xml:space="preserve"> problem gambling.</w:t>
      </w:r>
    </w:p>
    <w:p w:rsidR="00BC03DE" w:rsidRDefault="00BC03DE" w:rsidP="00C57D67">
      <w:pPr>
        <w:pStyle w:val="Heading8"/>
      </w:pPr>
      <w:r>
        <w:t xml:space="preserve">Income Management </w:t>
      </w:r>
    </w:p>
    <w:p w:rsidR="00BC03DE" w:rsidRDefault="00BC03DE" w:rsidP="00BC03DE">
      <w:pPr>
        <w:pStyle w:val="NormalBox"/>
        <w:pBdr>
          <w:between w:val="single" w:sz="2" w:space="3" w:color="auto"/>
        </w:pBdr>
      </w:pPr>
      <w:r>
        <w:t>To help people have money available for life’s essentials such as food, rent and clothing and limit the expenditure of income support payments on excluded items, including alcohol and tobacco products, pornography and gambling activities.</w:t>
      </w:r>
    </w:p>
    <w:p w:rsidR="00BC03DE" w:rsidRDefault="00BC03DE" w:rsidP="00BC03DE">
      <w:pPr>
        <w:pStyle w:val="NormalBox"/>
      </w:pPr>
      <w:proofErr w:type="gramStart"/>
      <w:r>
        <w:t>Linked to: DHS manages the service delivery for income management.</w:t>
      </w:r>
      <w:proofErr w:type="gramEnd"/>
      <w:r>
        <w:t xml:space="preserve"> For </w:t>
      </w:r>
      <w:r w:rsidR="0009488C">
        <w:t xml:space="preserve">more </w:t>
      </w:r>
      <w:r>
        <w:t xml:space="preserve">information refer to DHS’s </w:t>
      </w:r>
      <w:r w:rsidR="003D1E6A">
        <w:t>2013–14</w:t>
      </w:r>
      <w:r>
        <w:t xml:space="preserve"> </w:t>
      </w:r>
      <w:r w:rsidR="003549DF">
        <w:t>P</w:t>
      </w:r>
      <w:r>
        <w:t>B Statements.</w:t>
      </w:r>
      <w:r w:rsidRPr="00BC03DE">
        <w:t xml:space="preserve"> </w:t>
      </w:r>
    </w:p>
    <w:p w:rsidR="00BC03DE" w:rsidRPr="00BC03DE" w:rsidRDefault="003F12EB" w:rsidP="00BC03DE">
      <w:pPr>
        <w:pStyle w:val="NormalBox"/>
      </w:pPr>
      <w:r>
        <w:t xml:space="preserve">Also linked to: </w:t>
      </w:r>
      <w:r w:rsidR="00BC03DE">
        <w:t>Program 7.5: Stronger Futures in the Northern Territory.</w:t>
      </w:r>
    </w:p>
    <w:p w:rsidR="004B6449" w:rsidRDefault="004B6449" w:rsidP="004B6449"/>
    <w:p w:rsidR="00430416" w:rsidRDefault="004B6449" w:rsidP="00C57D67">
      <w:pPr>
        <w:pStyle w:val="Heading7"/>
      </w:pPr>
      <w:r>
        <w:br w:type="page"/>
      </w:r>
      <w:r w:rsidR="00430416">
        <w:lastRenderedPageBreak/>
        <w:t xml:space="preserve">Program 3.1 </w:t>
      </w:r>
      <w:r w:rsidR="00861D5C">
        <w:t>e</w:t>
      </w:r>
      <w:r w:rsidR="00430416">
        <w:t>xpenses</w:t>
      </w:r>
    </w:p>
    <w:p w:rsidR="00906BA2" w:rsidRPr="00906BA2" w:rsidRDefault="00906BA2" w:rsidP="00906BA2">
      <w:pPr>
        <w:pStyle w:val="NormalBox"/>
      </w:pPr>
      <w:r w:rsidRPr="00906BA2">
        <w:t>The change in program expenses across the forward years reflects projected changes in indexation parameters and the impact of policy initiatives.</w:t>
      </w:r>
    </w:p>
    <w:p w:rsidR="007452AA" w:rsidRDefault="00C612FC" w:rsidP="00660127">
      <w:pPr>
        <w:pStyle w:val="TableHeading"/>
        <w:rPr>
          <w:lang w:val="en-GB"/>
        </w:rPr>
      </w:pPr>
      <w:r>
        <w:rPr>
          <w:lang w:val="en-GB"/>
        </w:rPr>
        <w:t>Table 2.</w:t>
      </w:r>
      <w:r w:rsidR="007452AA">
        <w:rPr>
          <w:lang w:val="en-GB"/>
        </w:rPr>
        <w:t xml:space="preserve">3.1: </w:t>
      </w:r>
      <w:r w:rsidR="008B3B42">
        <w:rPr>
          <w:lang w:val="en-GB"/>
        </w:rPr>
        <w:t xml:space="preserve">Budgeted </w:t>
      </w:r>
      <w:r w:rsidR="00861D5C">
        <w:rPr>
          <w:lang w:val="en-GB"/>
        </w:rPr>
        <w:t>e</w:t>
      </w:r>
      <w:r w:rsidR="00625F50">
        <w:rPr>
          <w:lang w:val="en-GB"/>
        </w:rPr>
        <w:t xml:space="preserve">xpenses </w:t>
      </w:r>
      <w:r w:rsidR="008B3B42">
        <w:rPr>
          <w:lang w:val="en-GB"/>
        </w:rPr>
        <w:t>for Financial Management</w:t>
      </w:r>
    </w:p>
    <w:p w:rsidR="00AC615A" w:rsidRPr="00AC615A" w:rsidRDefault="0066368D" w:rsidP="00AC615A">
      <w:pPr>
        <w:pStyle w:val="TableGraphic"/>
        <w:rPr>
          <w:lang w:val="en-GB"/>
        </w:rPr>
      </w:pPr>
      <w:r>
        <w:rPr>
          <w:noProof/>
        </w:rPr>
        <w:drawing>
          <wp:inline distT="0" distB="0" distL="0" distR="0" wp14:anchorId="6192F671" wp14:editId="5E053965">
            <wp:extent cx="4878000" cy="3690000"/>
            <wp:effectExtent l="0" t="0" r="0" b="5715"/>
            <wp:docPr id="308" name="Picture 308" descr="Table 2.3.1: Budgeted expenses for Financi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78000" cy="3690000"/>
                    </a:xfrm>
                    <a:prstGeom prst="rect">
                      <a:avLst/>
                    </a:prstGeom>
                    <a:noFill/>
                    <a:ln>
                      <a:noFill/>
                    </a:ln>
                  </pic:spPr>
                </pic:pic>
              </a:graphicData>
            </a:graphic>
          </wp:inline>
        </w:drawing>
      </w:r>
    </w:p>
    <w:p w:rsidR="002A0936" w:rsidRPr="004B6449" w:rsidRDefault="002A0936" w:rsidP="00AC615A">
      <w:pPr>
        <w:pStyle w:val="SinglePara"/>
      </w:pPr>
    </w:p>
    <w:p w:rsidR="007452AA" w:rsidRDefault="007452AA" w:rsidP="00C57D67">
      <w:pPr>
        <w:pStyle w:val="Heading7"/>
      </w:pPr>
      <w:r w:rsidRPr="009A42B2">
        <w:t xml:space="preserve">Program </w:t>
      </w:r>
      <w:r w:rsidR="00625F50">
        <w:t xml:space="preserve">3.1 </w:t>
      </w:r>
      <w:r w:rsidR="00861D5C">
        <w:t>d</w:t>
      </w:r>
      <w:r w:rsidR="00625F50" w:rsidRPr="009A42B2">
        <w:t>eliverables</w:t>
      </w:r>
    </w:p>
    <w:p w:rsidR="00430416" w:rsidRPr="002D73FA" w:rsidRDefault="00430416" w:rsidP="00C57D67">
      <w:pPr>
        <w:pStyle w:val="Heading8"/>
      </w:pPr>
      <w:r w:rsidRPr="002D73FA">
        <w:t>Financial Management Information and Assistance</w:t>
      </w:r>
    </w:p>
    <w:p w:rsidR="00430416" w:rsidRDefault="00430416" w:rsidP="00430416">
      <w:pPr>
        <w:pStyle w:val="BulletBox"/>
      </w:pPr>
      <w:r>
        <w:t>Number of clients assisted through the Financial Management Program</w:t>
      </w:r>
    </w:p>
    <w:p w:rsidR="00430416" w:rsidRPr="002D73FA" w:rsidRDefault="00430416" w:rsidP="00C57D67">
      <w:pPr>
        <w:pStyle w:val="Heading8"/>
      </w:pPr>
      <w:r w:rsidRPr="002D73FA">
        <w:t>Income Management</w:t>
      </w:r>
    </w:p>
    <w:p w:rsidR="00430416" w:rsidRPr="00430416" w:rsidRDefault="00430416" w:rsidP="00430416">
      <w:pPr>
        <w:pStyle w:val="BulletBox"/>
      </w:pPr>
      <w:r>
        <w:t>Number of people on Income Management by measure</w:t>
      </w:r>
    </w:p>
    <w:p w:rsidR="00430416" w:rsidRDefault="00430416" w:rsidP="004B6449"/>
    <w:p w:rsidR="007452AA" w:rsidRDefault="004B6449" w:rsidP="00C57D67">
      <w:pPr>
        <w:pStyle w:val="Heading7"/>
      </w:pPr>
      <w:r>
        <w:br w:type="page"/>
      </w:r>
      <w:r w:rsidR="007452AA" w:rsidRPr="009A42B2">
        <w:lastRenderedPageBreak/>
        <w:t xml:space="preserve">Program </w:t>
      </w:r>
      <w:r w:rsidR="00625F50">
        <w:t xml:space="preserve">3.1 </w:t>
      </w:r>
      <w:r w:rsidR="008067C9">
        <w:t>k</w:t>
      </w:r>
      <w:r w:rsidR="008067C9" w:rsidRPr="009A42B2">
        <w:t xml:space="preserve">ey </w:t>
      </w:r>
      <w:r w:rsidR="008067C9">
        <w:t>p</w:t>
      </w:r>
      <w:r w:rsidR="008067C9" w:rsidRPr="009A42B2">
        <w:t xml:space="preserve">erformance </w:t>
      </w:r>
      <w:r w:rsidR="008067C9">
        <w:t>i</w:t>
      </w:r>
      <w:r w:rsidR="008067C9" w:rsidRPr="009A42B2">
        <w:t>ndicators</w:t>
      </w:r>
    </w:p>
    <w:p w:rsidR="00430416" w:rsidRPr="002D73FA" w:rsidRDefault="00430416" w:rsidP="00C57D67">
      <w:pPr>
        <w:pStyle w:val="Heading8"/>
      </w:pPr>
      <w:r w:rsidRPr="002D73FA">
        <w:t>Financial Management Information and Assistance</w:t>
      </w:r>
    </w:p>
    <w:p w:rsidR="00430416" w:rsidRDefault="00430416" w:rsidP="00430416">
      <w:pPr>
        <w:pStyle w:val="BulletBox"/>
      </w:pPr>
      <w:r>
        <w:t>Percentage and number of clients that have their immediate crisis needs met</w:t>
      </w:r>
    </w:p>
    <w:p w:rsidR="00430416" w:rsidRDefault="00430416" w:rsidP="00430416">
      <w:pPr>
        <w:pStyle w:val="BulletBox"/>
      </w:pPr>
      <w:r w:rsidRPr="00430416">
        <w:t xml:space="preserve">Percentage and number of clients </w:t>
      </w:r>
      <w:r w:rsidR="0035149F">
        <w:t>with increased money management knowledge and skills</w:t>
      </w:r>
    </w:p>
    <w:p w:rsidR="00430416" w:rsidRDefault="00430416" w:rsidP="00430416">
      <w:pPr>
        <w:pStyle w:val="BulletBox"/>
      </w:pPr>
      <w:r>
        <w:t>Percentage and number of clients adhering to agreed financial management strategies to manage life transitions</w:t>
      </w:r>
    </w:p>
    <w:p w:rsidR="00430416" w:rsidRPr="002D73FA" w:rsidRDefault="00D151ED" w:rsidP="00C57D67">
      <w:pPr>
        <w:pStyle w:val="Heading8"/>
      </w:pPr>
      <w:r w:rsidRPr="002D73FA">
        <w:t>Income Management</w:t>
      </w:r>
    </w:p>
    <w:p w:rsidR="00D151ED" w:rsidRPr="00D151ED" w:rsidRDefault="00D151ED" w:rsidP="00D151ED">
      <w:pPr>
        <w:pStyle w:val="BulletBox"/>
      </w:pPr>
      <w:r>
        <w:t>Amount and percentage of income-managed funds spent on priority needs</w:t>
      </w:r>
      <w:r w:rsidR="00FD4B30">
        <w:rPr>
          <w:rStyle w:val="FootnoteReference"/>
        </w:rPr>
        <w:footnoteReference w:id="11"/>
      </w:r>
    </w:p>
    <w:p w:rsidR="00D151ED" w:rsidRPr="008E70E2" w:rsidRDefault="008E70E2" w:rsidP="008E70E2">
      <w:pPr>
        <w:pStyle w:val="TableHeading"/>
      </w:pPr>
      <w:r w:rsidRPr="008E70E2">
        <w:t>F</w:t>
      </w:r>
      <w:r>
        <w:t xml:space="preserve">inancial Management </w:t>
      </w:r>
      <w:r w:rsidR="008067C9">
        <w:t>key performance indicators</w:t>
      </w:r>
    </w:p>
    <w:tbl>
      <w:tblPr>
        <w:tblW w:w="7649" w:type="dxa"/>
        <w:tblInd w:w="40" w:type="dxa"/>
        <w:tblLayout w:type="fixed"/>
        <w:tblCellMar>
          <w:top w:w="17" w:type="dxa"/>
          <w:left w:w="28" w:type="dxa"/>
          <w:bottom w:w="17" w:type="dxa"/>
          <w:right w:w="28" w:type="dxa"/>
        </w:tblCellMar>
        <w:tblLook w:val="00A0" w:firstRow="1" w:lastRow="0" w:firstColumn="1" w:lastColumn="0" w:noHBand="0" w:noVBand="0"/>
        <w:tblDescription w:val="Financial Management key performance indicators"/>
      </w:tblPr>
      <w:tblGrid>
        <w:gridCol w:w="2958"/>
        <w:gridCol w:w="937"/>
        <w:gridCol w:w="938"/>
        <w:gridCol w:w="939"/>
        <w:gridCol w:w="938"/>
        <w:gridCol w:w="939"/>
      </w:tblGrid>
      <w:tr w:rsidR="00D151ED" w:rsidRPr="00D151ED" w:rsidTr="007E081D">
        <w:trPr>
          <w:trHeight w:val="231"/>
          <w:tblHeader/>
        </w:trPr>
        <w:tc>
          <w:tcPr>
            <w:tcW w:w="2958" w:type="dxa"/>
            <w:tcBorders>
              <w:top w:val="single" w:sz="4" w:space="0" w:color="auto"/>
              <w:left w:val="nil"/>
              <w:bottom w:val="single" w:sz="4" w:space="0" w:color="auto"/>
              <w:right w:val="nil"/>
            </w:tcBorders>
          </w:tcPr>
          <w:p w:rsidR="00D151ED" w:rsidRPr="00D151ED" w:rsidRDefault="00D151ED" w:rsidP="00D151ED">
            <w:pPr>
              <w:spacing w:before="60" w:after="60" w:line="240" w:lineRule="auto"/>
              <w:rPr>
                <w:rFonts w:ascii="Arial" w:hAnsi="Arial" w:cs="Arial"/>
                <w:b/>
                <w:bCs/>
                <w:sz w:val="16"/>
                <w:szCs w:val="16"/>
              </w:rPr>
            </w:pPr>
          </w:p>
        </w:tc>
        <w:tc>
          <w:tcPr>
            <w:tcW w:w="937" w:type="dxa"/>
            <w:tcBorders>
              <w:top w:val="single" w:sz="4" w:space="0" w:color="auto"/>
              <w:left w:val="nil"/>
              <w:bottom w:val="single" w:sz="4" w:space="0" w:color="auto"/>
              <w:right w:val="nil"/>
            </w:tcBorders>
            <w:shd w:val="clear" w:color="000000" w:fill="FFFFFF"/>
            <w:noWrap/>
          </w:tcPr>
          <w:p w:rsidR="00D151ED" w:rsidRPr="00D151ED" w:rsidRDefault="00D151ED" w:rsidP="000C048F">
            <w:pPr>
              <w:spacing w:before="60" w:after="60" w:line="240" w:lineRule="auto"/>
              <w:jc w:val="right"/>
              <w:rPr>
                <w:rFonts w:ascii="Arial" w:hAnsi="Arial" w:cs="Arial"/>
                <w:sz w:val="16"/>
                <w:szCs w:val="16"/>
              </w:rPr>
            </w:pPr>
            <w:r w:rsidRPr="00D151ED">
              <w:rPr>
                <w:rFonts w:ascii="Arial" w:hAnsi="Arial" w:cs="Arial"/>
                <w:sz w:val="16"/>
                <w:szCs w:val="16"/>
              </w:rPr>
              <w:t>201</w:t>
            </w:r>
            <w:r w:rsidR="008E70E2">
              <w:rPr>
                <w:rFonts w:ascii="Arial" w:hAnsi="Arial" w:cs="Arial"/>
                <w:sz w:val="16"/>
                <w:szCs w:val="16"/>
              </w:rPr>
              <w:t>2</w:t>
            </w:r>
            <w:r w:rsidR="000C048F">
              <w:rPr>
                <w:rFonts w:ascii="Arial" w:hAnsi="Arial" w:cs="Arial"/>
                <w:sz w:val="16"/>
                <w:szCs w:val="16"/>
              </w:rPr>
              <w:t>–</w:t>
            </w:r>
            <w:r w:rsidR="008E70E2">
              <w:rPr>
                <w:rFonts w:ascii="Arial" w:hAnsi="Arial" w:cs="Arial"/>
                <w:sz w:val="16"/>
                <w:szCs w:val="16"/>
              </w:rPr>
              <w:t>13</w:t>
            </w:r>
            <w:r w:rsidRPr="00D151ED">
              <w:rPr>
                <w:rFonts w:ascii="Arial" w:hAnsi="Arial" w:cs="Arial"/>
                <w:sz w:val="16"/>
                <w:szCs w:val="16"/>
              </w:rPr>
              <w:t xml:space="preserve"> Revised </w:t>
            </w:r>
            <w:r w:rsidR="00437D29">
              <w:rPr>
                <w:rFonts w:ascii="Arial" w:hAnsi="Arial" w:cs="Arial"/>
                <w:sz w:val="16"/>
                <w:szCs w:val="16"/>
              </w:rPr>
              <w:t>b</w:t>
            </w:r>
            <w:r w:rsidRPr="00D151ED">
              <w:rPr>
                <w:rFonts w:ascii="Arial" w:hAnsi="Arial" w:cs="Arial"/>
                <w:sz w:val="16"/>
                <w:szCs w:val="16"/>
              </w:rPr>
              <w:t>udget</w:t>
            </w:r>
          </w:p>
        </w:tc>
        <w:tc>
          <w:tcPr>
            <w:tcW w:w="938" w:type="dxa"/>
            <w:tcBorders>
              <w:top w:val="single" w:sz="4" w:space="0" w:color="auto"/>
              <w:left w:val="nil"/>
              <w:bottom w:val="single" w:sz="4" w:space="0" w:color="auto"/>
              <w:right w:val="nil"/>
            </w:tcBorders>
            <w:shd w:val="clear" w:color="000000" w:fill="E6E6E6"/>
            <w:noWrap/>
            <w:vAlign w:val="bottom"/>
          </w:tcPr>
          <w:p w:rsidR="00D151ED" w:rsidRPr="00D151ED" w:rsidRDefault="00D151ED" w:rsidP="000C048F">
            <w:pPr>
              <w:spacing w:before="60" w:after="60" w:line="240" w:lineRule="auto"/>
              <w:jc w:val="right"/>
              <w:rPr>
                <w:rFonts w:ascii="Arial" w:hAnsi="Arial" w:cs="Arial"/>
                <w:sz w:val="16"/>
                <w:szCs w:val="16"/>
              </w:rPr>
            </w:pPr>
            <w:r w:rsidRPr="00D151ED">
              <w:rPr>
                <w:rFonts w:ascii="Arial" w:hAnsi="Arial" w:cs="Arial"/>
                <w:sz w:val="16"/>
                <w:szCs w:val="16"/>
              </w:rPr>
              <w:t>2013</w:t>
            </w:r>
            <w:r w:rsidR="000C048F">
              <w:rPr>
                <w:rFonts w:ascii="Arial" w:hAnsi="Arial" w:cs="Arial"/>
                <w:sz w:val="16"/>
                <w:szCs w:val="16"/>
              </w:rPr>
              <w:t>–</w:t>
            </w:r>
            <w:r w:rsidR="008E70E2">
              <w:rPr>
                <w:rFonts w:ascii="Arial" w:hAnsi="Arial" w:cs="Arial"/>
                <w:sz w:val="16"/>
                <w:szCs w:val="16"/>
              </w:rPr>
              <w:t>14</w:t>
            </w:r>
            <w:r w:rsidRPr="00D151ED">
              <w:rPr>
                <w:rFonts w:ascii="Arial" w:hAnsi="Arial" w:cs="Arial"/>
                <w:sz w:val="16"/>
                <w:szCs w:val="16"/>
              </w:rPr>
              <w:t xml:space="preserve"> Budget </w:t>
            </w:r>
            <w:r w:rsidR="00003143">
              <w:rPr>
                <w:rFonts w:ascii="Arial" w:hAnsi="Arial" w:cs="Arial"/>
                <w:sz w:val="16"/>
                <w:szCs w:val="16"/>
              </w:rPr>
              <w:br/>
            </w:r>
          </w:p>
        </w:tc>
        <w:tc>
          <w:tcPr>
            <w:tcW w:w="939" w:type="dxa"/>
            <w:tcBorders>
              <w:top w:val="single" w:sz="4" w:space="0" w:color="auto"/>
              <w:left w:val="nil"/>
              <w:bottom w:val="single" w:sz="4" w:space="0" w:color="auto"/>
              <w:right w:val="nil"/>
            </w:tcBorders>
            <w:shd w:val="clear" w:color="000000" w:fill="FFFFFF"/>
            <w:noWrap/>
            <w:vAlign w:val="bottom"/>
          </w:tcPr>
          <w:p w:rsidR="00D151ED" w:rsidRPr="00D151ED" w:rsidRDefault="00D151ED" w:rsidP="000C048F">
            <w:pPr>
              <w:spacing w:before="60" w:after="60" w:line="240" w:lineRule="auto"/>
              <w:jc w:val="right"/>
              <w:rPr>
                <w:rFonts w:ascii="Arial" w:hAnsi="Arial" w:cs="Arial"/>
                <w:sz w:val="16"/>
                <w:szCs w:val="16"/>
              </w:rPr>
            </w:pPr>
            <w:r w:rsidRPr="00D151ED">
              <w:rPr>
                <w:rFonts w:ascii="Arial" w:hAnsi="Arial" w:cs="Arial"/>
                <w:sz w:val="16"/>
                <w:szCs w:val="16"/>
              </w:rPr>
              <w:t>2014</w:t>
            </w:r>
            <w:r w:rsidR="000C048F">
              <w:rPr>
                <w:rFonts w:ascii="Arial" w:hAnsi="Arial" w:cs="Arial"/>
                <w:sz w:val="16"/>
                <w:szCs w:val="16"/>
              </w:rPr>
              <w:t>–</w:t>
            </w:r>
            <w:r w:rsidR="008E70E2">
              <w:rPr>
                <w:rFonts w:ascii="Arial" w:hAnsi="Arial" w:cs="Arial"/>
                <w:sz w:val="16"/>
                <w:szCs w:val="16"/>
              </w:rPr>
              <w:t>15</w:t>
            </w:r>
            <w:r w:rsidRPr="00D151ED">
              <w:rPr>
                <w:rFonts w:ascii="Arial" w:hAnsi="Arial" w:cs="Arial"/>
                <w:sz w:val="16"/>
                <w:szCs w:val="16"/>
              </w:rPr>
              <w:t xml:space="preserve"> Forward year 1</w:t>
            </w:r>
          </w:p>
        </w:tc>
        <w:tc>
          <w:tcPr>
            <w:tcW w:w="938" w:type="dxa"/>
            <w:tcBorders>
              <w:top w:val="single" w:sz="4" w:space="0" w:color="auto"/>
              <w:left w:val="nil"/>
              <w:bottom w:val="single" w:sz="4" w:space="0" w:color="auto"/>
              <w:right w:val="nil"/>
            </w:tcBorders>
            <w:shd w:val="clear" w:color="000000" w:fill="FFFFFF"/>
            <w:noWrap/>
            <w:vAlign w:val="bottom"/>
          </w:tcPr>
          <w:p w:rsidR="00D151ED" w:rsidRPr="00D151ED" w:rsidRDefault="00D151ED" w:rsidP="000C048F">
            <w:pPr>
              <w:spacing w:before="60" w:after="60" w:line="240" w:lineRule="auto"/>
              <w:jc w:val="right"/>
              <w:rPr>
                <w:rFonts w:ascii="Arial" w:hAnsi="Arial" w:cs="Arial"/>
                <w:sz w:val="16"/>
                <w:szCs w:val="16"/>
              </w:rPr>
            </w:pPr>
            <w:r w:rsidRPr="00D151ED">
              <w:rPr>
                <w:rFonts w:ascii="Arial" w:hAnsi="Arial" w:cs="Arial"/>
                <w:sz w:val="16"/>
                <w:szCs w:val="16"/>
              </w:rPr>
              <w:t>2015</w:t>
            </w:r>
            <w:r w:rsidR="000C048F">
              <w:rPr>
                <w:rFonts w:ascii="Arial" w:hAnsi="Arial" w:cs="Arial"/>
                <w:sz w:val="16"/>
                <w:szCs w:val="16"/>
              </w:rPr>
              <w:t>–</w:t>
            </w:r>
            <w:r w:rsidR="00CA5510">
              <w:rPr>
                <w:rFonts w:ascii="Arial" w:hAnsi="Arial" w:cs="Arial"/>
                <w:sz w:val="16"/>
                <w:szCs w:val="16"/>
              </w:rPr>
              <w:t>16</w:t>
            </w:r>
            <w:r w:rsidRPr="00D151ED">
              <w:rPr>
                <w:rFonts w:ascii="Arial" w:hAnsi="Arial" w:cs="Arial"/>
                <w:sz w:val="16"/>
                <w:szCs w:val="16"/>
              </w:rPr>
              <w:t xml:space="preserve"> Forward year 2 </w:t>
            </w:r>
          </w:p>
        </w:tc>
        <w:tc>
          <w:tcPr>
            <w:tcW w:w="939" w:type="dxa"/>
            <w:tcBorders>
              <w:top w:val="single" w:sz="4" w:space="0" w:color="auto"/>
              <w:left w:val="nil"/>
              <w:bottom w:val="single" w:sz="4" w:space="0" w:color="auto"/>
              <w:right w:val="nil"/>
            </w:tcBorders>
            <w:shd w:val="clear" w:color="000000" w:fill="FFFFFF"/>
            <w:noWrap/>
            <w:vAlign w:val="bottom"/>
          </w:tcPr>
          <w:p w:rsidR="00D151ED" w:rsidRPr="00D151ED" w:rsidRDefault="00D151ED" w:rsidP="000C048F">
            <w:pPr>
              <w:spacing w:before="60" w:after="60" w:line="240" w:lineRule="auto"/>
              <w:jc w:val="right"/>
              <w:rPr>
                <w:rFonts w:ascii="Arial" w:hAnsi="Arial" w:cs="Arial"/>
                <w:sz w:val="16"/>
                <w:szCs w:val="16"/>
              </w:rPr>
            </w:pPr>
            <w:r w:rsidRPr="00D151ED">
              <w:rPr>
                <w:rFonts w:ascii="Arial" w:hAnsi="Arial" w:cs="Arial"/>
                <w:sz w:val="16"/>
                <w:szCs w:val="16"/>
              </w:rPr>
              <w:t>201</w:t>
            </w:r>
            <w:r w:rsidR="00CA5510">
              <w:rPr>
                <w:rFonts w:ascii="Arial" w:hAnsi="Arial" w:cs="Arial"/>
                <w:sz w:val="16"/>
                <w:szCs w:val="16"/>
              </w:rPr>
              <w:t>6</w:t>
            </w:r>
            <w:r w:rsidR="000C048F">
              <w:rPr>
                <w:rFonts w:ascii="Arial" w:hAnsi="Arial" w:cs="Arial"/>
                <w:sz w:val="16"/>
                <w:szCs w:val="16"/>
              </w:rPr>
              <w:t>–</w:t>
            </w:r>
            <w:r w:rsidR="00CA5510">
              <w:rPr>
                <w:rFonts w:ascii="Arial" w:hAnsi="Arial" w:cs="Arial"/>
                <w:sz w:val="16"/>
                <w:szCs w:val="16"/>
              </w:rPr>
              <w:t>17</w:t>
            </w:r>
            <w:r w:rsidRPr="00D151ED">
              <w:rPr>
                <w:rFonts w:ascii="Arial" w:hAnsi="Arial" w:cs="Arial"/>
                <w:sz w:val="16"/>
                <w:szCs w:val="16"/>
              </w:rPr>
              <w:t xml:space="preserve"> Forward </w:t>
            </w:r>
            <w:r w:rsidR="00CD1233">
              <w:rPr>
                <w:rFonts w:ascii="Arial" w:hAnsi="Arial" w:cs="Arial"/>
                <w:sz w:val="16"/>
                <w:szCs w:val="16"/>
              </w:rPr>
              <w:br/>
            </w:r>
            <w:r w:rsidRPr="00D151ED">
              <w:rPr>
                <w:rFonts w:ascii="Arial" w:hAnsi="Arial" w:cs="Arial"/>
                <w:sz w:val="16"/>
                <w:szCs w:val="16"/>
              </w:rPr>
              <w:t xml:space="preserve">year 3 </w:t>
            </w:r>
          </w:p>
        </w:tc>
      </w:tr>
      <w:tr w:rsidR="00D151ED" w:rsidRPr="00D151ED" w:rsidTr="00F0287D">
        <w:trPr>
          <w:trHeight w:val="231"/>
        </w:trPr>
        <w:tc>
          <w:tcPr>
            <w:tcW w:w="2958" w:type="dxa"/>
            <w:tcBorders>
              <w:top w:val="nil"/>
              <w:left w:val="nil"/>
              <w:bottom w:val="nil"/>
              <w:right w:val="nil"/>
            </w:tcBorders>
            <w:vAlign w:val="bottom"/>
          </w:tcPr>
          <w:p w:rsidR="00D151ED" w:rsidRPr="00D151ED" w:rsidRDefault="00D151ED" w:rsidP="00F0287D">
            <w:pPr>
              <w:spacing w:before="60" w:after="0" w:line="240" w:lineRule="auto"/>
              <w:jc w:val="left"/>
              <w:rPr>
                <w:rFonts w:ascii="Arial" w:hAnsi="Arial" w:cs="Arial"/>
                <w:iCs/>
                <w:sz w:val="16"/>
                <w:szCs w:val="16"/>
              </w:rPr>
            </w:pPr>
            <w:r w:rsidRPr="00D151ED">
              <w:rPr>
                <w:rFonts w:ascii="Arial" w:hAnsi="Arial" w:cs="Arial"/>
                <w:iCs/>
                <w:sz w:val="16"/>
                <w:szCs w:val="16"/>
              </w:rPr>
              <w:t>Percentage and number of clients that have their immediate crisis needs met</w:t>
            </w:r>
            <w:r w:rsidR="00C56A37">
              <w:rPr>
                <w:rStyle w:val="FootnoteReference"/>
                <w:rFonts w:ascii="Arial" w:hAnsi="Arial" w:cs="Arial"/>
                <w:iCs/>
                <w:sz w:val="16"/>
                <w:szCs w:val="16"/>
              </w:rPr>
              <w:footnoteReference w:id="12"/>
            </w:r>
          </w:p>
        </w:tc>
        <w:tc>
          <w:tcPr>
            <w:tcW w:w="937" w:type="dxa"/>
            <w:tcBorders>
              <w:top w:val="nil"/>
              <w:left w:val="nil"/>
              <w:bottom w:val="nil"/>
              <w:right w:val="nil"/>
            </w:tcBorders>
            <w:vAlign w:val="bottom"/>
          </w:tcPr>
          <w:p w:rsidR="00D151ED" w:rsidRPr="00D151ED" w:rsidRDefault="00C2656B" w:rsidP="001205C8">
            <w:pPr>
              <w:spacing w:after="0" w:line="240" w:lineRule="auto"/>
              <w:jc w:val="right"/>
              <w:rPr>
                <w:rFonts w:ascii="Arial" w:hAnsi="Arial" w:cs="Arial"/>
                <w:sz w:val="16"/>
                <w:szCs w:val="16"/>
              </w:rPr>
            </w:pPr>
            <w:r>
              <w:rPr>
                <w:rFonts w:ascii="Arial" w:hAnsi="Arial" w:cs="Arial"/>
                <w:sz w:val="16"/>
                <w:szCs w:val="16"/>
              </w:rPr>
              <w:t>–</w:t>
            </w:r>
          </w:p>
        </w:tc>
        <w:tc>
          <w:tcPr>
            <w:tcW w:w="938" w:type="dxa"/>
            <w:tcBorders>
              <w:top w:val="nil"/>
              <w:left w:val="nil"/>
              <w:bottom w:val="nil"/>
              <w:right w:val="nil"/>
            </w:tcBorders>
            <w:shd w:val="clear" w:color="000000" w:fill="E6E6E6"/>
            <w:vAlign w:val="bottom"/>
          </w:tcPr>
          <w:p w:rsidR="00D151ED" w:rsidRPr="00D151ED" w:rsidRDefault="008E70E2" w:rsidP="00F0287D">
            <w:pPr>
              <w:spacing w:after="0" w:line="240" w:lineRule="auto"/>
              <w:jc w:val="right"/>
              <w:rPr>
                <w:rFonts w:ascii="Arial" w:hAnsi="Arial" w:cs="Arial"/>
                <w:sz w:val="16"/>
                <w:szCs w:val="16"/>
              </w:rPr>
            </w:pPr>
            <w:r w:rsidRPr="00D151ED">
              <w:rPr>
                <w:rFonts w:ascii="Arial" w:hAnsi="Arial" w:cs="Arial"/>
                <w:sz w:val="16"/>
                <w:szCs w:val="16"/>
              </w:rPr>
              <w:t xml:space="preserve"> 9</w:t>
            </w:r>
            <w:r w:rsidR="00C56A37">
              <w:rPr>
                <w:rFonts w:ascii="Arial" w:hAnsi="Arial" w:cs="Arial"/>
                <w:sz w:val="16"/>
                <w:szCs w:val="16"/>
              </w:rPr>
              <w:t>0</w:t>
            </w:r>
            <w:r w:rsidRPr="00D151ED">
              <w:rPr>
                <w:rFonts w:ascii="Arial" w:hAnsi="Arial" w:cs="Arial"/>
                <w:sz w:val="16"/>
                <w:szCs w:val="16"/>
              </w:rPr>
              <w:t>% 1,0</w:t>
            </w:r>
            <w:r w:rsidR="00C56A37">
              <w:rPr>
                <w:rFonts w:ascii="Arial" w:hAnsi="Arial" w:cs="Arial"/>
                <w:sz w:val="16"/>
                <w:szCs w:val="16"/>
              </w:rPr>
              <w:t>1</w:t>
            </w:r>
            <w:r w:rsidRPr="00D151ED">
              <w:rPr>
                <w:rFonts w:ascii="Arial" w:hAnsi="Arial" w:cs="Arial"/>
                <w:sz w:val="16"/>
                <w:szCs w:val="16"/>
              </w:rPr>
              <w:t>4</w:t>
            </w:r>
            <w:r w:rsidR="00C56A37">
              <w:rPr>
                <w:rFonts w:ascii="Arial" w:hAnsi="Arial" w:cs="Arial"/>
                <w:sz w:val="16"/>
                <w:szCs w:val="16"/>
              </w:rPr>
              <w:t>,8</w:t>
            </w:r>
            <w:r w:rsidRPr="00D151ED">
              <w:rPr>
                <w:rFonts w:ascii="Arial" w:hAnsi="Arial" w:cs="Arial"/>
                <w:sz w:val="16"/>
                <w:szCs w:val="16"/>
              </w:rPr>
              <w:t>00</w:t>
            </w:r>
          </w:p>
        </w:tc>
        <w:tc>
          <w:tcPr>
            <w:tcW w:w="939" w:type="dxa"/>
            <w:tcBorders>
              <w:top w:val="nil"/>
              <w:left w:val="nil"/>
              <w:bottom w:val="nil"/>
              <w:right w:val="nil"/>
            </w:tcBorders>
            <w:vAlign w:val="bottom"/>
          </w:tcPr>
          <w:p w:rsidR="00D151ED" w:rsidRPr="00D151ED" w:rsidRDefault="00CA5510" w:rsidP="00F0287D">
            <w:pPr>
              <w:spacing w:after="0" w:line="240" w:lineRule="auto"/>
              <w:jc w:val="right"/>
              <w:rPr>
                <w:rFonts w:ascii="Arial" w:hAnsi="Arial" w:cs="Arial"/>
                <w:sz w:val="16"/>
                <w:szCs w:val="16"/>
              </w:rPr>
            </w:pPr>
            <w:r w:rsidRPr="00D151ED">
              <w:rPr>
                <w:rFonts w:ascii="Arial" w:hAnsi="Arial" w:cs="Arial"/>
                <w:sz w:val="16"/>
                <w:szCs w:val="16"/>
              </w:rPr>
              <w:t>9</w:t>
            </w:r>
            <w:r w:rsidR="00C56A37">
              <w:rPr>
                <w:rFonts w:ascii="Arial" w:hAnsi="Arial" w:cs="Arial"/>
                <w:sz w:val="16"/>
                <w:szCs w:val="16"/>
              </w:rPr>
              <w:t>0</w:t>
            </w:r>
            <w:r w:rsidRPr="00D151ED">
              <w:rPr>
                <w:rFonts w:ascii="Arial" w:hAnsi="Arial" w:cs="Arial"/>
                <w:sz w:val="16"/>
                <w:szCs w:val="16"/>
              </w:rPr>
              <w:t>% 1,0</w:t>
            </w:r>
            <w:r w:rsidR="00C56A37">
              <w:rPr>
                <w:rFonts w:ascii="Arial" w:hAnsi="Arial" w:cs="Arial"/>
                <w:sz w:val="16"/>
                <w:szCs w:val="16"/>
              </w:rPr>
              <w:t>18,4</w:t>
            </w:r>
            <w:r w:rsidRPr="00D151ED">
              <w:rPr>
                <w:rFonts w:ascii="Arial" w:hAnsi="Arial" w:cs="Arial"/>
                <w:sz w:val="16"/>
                <w:szCs w:val="16"/>
              </w:rPr>
              <w:t>00</w:t>
            </w:r>
          </w:p>
        </w:tc>
        <w:tc>
          <w:tcPr>
            <w:tcW w:w="938" w:type="dxa"/>
            <w:tcBorders>
              <w:top w:val="nil"/>
              <w:left w:val="nil"/>
              <w:bottom w:val="nil"/>
              <w:right w:val="nil"/>
            </w:tcBorders>
            <w:vAlign w:val="bottom"/>
          </w:tcPr>
          <w:p w:rsidR="00D151ED" w:rsidRPr="00D151ED" w:rsidRDefault="00C56A37" w:rsidP="00F0287D">
            <w:pPr>
              <w:spacing w:after="0" w:line="240" w:lineRule="auto"/>
              <w:jc w:val="right"/>
              <w:rPr>
                <w:rFonts w:ascii="Arial" w:hAnsi="Arial" w:cs="Arial"/>
                <w:sz w:val="16"/>
                <w:szCs w:val="16"/>
              </w:rPr>
            </w:pPr>
            <w:r w:rsidRPr="00D151ED">
              <w:rPr>
                <w:rFonts w:ascii="Arial" w:hAnsi="Arial" w:cs="Arial"/>
                <w:sz w:val="16"/>
                <w:szCs w:val="16"/>
              </w:rPr>
              <w:t>9</w:t>
            </w:r>
            <w:r>
              <w:rPr>
                <w:rFonts w:ascii="Arial" w:hAnsi="Arial" w:cs="Arial"/>
                <w:sz w:val="16"/>
                <w:szCs w:val="16"/>
              </w:rPr>
              <w:t>0</w:t>
            </w:r>
            <w:r w:rsidRPr="00D151ED">
              <w:rPr>
                <w:rFonts w:ascii="Arial" w:hAnsi="Arial" w:cs="Arial"/>
                <w:sz w:val="16"/>
                <w:szCs w:val="16"/>
              </w:rPr>
              <w:t>% 1,0</w:t>
            </w:r>
            <w:r>
              <w:rPr>
                <w:rFonts w:ascii="Arial" w:hAnsi="Arial" w:cs="Arial"/>
                <w:sz w:val="16"/>
                <w:szCs w:val="16"/>
              </w:rPr>
              <w:t>18,4</w:t>
            </w:r>
            <w:r w:rsidRPr="00D151ED">
              <w:rPr>
                <w:rFonts w:ascii="Arial" w:hAnsi="Arial" w:cs="Arial"/>
                <w:sz w:val="16"/>
                <w:szCs w:val="16"/>
              </w:rPr>
              <w:t>00</w:t>
            </w:r>
          </w:p>
        </w:tc>
        <w:tc>
          <w:tcPr>
            <w:tcW w:w="939" w:type="dxa"/>
            <w:tcBorders>
              <w:top w:val="nil"/>
              <w:left w:val="nil"/>
              <w:bottom w:val="nil"/>
              <w:right w:val="nil"/>
            </w:tcBorders>
            <w:vAlign w:val="bottom"/>
          </w:tcPr>
          <w:p w:rsidR="00D151ED" w:rsidRPr="00D151ED" w:rsidRDefault="00C56A37" w:rsidP="00F0287D">
            <w:pPr>
              <w:spacing w:after="0" w:line="240" w:lineRule="auto"/>
              <w:jc w:val="right"/>
              <w:rPr>
                <w:rFonts w:ascii="Arial" w:hAnsi="Arial" w:cs="Arial"/>
                <w:sz w:val="16"/>
                <w:szCs w:val="16"/>
              </w:rPr>
            </w:pPr>
            <w:r w:rsidRPr="00D151ED">
              <w:rPr>
                <w:rFonts w:ascii="Arial" w:hAnsi="Arial" w:cs="Arial"/>
                <w:sz w:val="16"/>
                <w:szCs w:val="16"/>
              </w:rPr>
              <w:t>9</w:t>
            </w:r>
            <w:r>
              <w:rPr>
                <w:rFonts w:ascii="Arial" w:hAnsi="Arial" w:cs="Arial"/>
                <w:sz w:val="16"/>
                <w:szCs w:val="16"/>
              </w:rPr>
              <w:t>0</w:t>
            </w:r>
            <w:r w:rsidRPr="00D151ED">
              <w:rPr>
                <w:rFonts w:ascii="Arial" w:hAnsi="Arial" w:cs="Arial"/>
                <w:sz w:val="16"/>
                <w:szCs w:val="16"/>
              </w:rPr>
              <w:t>%</w:t>
            </w:r>
            <w:r w:rsidR="00CD1233">
              <w:rPr>
                <w:rFonts w:ascii="Arial" w:hAnsi="Arial" w:cs="Arial"/>
                <w:sz w:val="16"/>
                <w:szCs w:val="16"/>
              </w:rPr>
              <w:br/>
            </w:r>
            <w:r w:rsidRPr="00D151ED">
              <w:rPr>
                <w:rFonts w:ascii="Arial" w:hAnsi="Arial" w:cs="Arial"/>
                <w:sz w:val="16"/>
                <w:szCs w:val="16"/>
              </w:rPr>
              <w:t xml:space="preserve"> 1,0</w:t>
            </w:r>
            <w:r>
              <w:rPr>
                <w:rFonts w:ascii="Arial" w:hAnsi="Arial" w:cs="Arial"/>
                <w:sz w:val="16"/>
                <w:szCs w:val="16"/>
              </w:rPr>
              <w:t>13,0</w:t>
            </w:r>
            <w:r w:rsidRPr="00D151ED">
              <w:rPr>
                <w:rFonts w:ascii="Arial" w:hAnsi="Arial" w:cs="Arial"/>
                <w:sz w:val="16"/>
                <w:szCs w:val="16"/>
              </w:rPr>
              <w:t>00</w:t>
            </w:r>
          </w:p>
        </w:tc>
      </w:tr>
      <w:tr w:rsidR="00C2656B" w:rsidRPr="00D151ED" w:rsidTr="00F0287D">
        <w:trPr>
          <w:trHeight w:val="231"/>
        </w:trPr>
        <w:tc>
          <w:tcPr>
            <w:tcW w:w="2958" w:type="dxa"/>
            <w:tcBorders>
              <w:top w:val="nil"/>
              <w:left w:val="nil"/>
              <w:bottom w:val="nil"/>
              <w:right w:val="nil"/>
            </w:tcBorders>
            <w:vAlign w:val="bottom"/>
          </w:tcPr>
          <w:p w:rsidR="00C2656B" w:rsidRPr="00B37285" w:rsidRDefault="00C2656B" w:rsidP="00C2656B">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xml:space="preserve">– </w:t>
            </w:r>
            <w:r>
              <w:rPr>
                <w:rFonts w:ascii="Arial" w:hAnsi="Arial" w:cs="Arial"/>
                <w:sz w:val="16"/>
                <w:szCs w:val="16"/>
              </w:rPr>
              <w:t>Commonwealth Financial Counselling</w:t>
            </w:r>
          </w:p>
        </w:tc>
        <w:tc>
          <w:tcPr>
            <w:tcW w:w="937" w:type="dxa"/>
            <w:tcBorders>
              <w:top w:val="nil"/>
              <w:left w:val="nil"/>
              <w:bottom w:val="nil"/>
              <w:right w:val="nil"/>
            </w:tcBorders>
            <w:vAlign w:val="bottom"/>
          </w:tcPr>
          <w:p w:rsidR="00C2656B" w:rsidRDefault="00C2656B" w:rsidP="00C2656B">
            <w:pPr>
              <w:spacing w:after="0" w:line="240" w:lineRule="auto"/>
              <w:jc w:val="right"/>
              <w:rPr>
                <w:rFonts w:ascii="Arial" w:hAnsi="Arial" w:cs="Arial"/>
                <w:sz w:val="16"/>
                <w:szCs w:val="16"/>
              </w:rPr>
            </w:pPr>
            <w:r w:rsidRPr="00D151ED">
              <w:rPr>
                <w:rFonts w:ascii="Arial" w:hAnsi="Arial" w:cs="Arial"/>
                <w:sz w:val="16"/>
                <w:szCs w:val="16"/>
              </w:rPr>
              <w:t xml:space="preserve">88% </w:t>
            </w:r>
          </w:p>
          <w:p w:rsidR="00C2656B" w:rsidRDefault="00C2656B" w:rsidP="00C2656B">
            <w:pPr>
              <w:spacing w:after="0" w:line="240" w:lineRule="auto"/>
              <w:jc w:val="right"/>
              <w:rPr>
                <w:rFonts w:ascii="Arial" w:hAnsi="Arial" w:cs="Arial"/>
                <w:sz w:val="16"/>
                <w:szCs w:val="16"/>
              </w:rPr>
            </w:pPr>
            <w:r w:rsidRPr="00D151ED">
              <w:rPr>
                <w:rFonts w:ascii="Arial" w:hAnsi="Arial" w:cs="Arial"/>
                <w:sz w:val="16"/>
                <w:szCs w:val="16"/>
              </w:rPr>
              <w:t xml:space="preserve">22,700 </w:t>
            </w:r>
          </w:p>
        </w:tc>
        <w:tc>
          <w:tcPr>
            <w:tcW w:w="938" w:type="dxa"/>
            <w:tcBorders>
              <w:top w:val="nil"/>
              <w:left w:val="nil"/>
              <w:bottom w:val="nil"/>
              <w:right w:val="nil"/>
            </w:tcBorders>
            <w:shd w:val="clear" w:color="000000" w:fill="E6E6E6"/>
            <w:vAlign w:val="bottom"/>
          </w:tcPr>
          <w:p w:rsidR="00C2656B" w:rsidRPr="00D151ED" w:rsidRDefault="00F0287D" w:rsidP="00F0287D">
            <w:pPr>
              <w:spacing w:after="0" w:line="240" w:lineRule="auto"/>
              <w:jc w:val="right"/>
              <w:rPr>
                <w:rFonts w:ascii="Arial" w:hAnsi="Arial" w:cs="Arial"/>
                <w:sz w:val="16"/>
                <w:szCs w:val="16"/>
              </w:rPr>
            </w:pPr>
            <w:r>
              <w:rPr>
                <w:rFonts w:ascii="Arial" w:hAnsi="Arial" w:cs="Arial"/>
                <w:sz w:val="16"/>
                <w:szCs w:val="16"/>
              </w:rPr>
              <w:t>–</w:t>
            </w:r>
          </w:p>
        </w:tc>
        <w:tc>
          <w:tcPr>
            <w:tcW w:w="939" w:type="dxa"/>
            <w:tcBorders>
              <w:top w:val="nil"/>
              <w:left w:val="nil"/>
              <w:bottom w:val="nil"/>
              <w:right w:val="nil"/>
            </w:tcBorders>
            <w:vAlign w:val="bottom"/>
          </w:tcPr>
          <w:p w:rsidR="00C2656B" w:rsidRPr="00D151ED" w:rsidRDefault="00F0287D" w:rsidP="00F0287D">
            <w:pPr>
              <w:spacing w:after="0" w:line="240" w:lineRule="auto"/>
              <w:jc w:val="right"/>
              <w:rPr>
                <w:rFonts w:ascii="Arial" w:hAnsi="Arial" w:cs="Arial"/>
                <w:sz w:val="16"/>
                <w:szCs w:val="16"/>
              </w:rPr>
            </w:pPr>
            <w:r>
              <w:rPr>
                <w:rFonts w:ascii="Arial" w:hAnsi="Arial" w:cs="Arial"/>
                <w:sz w:val="16"/>
                <w:szCs w:val="16"/>
              </w:rPr>
              <w:t>–</w:t>
            </w:r>
          </w:p>
        </w:tc>
        <w:tc>
          <w:tcPr>
            <w:tcW w:w="938" w:type="dxa"/>
            <w:tcBorders>
              <w:top w:val="nil"/>
              <w:left w:val="nil"/>
              <w:bottom w:val="nil"/>
              <w:right w:val="nil"/>
            </w:tcBorders>
            <w:vAlign w:val="bottom"/>
          </w:tcPr>
          <w:p w:rsidR="00C2656B" w:rsidRPr="00D151ED" w:rsidRDefault="00F0287D" w:rsidP="00F0287D">
            <w:pPr>
              <w:spacing w:after="0" w:line="240" w:lineRule="auto"/>
              <w:jc w:val="right"/>
              <w:rPr>
                <w:rFonts w:ascii="Arial" w:hAnsi="Arial" w:cs="Arial"/>
                <w:sz w:val="16"/>
                <w:szCs w:val="16"/>
              </w:rPr>
            </w:pPr>
            <w:r>
              <w:rPr>
                <w:rFonts w:ascii="Arial" w:hAnsi="Arial" w:cs="Arial"/>
                <w:sz w:val="16"/>
                <w:szCs w:val="16"/>
              </w:rPr>
              <w:t>–</w:t>
            </w:r>
          </w:p>
        </w:tc>
        <w:tc>
          <w:tcPr>
            <w:tcW w:w="939" w:type="dxa"/>
            <w:tcBorders>
              <w:top w:val="nil"/>
              <w:left w:val="nil"/>
              <w:bottom w:val="nil"/>
              <w:right w:val="nil"/>
            </w:tcBorders>
            <w:vAlign w:val="bottom"/>
          </w:tcPr>
          <w:p w:rsidR="00C2656B" w:rsidRPr="00D151ED" w:rsidRDefault="00F0287D" w:rsidP="00F0287D">
            <w:pPr>
              <w:spacing w:after="0" w:line="240" w:lineRule="auto"/>
              <w:jc w:val="right"/>
              <w:rPr>
                <w:rFonts w:ascii="Arial" w:hAnsi="Arial" w:cs="Arial"/>
                <w:sz w:val="16"/>
                <w:szCs w:val="16"/>
              </w:rPr>
            </w:pPr>
            <w:r>
              <w:rPr>
                <w:rFonts w:ascii="Arial" w:hAnsi="Arial" w:cs="Arial"/>
                <w:sz w:val="16"/>
                <w:szCs w:val="16"/>
              </w:rPr>
              <w:t>–</w:t>
            </w:r>
          </w:p>
        </w:tc>
      </w:tr>
      <w:tr w:rsidR="00C2656B" w:rsidRPr="00D151ED" w:rsidTr="00F0287D">
        <w:trPr>
          <w:trHeight w:val="231"/>
        </w:trPr>
        <w:tc>
          <w:tcPr>
            <w:tcW w:w="2958" w:type="dxa"/>
            <w:tcBorders>
              <w:top w:val="nil"/>
              <w:left w:val="nil"/>
              <w:bottom w:val="nil"/>
              <w:right w:val="nil"/>
            </w:tcBorders>
            <w:vAlign w:val="bottom"/>
          </w:tcPr>
          <w:p w:rsidR="00C2656B" w:rsidRPr="00B37285" w:rsidRDefault="00C2656B" w:rsidP="00C2656B">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xml:space="preserve">– </w:t>
            </w:r>
            <w:r>
              <w:rPr>
                <w:rFonts w:ascii="Arial" w:hAnsi="Arial" w:cs="Arial"/>
                <w:sz w:val="16"/>
                <w:szCs w:val="16"/>
              </w:rPr>
              <w:t>Emergency Response</w:t>
            </w:r>
          </w:p>
        </w:tc>
        <w:tc>
          <w:tcPr>
            <w:tcW w:w="937" w:type="dxa"/>
            <w:tcBorders>
              <w:top w:val="nil"/>
              <w:left w:val="nil"/>
              <w:bottom w:val="nil"/>
              <w:right w:val="nil"/>
            </w:tcBorders>
            <w:vAlign w:val="bottom"/>
          </w:tcPr>
          <w:p w:rsidR="00C2656B" w:rsidRDefault="00C2656B" w:rsidP="00C2656B">
            <w:pPr>
              <w:spacing w:after="0" w:line="240" w:lineRule="auto"/>
              <w:jc w:val="right"/>
              <w:rPr>
                <w:rFonts w:ascii="Arial" w:hAnsi="Arial" w:cs="Arial"/>
                <w:sz w:val="16"/>
                <w:szCs w:val="16"/>
              </w:rPr>
            </w:pPr>
            <w:r w:rsidRPr="00D151ED">
              <w:rPr>
                <w:rFonts w:ascii="Arial" w:hAnsi="Arial" w:cs="Arial"/>
                <w:sz w:val="16"/>
                <w:szCs w:val="16"/>
              </w:rPr>
              <w:t>95% 1,045,000</w:t>
            </w:r>
          </w:p>
        </w:tc>
        <w:tc>
          <w:tcPr>
            <w:tcW w:w="938" w:type="dxa"/>
            <w:tcBorders>
              <w:top w:val="nil"/>
              <w:left w:val="nil"/>
              <w:bottom w:val="nil"/>
              <w:right w:val="nil"/>
            </w:tcBorders>
            <w:shd w:val="clear" w:color="000000" w:fill="E6E6E6"/>
            <w:vAlign w:val="bottom"/>
          </w:tcPr>
          <w:p w:rsidR="00C2656B" w:rsidRPr="00D151ED" w:rsidRDefault="00F0287D" w:rsidP="00F0287D">
            <w:pPr>
              <w:spacing w:after="0" w:line="240" w:lineRule="auto"/>
              <w:jc w:val="right"/>
              <w:rPr>
                <w:rFonts w:ascii="Arial" w:hAnsi="Arial" w:cs="Arial"/>
                <w:sz w:val="16"/>
                <w:szCs w:val="16"/>
              </w:rPr>
            </w:pPr>
            <w:r>
              <w:rPr>
                <w:rFonts w:ascii="Arial" w:hAnsi="Arial" w:cs="Arial"/>
                <w:sz w:val="16"/>
                <w:szCs w:val="16"/>
              </w:rPr>
              <w:t>–</w:t>
            </w:r>
          </w:p>
        </w:tc>
        <w:tc>
          <w:tcPr>
            <w:tcW w:w="939" w:type="dxa"/>
            <w:tcBorders>
              <w:top w:val="nil"/>
              <w:left w:val="nil"/>
              <w:bottom w:val="nil"/>
              <w:right w:val="nil"/>
            </w:tcBorders>
            <w:vAlign w:val="bottom"/>
          </w:tcPr>
          <w:p w:rsidR="00C2656B" w:rsidRPr="00D151ED" w:rsidRDefault="00F0287D" w:rsidP="00F0287D">
            <w:pPr>
              <w:spacing w:after="0" w:line="240" w:lineRule="auto"/>
              <w:jc w:val="right"/>
              <w:rPr>
                <w:rFonts w:ascii="Arial" w:hAnsi="Arial" w:cs="Arial"/>
                <w:sz w:val="16"/>
                <w:szCs w:val="16"/>
              </w:rPr>
            </w:pPr>
            <w:r>
              <w:rPr>
                <w:rFonts w:ascii="Arial" w:hAnsi="Arial" w:cs="Arial"/>
                <w:sz w:val="16"/>
                <w:szCs w:val="16"/>
              </w:rPr>
              <w:t>–</w:t>
            </w:r>
          </w:p>
        </w:tc>
        <w:tc>
          <w:tcPr>
            <w:tcW w:w="938" w:type="dxa"/>
            <w:tcBorders>
              <w:top w:val="nil"/>
              <w:left w:val="nil"/>
              <w:bottom w:val="nil"/>
              <w:right w:val="nil"/>
            </w:tcBorders>
            <w:vAlign w:val="bottom"/>
          </w:tcPr>
          <w:p w:rsidR="00C2656B" w:rsidRPr="00D151ED" w:rsidRDefault="00F0287D" w:rsidP="00F0287D">
            <w:pPr>
              <w:spacing w:after="0" w:line="240" w:lineRule="auto"/>
              <w:jc w:val="right"/>
              <w:rPr>
                <w:rFonts w:ascii="Arial" w:hAnsi="Arial" w:cs="Arial"/>
                <w:sz w:val="16"/>
                <w:szCs w:val="16"/>
              </w:rPr>
            </w:pPr>
            <w:r>
              <w:rPr>
                <w:rFonts w:ascii="Arial" w:hAnsi="Arial" w:cs="Arial"/>
                <w:sz w:val="16"/>
                <w:szCs w:val="16"/>
              </w:rPr>
              <w:t>–</w:t>
            </w:r>
          </w:p>
        </w:tc>
        <w:tc>
          <w:tcPr>
            <w:tcW w:w="939" w:type="dxa"/>
            <w:tcBorders>
              <w:top w:val="nil"/>
              <w:left w:val="nil"/>
              <w:bottom w:val="nil"/>
              <w:right w:val="nil"/>
            </w:tcBorders>
            <w:vAlign w:val="bottom"/>
          </w:tcPr>
          <w:p w:rsidR="00C2656B" w:rsidRPr="00D151ED" w:rsidRDefault="00F0287D" w:rsidP="00F0287D">
            <w:pPr>
              <w:spacing w:after="0" w:line="240" w:lineRule="auto"/>
              <w:jc w:val="right"/>
              <w:rPr>
                <w:rFonts w:ascii="Arial" w:hAnsi="Arial" w:cs="Arial"/>
                <w:sz w:val="16"/>
                <w:szCs w:val="16"/>
              </w:rPr>
            </w:pPr>
            <w:r>
              <w:rPr>
                <w:rFonts w:ascii="Arial" w:hAnsi="Arial" w:cs="Arial"/>
                <w:sz w:val="16"/>
                <w:szCs w:val="16"/>
              </w:rPr>
              <w:t>–</w:t>
            </w:r>
          </w:p>
        </w:tc>
      </w:tr>
      <w:tr w:rsidR="00C2656B" w:rsidRPr="00D151ED" w:rsidTr="00F0287D">
        <w:trPr>
          <w:trHeight w:val="231"/>
        </w:trPr>
        <w:tc>
          <w:tcPr>
            <w:tcW w:w="2958" w:type="dxa"/>
            <w:tcBorders>
              <w:top w:val="nil"/>
              <w:left w:val="nil"/>
              <w:bottom w:val="nil"/>
              <w:right w:val="nil"/>
            </w:tcBorders>
            <w:vAlign w:val="bottom"/>
          </w:tcPr>
          <w:p w:rsidR="00C2656B" w:rsidRPr="00D151ED" w:rsidRDefault="00C2656B" w:rsidP="00F0287D">
            <w:pPr>
              <w:spacing w:before="60" w:after="0" w:line="240" w:lineRule="auto"/>
              <w:jc w:val="left"/>
              <w:rPr>
                <w:rFonts w:ascii="Arial" w:hAnsi="Arial" w:cs="Arial"/>
                <w:iCs/>
                <w:sz w:val="16"/>
                <w:szCs w:val="16"/>
              </w:rPr>
            </w:pPr>
            <w:r w:rsidRPr="00D151ED">
              <w:rPr>
                <w:rFonts w:ascii="Arial" w:hAnsi="Arial" w:cs="Arial"/>
                <w:iCs/>
                <w:sz w:val="16"/>
                <w:szCs w:val="16"/>
              </w:rPr>
              <w:t>Percentage and number of clients with increased money management knowledge and skills</w:t>
            </w:r>
            <w:r>
              <w:rPr>
                <w:rStyle w:val="FootnoteReference"/>
                <w:rFonts w:ascii="Arial" w:hAnsi="Arial" w:cs="Arial"/>
                <w:iCs/>
                <w:sz w:val="16"/>
                <w:szCs w:val="16"/>
              </w:rPr>
              <w:footnoteReference w:id="13"/>
            </w:r>
          </w:p>
        </w:tc>
        <w:tc>
          <w:tcPr>
            <w:tcW w:w="937" w:type="dxa"/>
            <w:tcBorders>
              <w:top w:val="nil"/>
              <w:left w:val="nil"/>
              <w:bottom w:val="nil"/>
              <w:right w:val="nil"/>
            </w:tcBorders>
            <w:vAlign w:val="bottom"/>
          </w:tcPr>
          <w:p w:rsidR="00C2656B" w:rsidRPr="00D151ED" w:rsidRDefault="00F0287D" w:rsidP="001205C8">
            <w:pPr>
              <w:spacing w:after="0" w:line="240" w:lineRule="auto"/>
              <w:jc w:val="right"/>
              <w:rPr>
                <w:rFonts w:ascii="Arial" w:hAnsi="Arial" w:cs="Arial"/>
                <w:sz w:val="16"/>
                <w:szCs w:val="16"/>
              </w:rPr>
            </w:pPr>
            <w:r>
              <w:rPr>
                <w:rFonts w:ascii="Arial" w:hAnsi="Arial" w:cs="Arial"/>
                <w:sz w:val="16"/>
                <w:szCs w:val="16"/>
              </w:rPr>
              <w:t>–</w:t>
            </w:r>
          </w:p>
        </w:tc>
        <w:tc>
          <w:tcPr>
            <w:tcW w:w="938" w:type="dxa"/>
            <w:tcBorders>
              <w:top w:val="nil"/>
              <w:left w:val="nil"/>
              <w:bottom w:val="nil"/>
              <w:right w:val="nil"/>
            </w:tcBorders>
            <w:shd w:val="clear" w:color="000000" w:fill="E6E6E6"/>
            <w:vAlign w:val="bottom"/>
          </w:tcPr>
          <w:p w:rsidR="00C2656B" w:rsidRDefault="00C2656B" w:rsidP="00F0287D">
            <w:pPr>
              <w:spacing w:after="0" w:line="240" w:lineRule="auto"/>
              <w:jc w:val="right"/>
              <w:rPr>
                <w:rFonts w:ascii="Arial" w:hAnsi="Arial" w:cs="Arial"/>
                <w:sz w:val="16"/>
                <w:szCs w:val="16"/>
              </w:rPr>
            </w:pPr>
            <w:r>
              <w:rPr>
                <w:rFonts w:ascii="Arial" w:hAnsi="Arial" w:cs="Arial"/>
                <w:sz w:val="16"/>
                <w:szCs w:val="16"/>
              </w:rPr>
              <w:t>80%</w:t>
            </w:r>
          </w:p>
          <w:p w:rsidR="00C2656B" w:rsidRPr="00D151ED" w:rsidRDefault="00C2656B" w:rsidP="00F0287D">
            <w:pPr>
              <w:spacing w:after="0" w:line="240" w:lineRule="auto"/>
              <w:jc w:val="right"/>
              <w:rPr>
                <w:rFonts w:ascii="Arial" w:hAnsi="Arial" w:cs="Arial"/>
                <w:sz w:val="16"/>
                <w:szCs w:val="16"/>
              </w:rPr>
            </w:pPr>
            <w:r>
              <w:rPr>
                <w:rFonts w:ascii="Arial" w:hAnsi="Arial" w:cs="Arial"/>
                <w:sz w:val="16"/>
                <w:szCs w:val="16"/>
              </w:rPr>
              <w:t>90,000</w:t>
            </w:r>
          </w:p>
        </w:tc>
        <w:tc>
          <w:tcPr>
            <w:tcW w:w="939" w:type="dxa"/>
            <w:tcBorders>
              <w:top w:val="nil"/>
              <w:left w:val="nil"/>
              <w:bottom w:val="nil"/>
              <w:right w:val="nil"/>
            </w:tcBorders>
            <w:vAlign w:val="bottom"/>
          </w:tcPr>
          <w:p w:rsidR="00C2656B" w:rsidRDefault="00C2656B" w:rsidP="00F0287D">
            <w:pPr>
              <w:spacing w:after="0" w:line="240" w:lineRule="auto"/>
              <w:jc w:val="right"/>
              <w:rPr>
                <w:rFonts w:ascii="Arial" w:hAnsi="Arial" w:cs="Arial"/>
                <w:sz w:val="16"/>
                <w:szCs w:val="16"/>
              </w:rPr>
            </w:pPr>
            <w:r>
              <w:rPr>
                <w:rFonts w:ascii="Arial" w:hAnsi="Arial" w:cs="Arial"/>
                <w:sz w:val="16"/>
                <w:szCs w:val="16"/>
              </w:rPr>
              <w:t>80%</w:t>
            </w:r>
          </w:p>
          <w:p w:rsidR="00C2656B" w:rsidRPr="00D151ED" w:rsidRDefault="00C2656B" w:rsidP="00F0287D">
            <w:pPr>
              <w:spacing w:after="0" w:line="240" w:lineRule="auto"/>
              <w:jc w:val="right"/>
              <w:rPr>
                <w:rFonts w:ascii="Arial" w:hAnsi="Arial" w:cs="Arial"/>
                <w:sz w:val="16"/>
                <w:szCs w:val="16"/>
              </w:rPr>
            </w:pPr>
            <w:r>
              <w:rPr>
                <w:rFonts w:ascii="Arial" w:hAnsi="Arial" w:cs="Arial"/>
                <w:sz w:val="16"/>
                <w:szCs w:val="16"/>
              </w:rPr>
              <w:t>85,700</w:t>
            </w:r>
          </w:p>
        </w:tc>
        <w:tc>
          <w:tcPr>
            <w:tcW w:w="938" w:type="dxa"/>
            <w:tcBorders>
              <w:top w:val="nil"/>
              <w:left w:val="nil"/>
              <w:bottom w:val="nil"/>
              <w:right w:val="nil"/>
            </w:tcBorders>
            <w:vAlign w:val="bottom"/>
          </w:tcPr>
          <w:p w:rsidR="00C2656B" w:rsidRDefault="00C2656B" w:rsidP="00F0287D">
            <w:pPr>
              <w:spacing w:after="0" w:line="240" w:lineRule="auto"/>
              <w:jc w:val="right"/>
              <w:rPr>
                <w:rFonts w:ascii="Arial" w:hAnsi="Arial" w:cs="Arial"/>
                <w:sz w:val="16"/>
                <w:szCs w:val="16"/>
              </w:rPr>
            </w:pPr>
            <w:r>
              <w:rPr>
                <w:rFonts w:ascii="Arial" w:hAnsi="Arial" w:cs="Arial"/>
                <w:sz w:val="16"/>
                <w:szCs w:val="16"/>
              </w:rPr>
              <w:t>80%</w:t>
            </w:r>
          </w:p>
          <w:p w:rsidR="00C2656B" w:rsidRPr="000C048F" w:rsidRDefault="00C2656B" w:rsidP="00F0287D">
            <w:pPr>
              <w:spacing w:after="0" w:line="240" w:lineRule="auto"/>
              <w:jc w:val="right"/>
              <w:rPr>
                <w:rFonts w:ascii="Arial" w:hAnsi="Arial" w:cs="Arial"/>
                <w:sz w:val="16"/>
                <w:szCs w:val="16"/>
                <w:highlight w:val="yellow"/>
              </w:rPr>
            </w:pPr>
            <w:r>
              <w:rPr>
                <w:rFonts w:ascii="Arial" w:hAnsi="Arial" w:cs="Arial"/>
                <w:sz w:val="16"/>
                <w:szCs w:val="16"/>
              </w:rPr>
              <w:t>56,400</w:t>
            </w:r>
          </w:p>
        </w:tc>
        <w:tc>
          <w:tcPr>
            <w:tcW w:w="939" w:type="dxa"/>
            <w:tcBorders>
              <w:top w:val="nil"/>
              <w:left w:val="nil"/>
              <w:bottom w:val="nil"/>
              <w:right w:val="nil"/>
            </w:tcBorders>
            <w:vAlign w:val="bottom"/>
          </w:tcPr>
          <w:p w:rsidR="00C2656B" w:rsidRDefault="00C2656B" w:rsidP="00F0287D">
            <w:pPr>
              <w:spacing w:after="0" w:line="240" w:lineRule="auto"/>
              <w:jc w:val="right"/>
              <w:rPr>
                <w:rFonts w:ascii="Arial" w:hAnsi="Arial" w:cs="Arial"/>
                <w:sz w:val="16"/>
                <w:szCs w:val="16"/>
              </w:rPr>
            </w:pPr>
            <w:r>
              <w:rPr>
                <w:rFonts w:ascii="Arial" w:hAnsi="Arial" w:cs="Arial"/>
                <w:sz w:val="16"/>
                <w:szCs w:val="16"/>
              </w:rPr>
              <w:t>80%</w:t>
            </w:r>
          </w:p>
          <w:p w:rsidR="00C2656B" w:rsidRPr="000C048F" w:rsidRDefault="00C2656B" w:rsidP="00F0287D">
            <w:pPr>
              <w:spacing w:after="0" w:line="240" w:lineRule="auto"/>
              <w:jc w:val="right"/>
              <w:rPr>
                <w:rFonts w:ascii="Arial" w:hAnsi="Arial" w:cs="Arial"/>
                <w:sz w:val="16"/>
                <w:szCs w:val="16"/>
                <w:highlight w:val="yellow"/>
              </w:rPr>
            </w:pPr>
            <w:r>
              <w:rPr>
                <w:rFonts w:ascii="Arial" w:hAnsi="Arial" w:cs="Arial"/>
                <w:sz w:val="16"/>
                <w:szCs w:val="16"/>
              </w:rPr>
              <w:t>51,600</w:t>
            </w:r>
          </w:p>
        </w:tc>
      </w:tr>
      <w:tr w:rsidR="00C2656B" w:rsidRPr="00D151ED" w:rsidTr="00F0287D">
        <w:trPr>
          <w:trHeight w:val="231"/>
        </w:trPr>
        <w:tc>
          <w:tcPr>
            <w:tcW w:w="2958" w:type="dxa"/>
            <w:tcBorders>
              <w:top w:val="nil"/>
              <w:left w:val="nil"/>
              <w:bottom w:val="nil"/>
              <w:right w:val="nil"/>
            </w:tcBorders>
            <w:vAlign w:val="bottom"/>
          </w:tcPr>
          <w:p w:rsidR="00C2656B" w:rsidRPr="00B37285" w:rsidRDefault="00C2656B" w:rsidP="00C2656B">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xml:space="preserve">– </w:t>
            </w:r>
            <w:r>
              <w:rPr>
                <w:rFonts w:ascii="Arial" w:hAnsi="Arial" w:cs="Arial"/>
                <w:sz w:val="16"/>
                <w:szCs w:val="16"/>
              </w:rPr>
              <w:t>Commonwealth Financial Counselling</w:t>
            </w:r>
          </w:p>
        </w:tc>
        <w:tc>
          <w:tcPr>
            <w:tcW w:w="937" w:type="dxa"/>
            <w:tcBorders>
              <w:top w:val="nil"/>
              <w:left w:val="nil"/>
              <w:bottom w:val="nil"/>
              <w:right w:val="nil"/>
            </w:tcBorders>
            <w:vAlign w:val="bottom"/>
          </w:tcPr>
          <w:p w:rsidR="00F0287D" w:rsidRDefault="00F0287D" w:rsidP="00F0287D">
            <w:pPr>
              <w:spacing w:after="0" w:line="240" w:lineRule="auto"/>
              <w:jc w:val="right"/>
              <w:rPr>
                <w:rFonts w:ascii="Arial" w:hAnsi="Arial" w:cs="Arial"/>
                <w:sz w:val="16"/>
                <w:szCs w:val="16"/>
              </w:rPr>
            </w:pPr>
            <w:r w:rsidRPr="00D151ED">
              <w:rPr>
                <w:rFonts w:ascii="Arial" w:hAnsi="Arial" w:cs="Arial"/>
                <w:sz w:val="16"/>
                <w:szCs w:val="16"/>
              </w:rPr>
              <w:t xml:space="preserve">84% </w:t>
            </w:r>
          </w:p>
          <w:p w:rsidR="00C2656B" w:rsidRDefault="00F0287D" w:rsidP="00F0287D">
            <w:pPr>
              <w:spacing w:after="0" w:line="240" w:lineRule="auto"/>
              <w:jc w:val="right"/>
              <w:rPr>
                <w:rFonts w:ascii="Arial" w:hAnsi="Arial" w:cs="Arial"/>
                <w:sz w:val="16"/>
                <w:szCs w:val="16"/>
              </w:rPr>
            </w:pPr>
            <w:r w:rsidRPr="00D151ED">
              <w:rPr>
                <w:rFonts w:ascii="Arial" w:hAnsi="Arial" w:cs="Arial"/>
                <w:sz w:val="16"/>
                <w:szCs w:val="16"/>
              </w:rPr>
              <w:t>27,345</w:t>
            </w:r>
          </w:p>
        </w:tc>
        <w:tc>
          <w:tcPr>
            <w:tcW w:w="938" w:type="dxa"/>
            <w:tcBorders>
              <w:top w:val="nil"/>
              <w:left w:val="nil"/>
              <w:bottom w:val="nil"/>
              <w:right w:val="nil"/>
            </w:tcBorders>
            <w:shd w:val="clear" w:color="000000" w:fill="E6E6E6"/>
            <w:vAlign w:val="bottom"/>
          </w:tcPr>
          <w:p w:rsidR="00C2656B" w:rsidRDefault="00F0287D" w:rsidP="00F0287D">
            <w:pPr>
              <w:spacing w:after="0" w:line="240" w:lineRule="auto"/>
              <w:jc w:val="right"/>
              <w:rPr>
                <w:rFonts w:ascii="Arial" w:hAnsi="Arial" w:cs="Arial"/>
                <w:sz w:val="16"/>
                <w:szCs w:val="16"/>
              </w:rPr>
            </w:pPr>
            <w:r>
              <w:rPr>
                <w:rFonts w:ascii="Arial" w:hAnsi="Arial" w:cs="Arial"/>
                <w:sz w:val="16"/>
                <w:szCs w:val="16"/>
              </w:rPr>
              <w:t>–</w:t>
            </w:r>
          </w:p>
        </w:tc>
        <w:tc>
          <w:tcPr>
            <w:tcW w:w="939" w:type="dxa"/>
            <w:tcBorders>
              <w:top w:val="nil"/>
              <w:left w:val="nil"/>
              <w:bottom w:val="nil"/>
              <w:right w:val="nil"/>
            </w:tcBorders>
            <w:vAlign w:val="bottom"/>
          </w:tcPr>
          <w:p w:rsidR="00C2656B" w:rsidRDefault="00F0287D" w:rsidP="00F0287D">
            <w:pPr>
              <w:spacing w:after="0" w:line="240" w:lineRule="auto"/>
              <w:jc w:val="right"/>
              <w:rPr>
                <w:rFonts w:ascii="Arial" w:hAnsi="Arial" w:cs="Arial"/>
                <w:sz w:val="16"/>
                <w:szCs w:val="16"/>
              </w:rPr>
            </w:pPr>
            <w:r>
              <w:rPr>
                <w:rFonts w:ascii="Arial" w:hAnsi="Arial" w:cs="Arial"/>
                <w:sz w:val="16"/>
                <w:szCs w:val="16"/>
              </w:rPr>
              <w:t>–</w:t>
            </w:r>
          </w:p>
        </w:tc>
        <w:tc>
          <w:tcPr>
            <w:tcW w:w="938" w:type="dxa"/>
            <w:tcBorders>
              <w:top w:val="nil"/>
              <w:left w:val="nil"/>
              <w:bottom w:val="nil"/>
              <w:right w:val="nil"/>
            </w:tcBorders>
            <w:vAlign w:val="bottom"/>
          </w:tcPr>
          <w:p w:rsidR="00C2656B" w:rsidRDefault="00F0287D" w:rsidP="00F0287D">
            <w:pPr>
              <w:spacing w:after="0" w:line="240" w:lineRule="auto"/>
              <w:jc w:val="right"/>
              <w:rPr>
                <w:rFonts w:ascii="Arial" w:hAnsi="Arial" w:cs="Arial"/>
                <w:sz w:val="16"/>
                <w:szCs w:val="16"/>
              </w:rPr>
            </w:pPr>
            <w:r>
              <w:rPr>
                <w:rFonts w:ascii="Arial" w:hAnsi="Arial" w:cs="Arial"/>
                <w:sz w:val="16"/>
                <w:szCs w:val="16"/>
              </w:rPr>
              <w:t>–</w:t>
            </w:r>
          </w:p>
        </w:tc>
        <w:tc>
          <w:tcPr>
            <w:tcW w:w="939" w:type="dxa"/>
            <w:tcBorders>
              <w:top w:val="nil"/>
              <w:left w:val="nil"/>
              <w:bottom w:val="nil"/>
              <w:right w:val="nil"/>
            </w:tcBorders>
            <w:vAlign w:val="bottom"/>
          </w:tcPr>
          <w:p w:rsidR="00C2656B" w:rsidRDefault="00F0287D" w:rsidP="00F0287D">
            <w:pPr>
              <w:spacing w:after="0" w:line="240" w:lineRule="auto"/>
              <w:jc w:val="right"/>
              <w:rPr>
                <w:rFonts w:ascii="Arial" w:hAnsi="Arial" w:cs="Arial"/>
                <w:sz w:val="16"/>
                <w:szCs w:val="16"/>
              </w:rPr>
            </w:pPr>
            <w:r>
              <w:rPr>
                <w:rFonts w:ascii="Arial" w:hAnsi="Arial" w:cs="Arial"/>
                <w:sz w:val="16"/>
                <w:szCs w:val="16"/>
              </w:rPr>
              <w:t>–</w:t>
            </w:r>
          </w:p>
        </w:tc>
      </w:tr>
      <w:tr w:rsidR="00C2656B" w:rsidRPr="00D151ED" w:rsidTr="00C2656B">
        <w:trPr>
          <w:trHeight w:val="231"/>
        </w:trPr>
        <w:tc>
          <w:tcPr>
            <w:tcW w:w="2958" w:type="dxa"/>
            <w:tcBorders>
              <w:top w:val="nil"/>
              <w:left w:val="nil"/>
              <w:bottom w:val="nil"/>
              <w:right w:val="nil"/>
            </w:tcBorders>
            <w:vAlign w:val="bottom"/>
          </w:tcPr>
          <w:p w:rsidR="00C2656B" w:rsidRPr="00B37285" w:rsidRDefault="00C2656B" w:rsidP="00C2656B">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xml:space="preserve">– </w:t>
            </w:r>
            <w:r>
              <w:rPr>
                <w:rFonts w:ascii="Arial" w:hAnsi="Arial" w:cs="Arial"/>
                <w:sz w:val="16"/>
                <w:szCs w:val="16"/>
              </w:rPr>
              <w:t>Money Management</w:t>
            </w:r>
          </w:p>
        </w:tc>
        <w:tc>
          <w:tcPr>
            <w:tcW w:w="937" w:type="dxa"/>
            <w:tcBorders>
              <w:top w:val="nil"/>
              <w:left w:val="nil"/>
              <w:bottom w:val="nil"/>
              <w:right w:val="nil"/>
            </w:tcBorders>
            <w:vAlign w:val="bottom"/>
          </w:tcPr>
          <w:p w:rsidR="00F0287D" w:rsidRDefault="00F0287D" w:rsidP="00F0287D">
            <w:pPr>
              <w:spacing w:after="0" w:line="240" w:lineRule="auto"/>
              <w:jc w:val="right"/>
              <w:rPr>
                <w:rFonts w:ascii="Arial" w:hAnsi="Arial" w:cs="Arial"/>
                <w:sz w:val="16"/>
                <w:szCs w:val="16"/>
              </w:rPr>
            </w:pPr>
            <w:r>
              <w:rPr>
                <w:rFonts w:ascii="Arial" w:hAnsi="Arial" w:cs="Arial"/>
                <w:sz w:val="16"/>
                <w:szCs w:val="16"/>
              </w:rPr>
              <w:t>80%</w:t>
            </w:r>
            <w:r w:rsidRPr="00D151ED">
              <w:rPr>
                <w:rFonts w:ascii="Arial" w:hAnsi="Arial" w:cs="Arial"/>
                <w:sz w:val="16"/>
                <w:szCs w:val="16"/>
              </w:rPr>
              <w:t xml:space="preserve"> </w:t>
            </w:r>
          </w:p>
          <w:p w:rsidR="00C2656B" w:rsidRDefault="00F0287D" w:rsidP="00F0287D">
            <w:pPr>
              <w:spacing w:after="0" w:line="240" w:lineRule="auto"/>
              <w:jc w:val="right"/>
              <w:rPr>
                <w:rFonts w:ascii="Arial" w:hAnsi="Arial" w:cs="Arial"/>
                <w:sz w:val="16"/>
                <w:szCs w:val="16"/>
              </w:rPr>
            </w:pPr>
            <w:r>
              <w:rPr>
                <w:rFonts w:ascii="Arial" w:hAnsi="Arial" w:cs="Arial"/>
                <w:sz w:val="16"/>
                <w:szCs w:val="16"/>
              </w:rPr>
              <w:t>9,600</w:t>
            </w:r>
          </w:p>
        </w:tc>
        <w:tc>
          <w:tcPr>
            <w:tcW w:w="938" w:type="dxa"/>
            <w:tcBorders>
              <w:top w:val="nil"/>
              <w:left w:val="nil"/>
              <w:bottom w:val="nil"/>
              <w:right w:val="nil"/>
            </w:tcBorders>
            <w:shd w:val="clear" w:color="000000" w:fill="E6E6E6"/>
            <w:vAlign w:val="bottom"/>
          </w:tcPr>
          <w:p w:rsidR="00C2656B" w:rsidRDefault="00F0287D" w:rsidP="00C2656B">
            <w:pPr>
              <w:spacing w:after="0" w:line="240" w:lineRule="auto"/>
              <w:jc w:val="right"/>
              <w:rPr>
                <w:rFonts w:ascii="Arial" w:hAnsi="Arial" w:cs="Arial"/>
                <w:sz w:val="16"/>
                <w:szCs w:val="16"/>
              </w:rPr>
            </w:pPr>
            <w:r>
              <w:rPr>
                <w:rFonts w:ascii="Arial" w:hAnsi="Arial" w:cs="Arial"/>
                <w:sz w:val="16"/>
                <w:szCs w:val="16"/>
              </w:rPr>
              <w:t>–</w:t>
            </w:r>
          </w:p>
        </w:tc>
        <w:tc>
          <w:tcPr>
            <w:tcW w:w="939" w:type="dxa"/>
            <w:tcBorders>
              <w:top w:val="nil"/>
              <w:left w:val="nil"/>
              <w:bottom w:val="nil"/>
              <w:right w:val="nil"/>
            </w:tcBorders>
            <w:vAlign w:val="bottom"/>
          </w:tcPr>
          <w:p w:rsidR="00C2656B" w:rsidRDefault="00F0287D" w:rsidP="00C2656B">
            <w:pPr>
              <w:spacing w:after="0" w:line="240" w:lineRule="auto"/>
              <w:jc w:val="right"/>
              <w:rPr>
                <w:rFonts w:ascii="Arial" w:hAnsi="Arial" w:cs="Arial"/>
                <w:sz w:val="16"/>
                <w:szCs w:val="16"/>
              </w:rPr>
            </w:pPr>
            <w:r>
              <w:rPr>
                <w:rFonts w:ascii="Arial" w:hAnsi="Arial" w:cs="Arial"/>
                <w:sz w:val="16"/>
                <w:szCs w:val="16"/>
              </w:rPr>
              <w:t>–</w:t>
            </w:r>
          </w:p>
        </w:tc>
        <w:tc>
          <w:tcPr>
            <w:tcW w:w="938" w:type="dxa"/>
            <w:tcBorders>
              <w:top w:val="nil"/>
              <w:left w:val="nil"/>
              <w:bottom w:val="nil"/>
              <w:right w:val="nil"/>
            </w:tcBorders>
            <w:vAlign w:val="bottom"/>
          </w:tcPr>
          <w:p w:rsidR="00C2656B" w:rsidRDefault="00F0287D" w:rsidP="00C2656B">
            <w:pPr>
              <w:spacing w:after="0" w:line="240" w:lineRule="auto"/>
              <w:jc w:val="right"/>
              <w:rPr>
                <w:rFonts w:ascii="Arial" w:hAnsi="Arial" w:cs="Arial"/>
                <w:sz w:val="16"/>
                <w:szCs w:val="16"/>
              </w:rPr>
            </w:pPr>
            <w:r>
              <w:rPr>
                <w:rFonts w:ascii="Arial" w:hAnsi="Arial" w:cs="Arial"/>
                <w:sz w:val="16"/>
                <w:szCs w:val="16"/>
              </w:rPr>
              <w:t>–</w:t>
            </w:r>
          </w:p>
        </w:tc>
        <w:tc>
          <w:tcPr>
            <w:tcW w:w="939" w:type="dxa"/>
            <w:tcBorders>
              <w:top w:val="nil"/>
              <w:left w:val="nil"/>
              <w:bottom w:val="nil"/>
              <w:right w:val="nil"/>
            </w:tcBorders>
            <w:vAlign w:val="bottom"/>
          </w:tcPr>
          <w:p w:rsidR="00C2656B" w:rsidRDefault="00F0287D" w:rsidP="00C2656B">
            <w:pPr>
              <w:spacing w:after="0" w:line="240" w:lineRule="auto"/>
              <w:jc w:val="right"/>
              <w:rPr>
                <w:rFonts w:ascii="Arial" w:hAnsi="Arial" w:cs="Arial"/>
                <w:sz w:val="16"/>
                <w:szCs w:val="16"/>
              </w:rPr>
            </w:pPr>
            <w:r>
              <w:rPr>
                <w:rFonts w:ascii="Arial" w:hAnsi="Arial" w:cs="Arial"/>
                <w:sz w:val="16"/>
                <w:szCs w:val="16"/>
              </w:rPr>
              <w:t>–</w:t>
            </w:r>
          </w:p>
        </w:tc>
      </w:tr>
      <w:tr w:rsidR="00C2656B" w:rsidRPr="00D151ED" w:rsidTr="007E081D">
        <w:trPr>
          <w:trHeight w:val="231"/>
        </w:trPr>
        <w:tc>
          <w:tcPr>
            <w:tcW w:w="2958" w:type="dxa"/>
            <w:tcBorders>
              <w:top w:val="nil"/>
              <w:left w:val="nil"/>
              <w:bottom w:val="single" w:sz="4" w:space="0" w:color="auto"/>
              <w:right w:val="nil"/>
            </w:tcBorders>
            <w:vAlign w:val="bottom"/>
          </w:tcPr>
          <w:p w:rsidR="00C2656B" w:rsidRPr="00D151ED" w:rsidRDefault="00C2656B" w:rsidP="00F0287D">
            <w:pPr>
              <w:spacing w:before="60" w:after="0" w:line="240" w:lineRule="auto"/>
              <w:jc w:val="left"/>
              <w:rPr>
                <w:rFonts w:ascii="Arial" w:hAnsi="Arial" w:cs="Arial"/>
                <w:iCs/>
                <w:sz w:val="16"/>
                <w:szCs w:val="16"/>
              </w:rPr>
            </w:pPr>
            <w:r w:rsidRPr="00D151ED">
              <w:rPr>
                <w:rFonts w:ascii="Arial" w:hAnsi="Arial" w:cs="Arial"/>
                <w:iCs/>
                <w:sz w:val="16"/>
                <w:szCs w:val="16"/>
              </w:rPr>
              <w:t>Percentage and number of clients adhering to agreed financial management strategies to manage life transitions</w:t>
            </w:r>
            <w:r>
              <w:rPr>
                <w:rStyle w:val="FootnoteReference"/>
                <w:rFonts w:ascii="Arial" w:hAnsi="Arial" w:cs="Arial"/>
                <w:iCs/>
                <w:sz w:val="16"/>
                <w:szCs w:val="16"/>
              </w:rPr>
              <w:footnoteReference w:id="14"/>
            </w:r>
          </w:p>
        </w:tc>
        <w:tc>
          <w:tcPr>
            <w:tcW w:w="937" w:type="dxa"/>
            <w:tcBorders>
              <w:top w:val="nil"/>
              <w:left w:val="nil"/>
              <w:bottom w:val="single" w:sz="4" w:space="0" w:color="auto"/>
              <w:right w:val="nil"/>
            </w:tcBorders>
            <w:vAlign w:val="bottom"/>
          </w:tcPr>
          <w:p w:rsidR="00C2656B" w:rsidRDefault="00C2656B" w:rsidP="001205C8">
            <w:pPr>
              <w:spacing w:after="0" w:line="240" w:lineRule="auto"/>
              <w:jc w:val="right"/>
              <w:rPr>
                <w:rFonts w:ascii="Arial" w:hAnsi="Arial" w:cs="Arial"/>
                <w:sz w:val="16"/>
                <w:szCs w:val="16"/>
              </w:rPr>
            </w:pPr>
            <w:r>
              <w:rPr>
                <w:rFonts w:ascii="Arial" w:hAnsi="Arial" w:cs="Arial"/>
                <w:sz w:val="16"/>
                <w:szCs w:val="16"/>
              </w:rPr>
              <w:t>93%</w:t>
            </w:r>
          </w:p>
          <w:p w:rsidR="00C2656B" w:rsidRPr="00D151ED" w:rsidRDefault="00C2656B" w:rsidP="001205C8">
            <w:pPr>
              <w:spacing w:after="0" w:line="240" w:lineRule="auto"/>
              <w:jc w:val="right"/>
              <w:rPr>
                <w:rFonts w:ascii="Arial" w:hAnsi="Arial" w:cs="Arial"/>
                <w:sz w:val="16"/>
                <w:szCs w:val="16"/>
              </w:rPr>
            </w:pPr>
            <w:r>
              <w:rPr>
                <w:rFonts w:ascii="Arial" w:hAnsi="Arial" w:cs="Arial"/>
                <w:sz w:val="16"/>
                <w:szCs w:val="16"/>
              </w:rPr>
              <w:t>18,770</w:t>
            </w:r>
          </w:p>
        </w:tc>
        <w:tc>
          <w:tcPr>
            <w:tcW w:w="938" w:type="dxa"/>
            <w:tcBorders>
              <w:top w:val="nil"/>
              <w:left w:val="nil"/>
              <w:bottom w:val="single" w:sz="4" w:space="0" w:color="auto"/>
              <w:right w:val="nil"/>
            </w:tcBorders>
            <w:shd w:val="clear" w:color="000000" w:fill="E6E6E6"/>
            <w:vAlign w:val="bottom"/>
          </w:tcPr>
          <w:p w:rsidR="00C2656B" w:rsidRDefault="00C2656B" w:rsidP="001205C8">
            <w:pPr>
              <w:spacing w:after="0" w:line="240" w:lineRule="auto"/>
              <w:jc w:val="right"/>
              <w:rPr>
                <w:rFonts w:ascii="Arial" w:hAnsi="Arial" w:cs="Arial"/>
                <w:sz w:val="16"/>
                <w:szCs w:val="16"/>
              </w:rPr>
            </w:pPr>
            <w:r>
              <w:rPr>
                <w:rFonts w:ascii="Arial" w:hAnsi="Arial" w:cs="Arial"/>
                <w:sz w:val="16"/>
                <w:szCs w:val="16"/>
              </w:rPr>
              <w:t>90%</w:t>
            </w:r>
          </w:p>
          <w:p w:rsidR="00C2656B" w:rsidRPr="00D151ED" w:rsidRDefault="00C2656B" w:rsidP="001205C8">
            <w:pPr>
              <w:spacing w:after="0" w:line="240" w:lineRule="auto"/>
              <w:jc w:val="right"/>
              <w:rPr>
                <w:rFonts w:ascii="Arial" w:hAnsi="Arial" w:cs="Arial"/>
                <w:sz w:val="16"/>
                <w:szCs w:val="16"/>
              </w:rPr>
            </w:pPr>
            <w:r>
              <w:rPr>
                <w:rFonts w:ascii="Arial" w:hAnsi="Arial" w:cs="Arial"/>
                <w:sz w:val="16"/>
                <w:szCs w:val="16"/>
              </w:rPr>
              <w:t>24,300</w:t>
            </w:r>
          </w:p>
        </w:tc>
        <w:tc>
          <w:tcPr>
            <w:tcW w:w="939" w:type="dxa"/>
            <w:tcBorders>
              <w:top w:val="nil"/>
              <w:left w:val="nil"/>
              <w:bottom w:val="single" w:sz="4" w:space="0" w:color="auto"/>
              <w:right w:val="nil"/>
            </w:tcBorders>
            <w:vAlign w:val="bottom"/>
          </w:tcPr>
          <w:p w:rsidR="00C2656B" w:rsidRDefault="00C2656B" w:rsidP="001205C8">
            <w:pPr>
              <w:spacing w:after="0" w:line="240" w:lineRule="auto"/>
              <w:jc w:val="right"/>
              <w:rPr>
                <w:rFonts w:ascii="Arial" w:hAnsi="Arial" w:cs="Arial"/>
                <w:sz w:val="16"/>
                <w:szCs w:val="16"/>
              </w:rPr>
            </w:pPr>
            <w:r>
              <w:rPr>
                <w:rFonts w:ascii="Arial" w:hAnsi="Arial" w:cs="Arial"/>
                <w:sz w:val="16"/>
                <w:szCs w:val="16"/>
              </w:rPr>
              <w:t>90%</w:t>
            </w:r>
          </w:p>
          <w:p w:rsidR="00C2656B" w:rsidRPr="00D151ED" w:rsidRDefault="00C2656B" w:rsidP="001205C8">
            <w:pPr>
              <w:spacing w:after="0" w:line="240" w:lineRule="auto"/>
              <w:jc w:val="right"/>
              <w:rPr>
                <w:rFonts w:ascii="Arial" w:hAnsi="Arial" w:cs="Arial"/>
                <w:sz w:val="16"/>
                <w:szCs w:val="16"/>
              </w:rPr>
            </w:pPr>
            <w:r>
              <w:rPr>
                <w:rFonts w:ascii="Arial" w:hAnsi="Arial" w:cs="Arial"/>
                <w:sz w:val="16"/>
                <w:szCs w:val="16"/>
              </w:rPr>
              <w:t>22,700</w:t>
            </w:r>
          </w:p>
        </w:tc>
        <w:tc>
          <w:tcPr>
            <w:tcW w:w="938" w:type="dxa"/>
            <w:tcBorders>
              <w:top w:val="nil"/>
              <w:left w:val="nil"/>
              <w:bottom w:val="single" w:sz="4" w:space="0" w:color="auto"/>
              <w:right w:val="nil"/>
            </w:tcBorders>
            <w:vAlign w:val="bottom"/>
          </w:tcPr>
          <w:p w:rsidR="00C2656B" w:rsidRDefault="00C2656B" w:rsidP="001205C8">
            <w:pPr>
              <w:spacing w:after="0" w:line="240" w:lineRule="auto"/>
              <w:jc w:val="right"/>
              <w:rPr>
                <w:rFonts w:ascii="Arial" w:hAnsi="Arial" w:cs="Arial"/>
                <w:sz w:val="16"/>
                <w:szCs w:val="16"/>
              </w:rPr>
            </w:pPr>
            <w:r>
              <w:rPr>
                <w:rFonts w:ascii="Arial" w:hAnsi="Arial" w:cs="Arial"/>
                <w:sz w:val="16"/>
                <w:szCs w:val="16"/>
              </w:rPr>
              <w:t>90%</w:t>
            </w:r>
          </w:p>
          <w:p w:rsidR="00C2656B" w:rsidRPr="000C048F" w:rsidRDefault="00C2656B" w:rsidP="001205C8">
            <w:pPr>
              <w:spacing w:after="0" w:line="240" w:lineRule="auto"/>
              <w:jc w:val="right"/>
              <w:rPr>
                <w:rFonts w:ascii="Arial" w:hAnsi="Arial" w:cs="Arial"/>
                <w:sz w:val="16"/>
                <w:szCs w:val="16"/>
                <w:highlight w:val="yellow"/>
              </w:rPr>
            </w:pPr>
            <w:r>
              <w:rPr>
                <w:rFonts w:ascii="Arial" w:hAnsi="Arial" w:cs="Arial"/>
                <w:sz w:val="16"/>
                <w:szCs w:val="16"/>
              </w:rPr>
              <w:t>18,200</w:t>
            </w:r>
          </w:p>
        </w:tc>
        <w:tc>
          <w:tcPr>
            <w:tcW w:w="939" w:type="dxa"/>
            <w:tcBorders>
              <w:top w:val="nil"/>
              <w:left w:val="nil"/>
              <w:bottom w:val="single" w:sz="4" w:space="0" w:color="auto"/>
              <w:right w:val="nil"/>
            </w:tcBorders>
            <w:vAlign w:val="bottom"/>
          </w:tcPr>
          <w:p w:rsidR="00C2656B" w:rsidRDefault="00C2656B" w:rsidP="001205C8">
            <w:pPr>
              <w:spacing w:after="0" w:line="240" w:lineRule="auto"/>
              <w:jc w:val="right"/>
              <w:rPr>
                <w:rFonts w:ascii="Arial" w:hAnsi="Arial" w:cs="Arial"/>
                <w:sz w:val="16"/>
                <w:szCs w:val="16"/>
              </w:rPr>
            </w:pPr>
            <w:r>
              <w:rPr>
                <w:rFonts w:ascii="Arial" w:hAnsi="Arial" w:cs="Arial"/>
                <w:sz w:val="16"/>
                <w:szCs w:val="16"/>
              </w:rPr>
              <w:t>90%</w:t>
            </w:r>
          </w:p>
          <w:p w:rsidR="00C2656B" w:rsidRPr="000C048F" w:rsidRDefault="00C2656B" w:rsidP="001205C8">
            <w:pPr>
              <w:spacing w:after="0" w:line="240" w:lineRule="auto"/>
              <w:jc w:val="right"/>
              <w:rPr>
                <w:rFonts w:ascii="Arial" w:hAnsi="Arial" w:cs="Arial"/>
                <w:sz w:val="16"/>
                <w:szCs w:val="16"/>
                <w:highlight w:val="yellow"/>
              </w:rPr>
            </w:pPr>
            <w:r>
              <w:rPr>
                <w:rFonts w:ascii="Arial" w:hAnsi="Arial" w:cs="Arial"/>
                <w:sz w:val="16"/>
                <w:szCs w:val="16"/>
              </w:rPr>
              <w:t>18,200</w:t>
            </w:r>
          </w:p>
        </w:tc>
      </w:tr>
    </w:tbl>
    <w:p w:rsidR="00D151ED" w:rsidRDefault="00D151ED" w:rsidP="009B6DB9">
      <w:pPr>
        <w:spacing w:after="0" w:line="240" w:lineRule="auto"/>
        <w:rPr>
          <w:highlight w:val="yellow"/>
        </w:rPr>
      </w:pPr>
    </w:p>
    <w:p w:rsidR="007452AA" w:rsidRPr="001D60D8" w:rsidRDefault="00AA69E6" w:rsidP="00AA69E6">
      <w:pPr>
        <w:pStyle w:val="Heading6"/>
      </w:pPr>
      <w:r>
        <w:rPr>
          <w:highlight w:val="yellow"/>
        </w:rPr>
        <w:br w:type="page"/>
      </w:r>
      <w:r w:rsidR="007452AA" w:rsidRPr="001D60D8">
        <w:lastRenderedPageBreak/>
        <w:t>Program 3.2: Community Investment</w:t>
      </w:r>
    </w:p>
    <w:p w:rsidR="00184670" w:rsidRDefault="00184670" w:rsidP="004B6449">
      <w:pPr>
        <w:pStyle w:val="SinglePara"/>
        <w:rPr>
          <w:lang w:val="en-GB"/>
        </w:rPr>
      </w:pPr>
    </w:p>
    <w:p w:rsidR="00184670" w:rsidRDefault="00184670" w:rsidP="00AA69E6">
      <w:pPr>
        <w:pStyle w:val="Heading7"/>
      </w:pPr>
      <w:r>
        <w:t xml:space="preserve">Program 3.2 </w:t>
      </w:r>
      <w:r w:rsidR="007D1C3C">
        <w:t>o</w:t>
      </w:r>
      <w:r>
        <w:t>bjective</w:t>
      </w:r>
    </w:p>
    <w:p w:rsidR="00906BA2" w:rsidRPr="00906BA2" w:rsidRDefault="00920416" w:rsidP="00906BA2">
      <w:pPr>
        <w:pStyle w:val="NormalBox"/>
      </w:pPr>
      <w:r>
        <w:t xml:space="preserve">To provide grants and </w:t>
      </w:r>
      <w:proofErr w:type="spellStart"/>
      <w:r>
        <w:t>ongoing</w:t>
      </w:r>
      <w:proofErr w:type="spellEnd"/>
      <w:r>
        <w:t xml:space="preserve"> funding to improve the responsiveness and integration of local community services to increase participation of vulnerable people in community life.</w:t>
      </w:r>
    </w:p>
    <w:p w:rsidR="00184670" w:rsidRDefault="00184670" w:rsidP="007E081D">
      <w:pPr>
        <w:pStyle w:val="SinglePara"/>
        <w:rPr>
          <w:lang w:val="en-GB"/>
        </w:rPr>
      </w:pPr>
    </w:p>
    <w:p w:rsidR="00184670" w:rsidRDefault="00184670" w:rsidP="00184670">
      <w:pPr>
        <w:pStyle w:val="ProgramHeading2"/>
      </w:pPr>
      <w:r>
        <w:t>Program 3.</w:t>
      </w:r>
      <w:r w:rsidRPr="00AA69E6">
        <w:rPr>
          <w:rStyle w:val="Heading7Char"/>
        </w:rPr>
        <w:t>2</w:t>
      </w:r>
      <w:r>
        <w:t xml:space="preserve"> </w:t>
      </w:r>
      <w:r w:rsidR="007D1C3C">
        <w:t>e</w:t>
      </w:r>
      <w:r>
        <w:t>xpenses</w:t>
      </w:r>
    </w:p>
    <w:p w:rsidR="002617CB" w:rsidRPr="002617CB" w:rsidRDefault="002617CB" w:rsidP="002617CB">
      <w:pPr>
        <w:pStyle w:val="NormalBox"/>
      </w:pPr>
      <w:r w:rsidRPr="002617CB">
        <w:t>The change in program expenses across the forward years reflects projected changes in indexation parameters and the impact of policy initiatives.</w:t>
      </w:r>
    </w:p>
    <w:p w:rsidR="007452AA" w:rsidRDefault="00C612FC" w:rsidP="00660127">
      <w:pPr>
        <w:pStyle w:val="TableHeading"/>
        <w:rPr>
          <w:lang w:val="en-GB"/>
        </w:rPr>
      </w:pPr>
      <w:r>
        <w:rPr>
          <w:lang w:val="en-GB"/>
        </w:rPr>
        <w:t>Table 2.</w:t>
      </w:r>
      <w:r w:rsidR="007452AA">
        <w:rPr>
          <w:lang w:val="en-GB"/>
        </w:rPr>
        <w:t xml:space="preserve">3.2: </w:t>
      </w:r>
      <w:r w:rsidR="008B3B42">
        <w:rPr>
          <w:lang w:val="en-GB"/>
        </w:rPr>
        <w:t xml:space="preserve">Budgeted </w:t>
      </w:r>
      <w:r w:rsidR="007D1C3C">
        <w:rPr>
          <w:lang w:val="en-GB"/>
        </w:rPr>
        <w:t>e</w:t>
      </w:r>
      <w:r w:rsidR="007452AA">
        <w:rPr>
          <w:lang w:val="en-GB"/>
        </w:rPr>
        <w:t xml:space="preserve">xpenses </w:t>
      </w:r>
      <w:r w:rsidR="008B3B42">
        <w:rPr>
          <w:lang w:val="en-GB"/>
        </w:rPr>
        <w:t>for Community Investment</w:t>
      </w:r>
    </w:p>
    <w:p w:rsidR="00EE4C07" w:rsidRDefault="007B4BBD" w:rsidP="00EE4C07">
      <w:pPr>
        <w:pStyle w:val="TableGraphic"/>
        <w:rPr>
          <w:lang w:val="en-GB"/>
        </w:rPr>
      </w:pPr>
      <w:r>
        <w:rPr>
          <w:noProof/>
        </w:rPr>
        <w:drawing>
          <wp:inline distT="0" distB="0" distL="0" distR="0" wp14:anchorId="0977CA8F" wp14:editId="53A294E2">
            <wp:extent cx="4878705" cy="2016151"/>
            <wp:effectExtent l="0" t="0" r="0" b="3175"/>
            <wp:docPr id="152" name="Picture 152" descr="Table 2.3.2: Budgeted expenses for Community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78705" cy="2016151"/>
                    </a:xfrm>
                    <a:prstGeom prst="rect">
                      <a:avLst/>
                    </a:prstGeom>
                    <a:noFill/>
                    <a:ln>
                      <a:noFill/>
                    </a:ln>
                  </pic:spPr>
                </pic:pic>
              </a:graphicData>
            </a:graphic>
          </wp:inline>
        </w:drawing>
      </w:r>
    </w:p>
    <w:p w:rsidR="007452AA" w:rsidRDefault="00AA69E6" w:rsidP="00AA69E6">
      <w:pPr>
        <w:pStyle w:val="Heading7"/>
      </w:pPr>
      <w:r>
        <w:br w:type="page"/>
      </w:r>
      <w:r w:rsidR="007452AA" w:rsidRPr="009A42B2">
        <w:lastRenderedPageBreak/>
        <w:t xml:space="preserve">Program </w:t>
      </w:r>
      <w:r w:rsidR="002D42E7">
        <w:t xml:space="preserve">3.2 </w:t>
      </w:r>
      <w:r w:rsidR="007D1C3C">
        <w:t>d</w:t>
      </w:r>
      <w:r w:rsidR="007452AA" w:rsidRPr="009A42B2">
        <w:t xml:space="preserve">eliverables </w:t>
      </w:r>
    </w:p>
    <w:p w:rsidR="00836261" w:rsidRDefault="00836261" w:rsidP="00836261">
      <w:pPr>
        <w:pStyle w:val="BulletBox"/>
      </w:pPr>
      <w:r>
        <w:t>Number of individuals assisted through Volunteer Grants</w:t>
      </w:r>
    </w:p>
    <w:p w:rsidR="00836261" w:rsidRPr="00836261" w:rsidRDefault="00836261" w:rsidP="00836261">
      <w:pPr>
        <w:pStyle w:val="BulletBox"/>
      </w:pPr>
      <w:r>
        <w:t xml:space="preserve">Number of individuals assisted through the </w:t>
      </w:r>
      <w:r w:rsidR="00773732">
        <w:t xml:space="preserve">Community Investment </w:t>
      </w:r>
      <w:r w:rsidR="00CA1746">
        <w:t>Program</w:t>
      </w:r>
    </w:p>
    <w:p w:rsidR="00773732" w:rsidRDefault="00773732" w:rsidP="00773732">
      <w:pPr>
        <w:pStyle w:val="TableHeading"/>
      </w:pPr>
      <w:r>
        <w:t xml:space="preserve">Community Investment </w:t>
      </w:r>
      <w:r w:rsidR="00114603">
        <w:t>deliverables t</w:t>
      </w:r>
      <w:r>
        <w:t>argets</w:t>
      </w:r>
    </w:p>
    <w:tbl>
      <w:tblPr>
        <w:tblW w:w="7642" w:type="dxa"/>
        <w:tblInd w:w="40" w:type="dxa"/>
        <w:tblCellMar>
          <w:top w:w="17" w:type="dxa"/>
          <w:left w:w="28" w:type="dxa"/>
          <w:bottom w:w="17" w:type="dxa"/>
          <w:right w:w="28" w:type="dxa"/>
        </w:tblCellMar>
        <w:tblLook w:val="00A0" w:firstRow="1" w:lastRow="0" w:firstColumn="1" w:lastColumn="0" w:noHBand="0" w:noVBand="0"/>
        <w:tblDescription w:val="Community Investment deliverables targets"/>
      </w:tblPr>
      <w:tblGrid>
        <w:gridCol w:w="3107"/>
        <w:gridCol w:w="907"/>
        <w:gridCol w:w="907"/>
        <w:gridCol w:w="907"/>
        <w:gridCol w:w="907"/>
        <w:gridCol w:w="907"/>
      </w:tblGrid>
      <w:tr w:rsidR="00773732" w:rsidRPr="00773732" w:rsidTr="002D73FA">
        <w:trPr>
          <w:trHeight w:val="239"/>
        </w:trPr>
        <w:tc>
          <w:tcPr>
            <w:tcW w:w="3107" w:type="dxa"/>
            <w:tcBorders>
              <w:top w:val="single" w:sz="4" w:space="0" w:color="auto"/>
              <w:left w:val="nil"/>
              <w:bottom w:val="single" w:sz="4" w:space="0" w:color="auto"/>
              <w:right w:val="nil"/>
            </w:tcBorders>
          </w:tcPr>
          <w:p w:rsidR="00773732" w:rsidRPr="00773732" w:rsidRDefault="00773732" w:rsidP="00773732">
            <w:pPr>
              <w:spacing w:before="120" w:after="60" w:line="240" w:lineRule="auto"/>
              <w:rPr>
                <w:rFonts w:ascii="Arial" w:hAnsi="Arial" w:cs="Arial"/>
                <w:b/>
                <w:bCs/>
                <w:sz w:val="16"/>
                <w:szCs w:val="16"/>
              </w:rPr>
            </w:pPr>
          </w:p>
        </w:tc>
        <w:tc>
          <w:tcPr>
            <w:tcW w:w="907" w:type="dxa"/>
            <w:tcBorders>
              <w:top w:val="single" w:sz="4" w:space="0" w:color="auto"/>
              <w:left w:val="nil"/>
              <w:bottom w:val="single" w:sz="4" w:space="0" w:color="auto"/>
              <w:right w:val="nil"/>
            </w:tcBorders>
            <w:shd w:val="clear" w:color="000000" w:fill="FFFFFF"/>
            <w:noWrap/>
            <w:vAlign w:val="bottom"/>
          </w:tcPr>
          <w:p w:rsidR="00773732" w:rsidRPr="00773732" w:rsidRDefault="00773732" w:rsidP="000C048F">
            <w:pPr>
              <w:spacing w:before="60" w:after="60" w:line="240" w:lineRule="auto"/>
              <w:jc w:val="right"/>
              <w:rPr>
                <w:rFonts w:ascii="Arial" w:hAnsi="Arial" w:cs="Arial"/>
                <w:sz w:val="16"/>
                <w:szCs w:val="16"/>
              </w:rPr>
            </w:pPr>
            <w:r w:rsidRPr="00773732">
              <w:rPr>
                <w:rFonts w:ascii="Arial" w:hAnsi="Arial" w:cs="Arial"/>
                <w:sz w:val="16"/>
                <w:szCs w:val="16"/>
              </w:rPr>
              <w:t>2012</w:t>
            </w:r>
            <w:r w:rsidR="000C048F">
              <w:rPr>
                <w:rFonts w:ascii="Arial" w:hAnsi="Arial" w:cs="Arial"/>
                <w:sz w:val="16"/>
                <w:szCs w:val="16"/>
              </w:rPr>
              <w:t>–</w:t>
            </w:r>
            <w:r>
              <w:rPr>
                <w:rFonts w:ascii="Arial" w:hAnsi="Arial" w:cs="Arial"/>
                <w:sz w:val="16"/>
                <w:szCs w:val="16"/>
              </w:rPr>
              <w:t>13</w:t>
            </w:r>
            <w:r w:rsidRPr="00773732">
              <w:rPr>
                <w:rFonts w:ascii="Arial" w:hAnsi="Arial" w:cs="Arial"/>
                <w:sz w:val="16"/>
                <w:szCs w:val="16"/>
              </w:rPr>
              <w:t xml:space="preserve"> Revised budget</w:t>
            </w:r>
          </w:p>
        </w:tc>
        <w:tc>
          <w:tcPr>
            <w:tcW w:w="907" w:type="dxa"/>
            <w:tcBorders>
              <w:top w:val="single" w:sz="4" w:space="0" w:color="auto"/>
              <w:left w:val="nil"/>
              <w:bottom w:val="single" w:sz="4" w:space="0" w:color="auto"/>
              <w:right w:val="nil"/>
            </w:tcBorders>
            <w:shd w:val="clear" w:color="000000" w:fill="E6E6E6"/>
            <w:noWrap/>
          </w:tcPr>
          <w:p w:rsidR="00773732" w:rsidRPr="00773732" w:rsidRDefault="00773732" w:rsidP="000C048F">
            <w:pPr>
              <w:spacing w:before="60" w:after="60" w:line="240" w:lineRule="auto"/>
              <w:jc w:val="right"/>
              <w:rPr>
                <w:rFonts w:ascii="Arial" w:hAnsi="Arial" w:cs="Arial"/>
                <w:sz w:val="16"/>
                <w:szCs w:val="16"/>
              </w:rPr>
            </w:pPr>
            <w:r>
              <w:rPr>
                <w:rFonts w:ascii="Arial" w:hAnsi="Arial" w:cs="Arial"/>
                <w:sz w:val="16"/>
                <w:szCs w:val="16"/>
              </w:rPr>
              <w:t>201</w:t>
            </w:r>
            <w:r w:rsidRPr="00773732">
              <w:rPr>
                <w:rFonts w:ascii="Arial" w:hAnsi="Arial" w:cs="Arial"/>
                <w:sz w:val="16"/>
                <w:szCs w:val="16"/>
              </w:rPr>
              <w:t>3</w:t>
            </w:r>
            <w:r w:rsidR="000C048F">
              <w:rPr>
                <w:rFonts w:ascii="Arial" w:hAnsi="Arial" w:cs="Arial"/>
                <w:sz w:val="16"/>
                <w:szCs w:val="16"/>
              </w:rPr>
              <w:t>–</w:t>
            </w:r>
            <w:r>
              <w:rPr>
                <w:rFonts w:ascii="Arial" w:hAnsi="Arial" w:cs="Arial"/>
                <w:sz w:val="16"/>
                <w:szCs w:val="16"/>
              </w:rPr>
              <w:t>14</w:t>
            </w:r>
            <w:r w:rsidRPr="00773732">
              <w:rPr>
                <w:rFonts w:ascii="Arial" w:hAnsi="Arial" w:cs="Arial"/>
                <w:sz w:val="16"/>
                <w:szCs w:val="16"/>
              </w:rPr>
              <w:t xml:space="preserve"> Budget</w:t>
            </w:r>
          </w:p>
        </w:tc>
        <w:tc>
          <w:tcPr>
            <w:tcW w:w="907" w:type="dxa"/>
            <w:tcBorders>
              <w:top w:val="single" w:sz="4" w:space="0" w:color="auto"/>
              <w:left w:val="nil"/>
              <w:bottom w:val="single" w:sz="4" w:space="0" w:color="auto"/>
              <w:right w:val="nil"/>
            </w:tcBorders>
            <w:shd w:val="clear" w:color="000000" w:fill="FFFFFF"/>
            <w:noWrap/>
            <w:vAlign w:val="bottom"/>
          </w:tcPr>
          <w:p w:rsidR="00773732" w:rsidRPr="00773732" w:rsidRDefault="00773732" w:rsidP="000C048F">
            <w:pPr>
              <w:spacing w:before="60" w:after="60" w:line="240" w:lineRule="auto"/>
              <w:jc w:val="right"/>
              <w:rPr>
                <w:rFonts w:ascii="Arial" w:hAnsi="Arial" w:cs="Arial"/>
                <w:sz w:val="16"/>
                <w:szCs w:val="16"/>
              </w:rPr>
            </w:pPr>
            <w:r w:rsidRPr="00773732">
              <w:rPr>
                <w:rFonts w:ascii="Arial" w:hAnsi="Arial" w:cs="Arial"/>
                <w:sz w:val="16"/>
                <w:szCs w:val="16"/>
              </w:rPr>
              <w:t>2014</w:t>
            </w:r>
            <w:r w:rsidR="000C048F">
              <w:rPr>
                <w:rFonts w:ascii="Arial" w:hAnsi="Arial" w:cs="Arial"/>
                <w:sz w:val="16"/>
                <w:szCs w:val="16"/>
              </w:rPr>
              <w:t>–</w:t>
            </w:r>
            <w:r>
              <w:rPr>
                <w:rFonts w:ascii="Arial" w:hAnsi="Arial" w:cs="Arial"/>
                <w:sz w:val="16"/>
                <w:szCs w:val="16"/>
              </w:rPr>
              <w:t>15</w:t>
            </w:r>
            <w:r w:rsidRPr="00773732">
              <w:rPr>
                <w:rFonts w:ascii="Arial" w:hAnsi="Arial" w:cs="Arial"/>
                <w:sz w:val="16"/>
                <w:szCs w:val="16"/>
              </w:rPr>
              <w:t xml:space="preserve"> Forward year 1</w:t>
            </w:r>
          </w:p>
        </w:tc>
        <w:tc>
          <w:tcPr>
            <w:tcW w:w="907" w:type="dxa"/>
            <w:tcBorders>
              <w:top w:val="single" w:sz="4" w:space="0" w:color="auto"/>
              <w:left w:val="nil"/>
              <w:bottom w:val="single" w:sz="4" w:space="0" w:color="auto"/>
              <w:right w:val="nil"/>
            </w:tcBorders>
            <w:shd w:val="clear" w:color="000000" w:fill="FFFFFF"/>
            <w:noWrap/>
            <w:vAlign w:val="bottom"/>
          </w:tcPr>
          <w:p w:rsidR="00773732" w:rsidRPr="00773732" w:rsidRDefault="00773732" w:rsidP="000C048F">
            <w:pPr>
              <w:spacing w:before="60" w:after="60" w:line="240" w:lineRule="auto"/>
              <w:jc w:val="right"/>
              <w:rPr>
                <w:rFonts w:ascii="Arial" w:hAnsi="Arial" w:cs="Arial"/>
                <w:sz w:val="16"/>
                <w:szCs w:val="16"/>
              </w:rPr>
            </w:pPr>
            <w:r w:rsidRPr="00773732">
              <w:rPr>
                <w:rFonts w:ascii="Arial" w:hAnsi="Arial" w:cs="Arial"/>
                <w:sz w:val="16"/>
                <w:szCs w:val="16"/>
              </w:rPr>
              <w:t>201</w:t>
            </w:r>
            <w:r>
              <w:rPr>
                <w:rFonts w:ascii="Arial" w:hAnsi="Arial" w:cs="Arial"/>
                <w:sz w:val="16"/>
                <w:szCs w:val="16"/>
              </w:rPr>
              <w:t>5</w:t>
            </w:r>
            <w:r w:rsidR="000C048F">
              <w:rPr>
                <w:rFonts w:ascii="Arial" w:hAnsi="Arial" w:cs="Arial"/>
                <w:sz w:val="16"/>
                <w:szCs w:val="16"/>
              </w:rPr>
              <w:t>–</w:t>
            </w:r>
            <w:r w:rsidRPr="00773732">
              <w:rPr>
                <w:rFonts w:ascii="Arial" w:hAnsi="Arial" w:cs="Arial"/>
                <w:sz w:val="16"/>
                <w:szCs w:val="16"/>
              </w:rPr>
              <w:t>1</w:t>
            </w:r>
            <w:r>
              <w:rPr>
                <w:rFonts w:ascii="Arial" w:hAnsi="Arial" w:cs="Arial"/>
                <w:sz w:val="16"/>
                <w:szCs w:val="16"/>
              </w:rPr>
              <w:t>6</w:t>
            </w:r>
            <w:r w:rsidRPr="00773732">
              <w:rPr>
                <w:rFonts w:ascii="Arial" w:hAnsi="Arial" w:cs="Arial"/>
                <w:sz w:val="16"/>
                <w:szCs w:val="16"/>
              </w:rPr>
              <w:t xml:space="preserve"> Forward year 2</w:t>
            </w:r>
          </w:p>
        </w:tc>
        <w:tc>
          <w:tcPr>
            <w:tcW w:w="907" w:type="dxa"/>
            <w:tcBorders>
              <w:top w:val="single" w:sz="4" w:space="0" w:color="auto"/>
              <w:left w:val="nil"/>
              <w:bottom w:val="single" w:sz="4" w:space="0" w:color="auto"/>
              <w:right w:val="nil"/>
            </w:tcBorders>
            <w:shd w:val="clear" w:color="000000" w:fill="FFFFFF"/>
            <w:noWrap/>
            <w:vAlign w:val="bottom"/>
          </w:tcPr>
          <w:p w:rsidR="00773732" w:rsidRPr="00773732" w:rsidRDefault="00773732" w:rsidP="000C048F">
            <w:pPr>
              <w:spacing w:before="60" w:after="60" w:line="240" w:lineRule="auto"/>
              <w:jc w:val="right"/>
              <w:rPr>
                <w:rFonts w:ascii="Arial" w:hAnsi="Arial" w:cs="Arial"/>
                <w:sz w:val="16"/>
                <w:szCs w:val="16"/>
              </w:rPr>
            </w:pPr>
            <w:r w:rsidRPr="00773732">
              <w:rPr>
                <w:rFonts w:ascii="Arial" w:hAnsi="Arial" w:cs="Arial"/>
                <w:sz w:val="16"/>
                <w:szCs w:val="16"/>
              </w:rPr>
              <w:t>2016</w:t>
            </w:r>
            <w:r w:rsidR="000C048F">
              <w:rPr>
                <w:rFonts w:ascii="Arial" w:hAnsi="Arial" w:cs="Arial"/>
                <w:sz w:val="16"/>
                <w:szCs w:val="16"/>
              </w:rPr>
              <w:t>–</w:t>
            </w:r>
            <w:r>
              <w:rPr>
                <w:rFonts w:ascii="Arial" w:hAnsi="Arial" w:cs="Arial"/>
                <w:sz w:val="16"/>
                <w:szCs w:val="16"/>
              </w:rPr>
              <w:t>17</w:t>
            </w:r>
            <w:r w:rsidRPr="00773732">
              <w:rPr>
                <w:rFonts w:ascii="Arial" w:hAnsi="Arial" w:cs="Arial"/>
                <w:sz w:val="16"/>
                <w:szCs w:val="16"/>
              </w:rPr>
              <w:t xml:space="preserve"> Forward year 3</w:t>
            </w:r>
          </w:p>
        </w:tc>
      </w:tr>
      <w:tr w:rsidR="00773732" w:rsidRPr="00773732" w:rsidTr="00D5509E">
        <w:trPr>
          <w:trHeight w:val="239"/>
        </w:trPr>
        <w:tc>
          <w:tcPr>
            <w:tcW w:w="3107" w:type="dxa"/>
            <w:tcBorders>
              <w:top w:val="nil"/>
              <w:left w:val="nil"/>
              <w:right w:val="nil"/>
            </w:tcBorders>
            <w:noWrap/>
            <w:vAlign w:val="bottom"/>
          </w:tcPr>
          <w:p w:rsidR="00773732" w:rsidRPr="00773732" w:rsidRDefault="00773732" w:rsidP="001205C8">
            <w:pPr>
              <w:spacing w:before="60" w:after="0" w:line="240" w:lineRule="auto"/>
              <w:jc w:val="left"/>
              <w:rPr>
                <w:rFonts w:ascii="Arial" w:hAnsi="Arial" w:cs="Arial"/>
                <w:sz w:val="16"/>
                <w:szCs w:val="16"/>
              </w:rPr>
            </w:pPr>
            <w:r w:rsidRPr="00773732">
              <w:rPr>
                <w:rFonts w:ascii="Arial" w:hAnsi="Arial" w:cs="Arial"/>
                <w:sz w:val="16"/>
                <w:szCs w:val="16"/>
              </w:rPr>
              <w:t xml:space="preserve">Number of </w:t>
            </w:r>
            <w:r w:rsidR="0035025C">
              <w:rPr>
                <w:rFonts w:ascii="Arial" w:hAnsi="Arial" w:cs="Arial"/>
                <w:sz w:val="16"/>
                <w:szCs w:val="16"/>
              </w:rPr>
              <w:t>volunteers</w:t>
            </w:r>
            <w:r w:rsidRPr="00773732">
              <w:rPr>
                <w:rFonts w:ascii="Arial" w:hAnsi="Arial" w:cs="Arial"/>
                <w:sz w:val="16"/>
                <w:szCs w:val="16"/>
              </w:rPr>
              <w:t xml:space="preserve"> assisted through Volunteer Grants</w:t>
            </w:r>
            <w:r w:rsidR="00CC6E20">
              <w:rPr>
                <w:rStyle w:val="FootnoteReference"/>
                <w:rFonts w:ascii="Arial" w:hAnsi="Arial" w:cs="Arial"/>
                <w:sz w:val="16"/>
                <w:szCs w:val="16"/>
              </w:rPr>
              <w:footnoteReference w:id="15"/>
            </w:r>
          </w:p>
        </w:tc>
        <w:tc>
          <w:tcPr>
            <w:tcW w:w="907" w:type="dxa"/>
            <w:tcBorders>
              <w:top w:val="nil"/>
              <w:left w:val="nil"/>
              <w:right w:val="nil"/>
            </w:tcBorders>
            <w:vAlign w:val="bottom"/>
          </w:tcPr>
          <w:p w:rsidR="00773732" w:rsidRPr="00773732" w:rsidRDefault="00773732" w:rsidP="001205C8">
            <w:pPr>
              <w:spacing w:after="0" w:line="240" w:lineRule="auto"/>
              <w:jc w:val="right"/>
              <w:rPr>
                <w:rFonts w:ascii="Arial" w:hAnsi="Arial" w:cs="Arial"/>
                <w:sz w:val="16"/>
                <w:szCs w:val="16"/>
              </w:rPr>
            </w:pPr>
            <w:r w:rsidRPr="00773732">
              <w:rPr>
                <w:rFonts w:ascii="Arial" w:hAnsi="Arial" w:cs="Arial"/>
                <w:sz w:val="16"/>
                <w:szCs w:val="16"/>
              </w:rPr>
              <w:t>1</w:t>
            </w:r>
            <w:r w:rsidR="00CC6E20">
              <w:rPr>
                <w:rFonts w:ascii="Arial" w:hAnsi="Arial" w:cs="Arial"/>
                <w:sz w:val="16"/>
                <w:szCs w:val="16"/>
              </w:rPr>
              <w:t>6</w:t>
            </w:r>
            <w:r w:rsidRPr="00773732">
              <w:rPr>
                <w:rFonts w:ascii="Arial" w:hAnsi="Arial" w:cs="Arial"/>
                <w:sz w:val="16"/>
                <w:szCs w:val="16"/>
              </w:rPr>
              <w:t>5,000</w:t>
            </w:r>
          </w:p>
        </w:tc>
        <w:tc>
          <w:tcPr>
            <w:tcW w:w="907" w:type="dxa"/>
            <w:tcBorders>
              <w:top w:val="nil"/>
              <w:left w:val="nil"/>
              <w:right w:val="nil"/>
            </w:tcBorders>
            <w:shd w:val="clear" w:color="000000" w:fill="E6E6E6"/>
            <w:vAlign w:val="bottom"/>
          </w:tcPr>
          <w:p w:rsidR="00773732" w:rsidRPr="00773732" w:rsidRDefault="00773732" w:rsidP="001205C8">
            <w:pPr>
              <w:spacing w:after="0" w:line="240" w:lineRule="auto"/>
              <w:jc w:val="right"/>
              <w:rPr>
                <w:rFonts w:ascii="Arial" w:hAnsi="Arial" w:cs="Arial"/>
                <w:sz w:val="16"/>
                <w:szCs w:val="16"/>
              </w:rPr>
            </w:pPr>
            <w:r w:rsidRPr="00773732">
              <w:rPr>
                <w:rFonts w:ascii="Arial" w:hAnsi="Arial" w:cs="Arial"/>
                <w:sz w:val="16"/>
                <w:szCs w:val="16"/>
              </w:rPr>
              <w:t>1</w:t>
            </w:r>
            <w:r w:rsidR="00CC6E20">
              <w:rPr>
                <w:rFonts w:ascii="Arial" w:hAnsi="Arial" w:cs="Arial"/>
                <w:sz w:val="16"/>
                <w:szCs w:val="16"/>
              </w:rPr>
              <w:t>6</w:t>
            </w:r>
            <w:r w:rsidRPr="00773732">
              <w:rPr>
                <w:rFonts w:ascii="Arial" w:hAnsi="Arial" w:cs="Arial"/>
                <w:sz w:val="16"/>
                <w:szCs w:val="16"/>
              </w:rPr>
              <w:t>5,000</w:t>
            </w:r>
          </w:p>
        </w:tc>
        <w:tc>
          <w:tcPr>
            <w:tcW w:w="907" w:type="dxa"/>
            <w:tcBorders>
              <w:top w:val="nil"/>
              <w:left w:val="nil"/>
              <w:right w:val="nil"/>
            </w:tcBorders>
            <w:vAlign w:val="bottom"/>
          </w:tcPr>
          <w:p w:rsidR="00773732" w:rsidRPr="00773732" w:rsidRDefault="00773732" w:rsidP="001205C8">
            <w:pPr>
              <w:spacing w:after="0" w:line="240" w:lineRule="auto"/>
              <w:jc w:val="right"/>
              <w:rPr>
                <w:rFonts w:ascii="Arial" w:hAnsi="Arial" w:cs="Arial"/>
                <w:sz w:val="16"/>
                <w:szCs w:val="16"/>
              </w:rPr>
            </w:pPr>
            <w:r w:rsidRPr="00773732">
              <w:rPr>
                <w:rFonts w:ascii="Arial" w:hAnsi="Arial" w:cs="Arial"/>
                <w:sz w:val="16"/>
                <w:szCs w:val="16"/>
              </w:rPr>
              <w:t>1</w:t>
            </w:r>
            <w:r w:rsidR="00CC6E20">
              <w:rPr>
                <w:rFonts w:ascii="Arial" w:hAnsi="Arial" w:cs="Arial"/>
                <w:sz w:val="16"/>
                <w:szCs w:val="16"/>
              </w:rPr>
              <w:t>6</w:t>
            </w:r>
            <w:r w:rsidRPr="00773732">
              <w:rPr>
                <w:rFonts w:ascii="Arial" w:hAnsi="Arial" w:cs="Arial"/>
                <w:sz w:val="16"/>
                <w:szCs w:val="16"/>
              </w:rPr>
              <w:t>5,000</w:t>
            </w:r>
          </w:p>
        </w:tc>
        <w:tc>
          <w:tcPr>
            <w:tcW w:w="907" w:type="dxa"/>
            <w:tcBorders>
              <w:top w:val="nil"/>
              <w:left w:val="nil"/>
              <w:right w:val="nil"/>
            </w:tcBorders>
            <w:vAlign w:val="bottom"/>
          </w:tcPr>
          <w:p w:rsidR="00773732" w:rsidRPr="00773732" w:rsidRDefault="00773732" w:rsidP="001205C8">
            <w:pPr>
              <w:spacing w:after="0" w:line="240" w:lineRule="auto"/>
              <w:jc w:val="right"/>
              <w:rPr>
                <w:rFonts w:ascii="Arial" w:hAnsi="Arial" w:cs="Arial"/>
                <w:sz w:val="16"/>
                <w:szCs w:val="16"/>
              </w:rPr>
            </w:pPr>
            <w:r w:rsidRPr="00773732">
              <w:rPr>
                <w:rFonts w:ascii="Arial" w:hAnsi="Arial" w:cs="Arial"/>
                <w:sz w:val="16"/>
                <w:szCs w:val="16"/>
              </w:rPr>
              <w:t>1</w:t>
            </w:r>
            <w:r w:rsidR="00CC6E20">
              <w:rPr>
                <w:rFonts w:ascii="Arial" w:hAnsi="Arial" w:cs="Arial"/>
                <w:sz w:val="16"/>
                <w:szCs w:val="16"/>
              </w:rPr>
              <w:t>6</w:t>
            </w:r>
            <w:r w:rsidRPr="00773732">
              <w:rPr>
                <w:rFonts w:ascii="Arial" w:hAnsi="Arial" w:cs="Arial"/>
                <w:sz w:val="16"/>
                <w:szCs w:val="16"/>
              </w:rPr>
              <w:t>5,000</w:t>
            </w:r>
          </w:p>
        </w:tc>
        <w:tc>
          <w:tcPr>
            <w:tcW w:w="907" w:type="dxa"/>
            <w:tcBorders>
              <w:top w:val="nil"/>
              <w:left w:val="nil"/>
              <w:right w:val="nil"/>
            </w:tcBorders>
            <w:vAlign w:val="bottom"/>
          </w:tcPr>
          <w:p w:rsidR="00773732" w:rsidRPr="00746BEF" w:rsidRDefault="0035025C" w:rsidP="001205C8">
            <w:pPr>
              <w:spacing w:after="0" w:line="240" w:lineRule="auto"/>
              <w:jc w:val="right"/>
              <w:rPr>
                <w:rFonts w:ascii="Arial" w:hAnsi="Arial" w:cs="Arial"/>
                <w:sz w:val="16"/>
                <w:szCs w:val="16"/>
                <w:highlight w:val="yellow"/>
              </w:rPr>
            </w:pPr>
            <w:r w:rsidRPr="00773732">
              <w:rPr>
                <w:rFonts w:ascii="Arial" w:hAnsi="Arial" w:cs="Arial"/>
                <w:sz w:val="16"/>
                <w:szCs w:val="16"/>
              </w:rPr>
              <w:t>1</w:t>
            </w:r>
            <w:r>
              <w:rPr>
                <w:rFonts w:ascii="Arial" w:hAnsi="Arial" w:cs="Arial"/>
                <w:sz w:val="16"/>
                <w:szCs w:val="16"/>
              </w:rPr>
              <w:t>6</w:t>
            </w:r>
            <w:r w:rsidRPr="00773732">
              <w:rPr>
                <w:rFonts w:ascii="Arial" w:hAnsi="Arial" w:cs="Arial"/>
                <w:sz w:val="16"/>
                <w:szCs w:val="16"/>
              </w:rPr>
              <w:t>5,000</w:t>
            </w:r>
          </w:p>
        </w:tc>
      </w:tr>
      <w:tr w:rsidR="00773732" w:rsidRPr="00773732" w:rsidTr="00D5509E">
        <w:trPr>
          <w:trHeight w:val="239"/>
        </w:trPr>
        <w:tc>
          <w:tcPr>
            <w:tcW w:w="3107" w:type="dxa"/>
            <w:tcBorders>
              <w:top w:val="nil"/>
              <w:left w:val="nil"/>
              <w:bottom w:val="single" w:sz="2" w:space="0" w:color="auto"/>
              <w:right w:val="nil"/>
            </w:tcBorders>
            <w:noWrap/>
            <w:vAlign w:val="bottom"/>
          </w:tcPr>
          <w:p w:rsidR="00773732" w:rsidRPr="00773732" w:rsidRDefault="00773732" w:rsidP="001205C8">
            <w:pPr>
              <w:spacing w:before="60" w:after="0" w:line="240" w:lineRule="auto"/>
              <w:jc w:val="left"/>
              <w:rPr>
                <w:rFonts w:ascii="Arial" w:hAnsi="Arial" w:cs="Arial"/>
                <w:sz w:val="16"/>
                <w:szCs w:val="16"/>
              </w:rPr>
            </w:pPr>
            <w:r w:rsidRPr="00773732">
              <w:rPr>
                <w:rFonts w:ascii="Arial" w:hAnsi="Arial" w:cs="Arial"/>
                <w:sz w:val="16"/>
                <w:szCs w:val="16"/>
              </w:rPr>
              <w:t xml:space="preserve">Number of individuals assisted through the Community Investment Program </w:t>
            </w:r>
          </w:p>
        </w:tc>
        <w:tc>
          <w:tcPr>
            <w:tcW w:w="907" w:type="dxa"/>
            <w:tcBorders>
              <w:top w:val="nil"/>
              <w:left w:val="nil"/>
              <w:bottom w:val="single" w:sz="2" w:space="0" w:color="auto"/>
              <w:right w:val="nil"/>
            </w:tcBorders>
            <w:vAlign w:val="bottom"/>
          </w:tcPr>
          <w:p w:rsidR="00773732" w:rsidRPr="00773732" w:rsidRDefault="00773732" w:rsidP="001205C8">
            <w:pPr>
              <w:spacing w:after="0" w:line="240" w:lineRule="auto"/>
              <w:jc w:val="right"/>
              <w:rPr>
                <w:rFonts w:ascii="Arial" w:hAnsi="Arial" w:cs="Arial"/>
                <w:sz w:val="16"/>
                <w:szCs w:val="16"/>
              </w:rPr>
            </w:pPr>
            <w:r w:rsidRPr="00773732">
              <w:rPr>
                <w:rFonts w:ascii="Arial" w:hAnsi="Arial" w:cs="Arial"/>
                <w:sz w:val="16"/>
                <w:szCs w:val="16"/>
              </w:rPr>
              <w:t>239,000</w:t>
            </w:r>
          </w:p>
        </w:tc>
        <w:tc>
          <w:tcPr>
            <w:tcW w:w="907" w:type="dxa"/>
            <w:tcBorders>
              <w:top w:val="nil"/>
              <w:left w:val="nil"/>
              <w:bottom w:val="single" w:sz="2" w:space="0" w:color="auto"/>
              <w:right w:val="nil"/>
            </w:tcBorders>
            <w:shd w:val="clear" w:color="000000" w:fill="E6E6E6"/>
            <w:vAlign w:val="bottom"/>
          </w:tcPr>
          <w:p w:rsidR="00773732" w:rsidRPr="00773732" w:rsidRDefault="00773732" w:rsidP="001205C8">
            <w:pPr>
              <w:spacing w:after="0" w:line="240" w:lineRule="auto"/>
              <w:jc w:val="right"/>
              <w:rPr>
                <w:rFonts w:ascii="Arial" w:hAnsi="Arial" w:cs="Arial"/>
                <w:sz w:val="16"/>
                <w:szCs w:val="16"/>
              </w:rPr>
            </w:pPr>
            <w:r w:rsidRPr="00773732">
              <w:rPr>
                <w:rFonts w:ascii="Arial" w:hAnsi="Arial" w:cs="Arial"/>
                <w:sz w:val="16"/>
                <w:szCs w:val="16"/>
              </w:rPr>
              <w:t>239,000</w:t>
            </w:r>
          </w:p>
        </w:tc>
        <w:tc>
          <w:tcPr>
            <w:tcW w:w="907" w:type="dxa"/>
            <w:tcBorders>
              <w:top w:val="nil"/>
              <w:left w:val="nil"/>
              <w:bottom w:val="single" w:sz="2" w:space="0" w:color="auto"/>
              <w:right w:val="nil"/>
            </w:tcBorders>
            <w:vAlign w:val="bottom"/>
          </w:tcPr>
          <w:p w:rsidR="00773732" w:rsidRPr="00773732" w:rsidRDefault="00773732" w:rsidP="001205C8">
            <w:pPr>
              <w:spacing w:after="0" w:line="240" w:lineRule="auto"/>
              <w:jc w:val="right"/>
              <w:rPr>
                <w:rFonts w:ascii="Arial" w:hAnsi="Arial" w:cs="Arial"/>
                <w:sz w:val="16"/>
                <w:szCs w:val="16"/>
              </w:rPr>
            </w:pPr>
            <w:r w:rsidRPr="00773732">
              <w:rPr>
                <w:rFonts w:ascii="Arial" w:hAnsi="Arial" w:cs="Arial"/>
                <w:sz w:val="16"/>
                <w:szCs w:val="16"/>
              </w:rPr>
              <w:t>239,000</w:t>
            </w:r>
          </w:p>
        </w:tc>
        <w:tc>
          <w:tcPr>
            <w:tcW w:w="907" w:type="dxa"/>
            <w:tcBorders>
              <w:top w:val="nil"/>
              <w:left w:val="nil"/>
              <w:bottom w:val="single" w:sz="2" w:space="0" w:color="auto"/>
              <w:right w:val="nil"/>
            </w:tcBorders>
            <w:vAlign w:val="bottom"/>
          </w:tcPr>
          <w:p w:rsidR="00773732" w:rsidRPr="00773732" w:rsidRDefault="00773732" w:rsidP="001205C8">
            <w:pPr>
              <w:spacing w:after="0" w:line="240" w:lineRule="auto"/>
              <w:jc w:val="right"/>
              <w:rPr>
                <w:rFonts w:ascii="Arial" w:hAnsi="Arial" w:cs="Arial"/>
                <w:sz w:val="16"/>
                <w:szCs w:val="16"/>
              </w:rPr>
            </w:pPr>
            <w:r w:rsidRPr="00773732">
              <w:rPr>
                <w:rFonts w:ascii="Arial" w:hAnsi="Arial" w:cs="Arial"/>
                <w:sz w:val="16"/>
                <w:szCs w:val="16"/>
              </w:rPr>
              <w:t>239,000</w:t>
            </w:r>
          </w:p>
        </w:tc>
        <w:tc>
          <w:tcPr>
            <w:tcW w:w="907" w:type="dxa"/>
            <w:tcBorders>
              <w:top w:val="nil"/>
              <w:left w:val="nil"/>
              <w:bottom w:val="single" w:sz="2" w:space="0" w:color="auto"/>
              <w:right w:val="nil"/>
            </w:tcBorders>
            <w:vAlign w:val="bottom"/>
          </w:tcPr>
          <w:p w:rsidR="00773732" w:rsidRPr="00746BEF" w:rsidRDefault="0035025C" w:rsidP="001205C8">
            <w:pPr>
              <w:spacing w:after="0" w:line="240" w:lineRule="auto"/>
              <w:jc w:val="right"/>
              <w:rPr>
                <w:rFonts w:ascii="Arial" w:hAnsi="Arial" w:cs="Arial"/>
                <w:sz w:val="16"/>
                <w:szCs w:val="16"/>
                <w:highlight w:val="yellow"/>
              </w:rPr>
            </w:pPr>
            <w:r w:rsidRPr="00773732">
              <w:rPr>
                <w:rFonts w:ascii="Arial" w:hAnsi="Arial" w:cs="Arial"/>
                <w:sz w:val="16"/>
                <w:szCs w:val="16"/>
              </w:rPr>
              <w:t>239,000</w:t>
            </w:r>
          </w:p>
        </w:tc>
      </w:tr>
    </w:tbl>
    <w:p w:rsidR="00773732" w:rsidRDefault="00773732" w:rsidP="00A67520"/>
    <w:p w:rsidR="007452AA" w:rsidRDefault="007452AA" w:rsidP="00AA69E6">
      <w:pPr>
        <w:pStyle w:val="Heading7"/>
      </w:pPr>
      <w:r w:rsidRPr="009A42B2">
        <w:t xml:space="preserve">Program </w:t>
      </w:r>
      <w:r w:rsidR="00625F50">
        <w:t xml:space="preserve">3.2 </w:t>
      </w:r>
      <w:r w:rsidR="007D1C3C">
        <w:t>key performance i</w:t>
      </w:r>
      <w:r w:rsidR="007D1C3C" w:rsidRPr="009A42B2">
        <w:t xml:space="preserve">ndicators </w:t>
      </w:r>
    </w:p>
    <w:p w:rsidR="00773732" w:rsidRPr="002D73FA" w:rsidRDefault="00773732" w:rsidP="00AA69E6">
      <w:pPr>
        <w:pStyle w:val="Heading8"/>
      </w:pPr>
      <w:r w:rsidRPr="002D73FA">
        <w:t>Community Investment</w:t>
      </w:r>
    </w:p>
    <w:p w:rsidR="00773732" w:rsidRDefault="00773732" w:rsidP="00773732">
      <w:pPr>
        <w:pStyle w:val="BulletBox"/>
      </w:pPr>
      <w:r>
        <w:t xml:space="preserve">Percentage and number of individuals who indicated they are satisfied with </w:t>
      </w:r>
      <w:r w:rsidR="00C1376A">
        <w:t>Indigenous Community Links</w:t>
      </w:r>
      <w:r>
        <w:t xml:space="preserve"> and </w:t>
      </w:r>
      <w:r w:rsidR="0035025C">
        <w:t xml:space="preserve">the </w:t>
      </w:r>
      <w:r>
        <w:t xml:space="preserve">Community </w:t>
      </w:r>
      <w:r w:rsidR="00C1376A">
        <w:t xml:space="preserve">Capacity Building </w:t>
      </w:r>
      <w:r>
        <w:t>Projects</w:t>
      </w:r>
    </w:p>
    <w:p w:rsidR="00AA69E6" w:rsidRDefault="00773732" w:rsidP="00AA69E6">
      <w:pPr>
        <w:pStyle w:val="BulletBox"/>
      </w:pPr>
      <w:r>
        <w:t>Percentage and number of individuals assisted from Indigenous and culturally and linguistically diverse backgrounds</w:t>
      </w:r>
      <w:r>
        <w:rPr>
          <w:rStyle w:val="FootnoteReference"/>
        </w:rPr>
        <w:footnoteReference w:id="16"/>
      </w:r>
    </w:p>
    <w:p w:rsidR="00AA69E6" w:rsidRDefault="00AA69E6" w:rsidP="00AA69E6">
      <w:pPr>
        <w:pStyle w:val="BulletBox"/>
        <w:numPr>
          <w:ilvl w:val="0"/>
          <w:numId w:val="0"/>
        </w:numPr>
        <w:ind w:left="284" w:hanging="284"/>
      </w:pPr>
    </w:p>
    <w:p w:rsidR="00AA69E6" w:rsidRDefault="00AA69E6" w:rsidP="00AA69E6">
      <w:pPr>
        <w:pStyle w:val="BulletBox"/>
        <w:numPr>
          <w:ilvl w:val="0"/>
          <w:numId w:val="0"/>
        </w:numPr>
        <w:ind w:left="284" w:hanging="284"/>
      </w:pPr>
    </w:p>
    <w:p w:rsidR="003A2EEE" w:rsidRPr="003A2EEE" w:rsidRDefault="00AA69E6" w:rsidP="003A2EEE">
      <w:r>
        <w:br w:type="page"/>
      </w:r>
    </w:p>
    <w:p w:rsidR="007452AA" w:rsidRPr="003A2EEE" w:rsidRDefault="007452AA" w:rsidP="003A2EEE">
      <w:pPr>
        <w:pStyle w:val="Heading6"/>
        <w:rPr>
          <w:highlight w:val="yellow"/>
        </w:rPr>
      </w:pPr>
      <w:r w:rsidRPr="003A2EEE">
        <w:t>Program 3.3: Income Support for Vulnerable People</w:t>
      </w:r>
    </w:p>
    <w:p w:rsidR="004D51F8" w:rsidRDefault="004D51F8" w:rsidP="001C23EF">
      <w:pPr>
        <w:pStyle w:val="SinglePara"/>
        <w:rPr>
          <w:lang w:val="en-GB"/>
        </w:rPr>
      </w:pPr>
    </w:p>
    <w:p w:rsidR="004D51F8" w:rsidRDefault="004D51F8" w:rsidP="00AA69E6">
      <w:pPr>
        <w:pStyle w:val="Heading7"/>
      </w:pPr>
      <w:r>
        <w:t xml:space="preserve">Program 3.3 </w:t>
      </w:r>
      <w:r w:rsidR="000F74F1">
        <w:t>o</w:t>
      </w:r>
      <w:r>
        <w:t>bjective</w:t>
      </w:r>
    </w:p>
    <w:p w:rsidR="004D51F8" w:rsidRDefault="004D51F8" w:rsidP="004D51F8">
      <w:pPr>
        <w:pStyle w:val="NormalBox"/>
        <w:pBdr>
          <w:between w:val="single" w:sz="2" w:space="3" w:color="auto"/>
        </w:pBdr>
      </w:pPr>
      <w:r>
        <w:t>To make payments to financially assist eligible people in severe financial hardship who do not have any other means of support.</w:t>
      </w:r>
    </w:p>
    <w:p w:rsidR="004D51F8" w:rsidRPr="004D51F8" w:rsidRDefault="004D51F8" w:rsidP="004D51F8">
      <w:pPr>
        <w:pStyle w:val="NormalBox"/>
        <w:pBdr>
          <w:between w:val="single" w:sz="2" w:space="3" w:color="auto"/>
        </w:pBdr>
      </w:pPr>
      <w:proofErr w:type="gramStart"/>
      <w:r>
        <w:t>Linked to: Personal benefits payments under this program are delivered by DHS.</w:t>
      </w:r>
      <w:proofErr w:type="gramEnd"/>
      <w:r w:rsidR="00385969">
        <w:t xml:space="preserve"> </w:t>
      </w:r>
      <w:r>
        <w:t>For more in</w:t>
      </w:r>
      <w:r w:rsidR="00CA1746">
        <w:t xml:space="preserve">formation refer to DHS’s </w:t>
      </w:r>
      <w:r w:rsidR="003549DF">
        <w:t xml:space="preserve">2013–14 </w:t>
      </w:r>
      <w:r>
        <w:t>PB Statements.</w:t>
      </w:r>
    </w:p>
    <w:p w:rsidR="004D51F8" w:rsidRDefault="004D51F8" w:rsidP="00A67520">
      <w:pPr>
        <w:pStyle w:val="SinglePara"/>
        <w:rPr>
          <w:lang w:val="en-GB"/>
        </w:rPr>
      </w:pPr>
    </w:p>
    <w:p w:rsidR="004D51F8" w:rsidRDefault="004D51F8" w:rsidP="00AA69E6">
      <w:pPr>
        <w:pStyle w:val="Heading7"/>
      </w:pPr>
      <w:r>
        <w:t xml:space="preserve">Program 3.3 </w:t>
      </w:r>
      <w:r w:rsidR="000F74F1">
        <w:t>e</w:t>
      </w:r>
      <w:r>
        <w:t>xpenses</w:t>
      </w:r>
    </w:p>
    <w:p w:rsidR="00906BA2" w:rsidRDefault="00906BA2" w:rsidP="00906BA2">
      <w:pPr>
        <w:pStyle w:val="NormalBox"/>
      </w:pPr>
      <w:r>
        <w:t xml:space="preserve">The increase in program expenses across the forward years reflects projected changes in customer trends and indexation parameters and impact of policy initiatives. </w:t>
      </w:r>
    </w:p>
    <w:p w:rsidR="00906BA2" w:rsidRPr="00906BA2" w:rsidRDefault="00906BA2" w:rsidP="00906BA2">
      <w:pPr>
        <w:pStyle w:val="NormalBox"/>
      </w:pPr>
      <w:r>
        <w:t>The impact of policy initiatives includes the Household Assistance Package</w:t>
      </w:r>
      <w:r w:rsidR="000F74F1">
        <w:t>, which</w:t>
      </w:r>
      <w:r>
        <w:t xml:space="preserve"> assist</w:t>
      </w:r>
      <w:r w:rsidR="000F74F1">
        <w:t>s</w:t>
      </w:r>
      <w:r>
        <w:t xml:space="preserve"> households </w:t>
      </w:r>
      <w:r w:rsidR="00900888">
        <w:t xml:space="preserve">to </w:t>
      </w:r>
      <w:r>
        <w:t>meet additional costs under a carbon price.</w:t>
      </w:r>
    </w:p>
    <w:p w:rsidR="007452AA" w:rsidRDefault="00C612FC" w:rsidP="00C5331F">
      <w:pPr>
        <w:pStyle w:val="TableHeading"/>
        <w:rPr>
          <w:lang w:val="en-GB"/>
        </w:rPr>
      </w:pPr>
      <w:r>
        <w:rPr>
          <w:lang w:val="en-GB"/>
        </w:rPr>
        <w:t>Table 2.</w:t>
      </w:r>
      <w:r w:rsidR="007452AA">
        <w:rPr>
          <w:lang w:val="en-GB"/>
        </w:rPr>
        <w:t xml:space="preserve">3.3: </w:t>
      </w:r>
      <w:r w:rsidR="008B3B42">
        <w:rPr>
          <w:lang w:val="en-GB"/>
        </w:rPr>
        <w:t xml:space="preserve">Budgeted </w:t>
      </w:r>
      <w:r w:rsidR="000F74F1">
        <w:rPr>
          <w:lang w:val="en-GB"/>
        </w:rPr>
        <w:t>e</w:t>
      </w:r>
      <w:r w:rsidR="003B7CE5">
        <w:rPr>
          <w:lang w:val="en-GB"/>
        </w:rPr>
        <w:t xml:space="preserve">xpenses </w:t>
      </w:r>
      <w:r w:rsidR="008B3B42">
        <w:rPr>
          <w:lang w:val="en-GB"/>
        </w:rPr>
        <w:t>for Income Support for Vulnerable People</w:t>
      </w:r>
    </w:p>
    <w:p w:rsidR="00EE4C07" w:rsidRDefault="007B4BBD" w:rsidP="00EE4C07">
      <w:pPr>
        <w:pStyle w:val="TableGraphic"/>
        <w:rPr>
          <w:lang w:val="en-GB"/>
        </w:rPr>
      </w:pPr>
      <w:r>
        <w:rPr>
          <w:noProof/>
        </w:rPr>
        <w:drawing>
          <wp:inline distT="0" distB="0" distL="0" distR="0" wp14:anchorId="1F368024" wp14:editId="08DE96FC">
            <wp:extent cx="4878705" cy="2301455"/>
            <wp:effectExtent l="0" t="0" r="0" b="3810"/>
            <wp:docPr id="153" name="Picture 153" descr="Table 2.3.3: Budgeted expenses for Income Support for Vulnerabl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78705" cy="2301455"/>
                    </a:xfrm>
                    <a:prstGeom prst="rect">
                      <a:avLst/>
                    </a:prstGeom>
                    <a:noFill/>
                    <a:ln>
                      <a:noFill/>
                    </a:ln>
                  </pic:spPr>
                </pic:pic>
              </a:graphicData>
            </a:graphic>
          </wp:inline>
        </w:drawing>
      </w:r>
    </w:p>
    <w:p w:rsidR="00AA69E6" w:rsidRDefault="00AA69E6" w:rsidP="00AA69E6">
      <w:pPr>
        <w:rPr>
          <w:lang w:val="en-GB"/>
        </w:rPr>
      </w:pPr>
      <w:r>
        <w:rPr>
          <w:lang w:val="en-GB"/>
        </w:rPr>
        <w:br w:type="page"/>
      </w:r>
    </w:p>
    <w:p w:rsidR="007452AA" w:rsidRDefault="007452AA" w:rsidP="00AA69E6">
      <w:pPr>
        <w:pStyle w:val="Heading7"/>
      </w:pPr>
      <w:r w:rsidRPr="00C50ECC">
        <w:t xml:space="preserve">Program </w:t>
      </w:r>
      <w:r w:rsidR="003B7CE5">
        <w:t xml:space="preserve">3.3 </w:t>
      </w:r>
      <w:r w:rsidR="000F74F1">
        <w:t>d</w:t>
      </w:r>
      <w:r w:rsidR="003B7CE5" w:rsidRPr="00C50ECC">
        <w:t>eliverables</w:t>
      </w:r>
    </w:p>
    <w:p w:rsidR="004D51F8" w:rsidRPr="004D51F8" w:rsidRDefault="004D51F8" w:rsidP="00221552">
      <w:pPr>
        <w:pStyle w:val="BulletBox"/>
      </w:pPr>
      <w:r>
        <w:t>Payments are made through DHS to eligible claimants under the provisions of social security law.</w:t>
      </w:r>
    </w:p>
    <w:p w:rsidR="004D51F8" w:rsidRDefault="004D51F8" w:rsidP="00A67520">
      <w:pPr>
        <w:pStyle w:val="SinglePara"/>
      </w:pPr>
    </w:p>
    <w:p w:rsidR="004D51F8" w:rsidRDefault="007452AA" w:rsidP="00AA69E6">
      <w:pPr>
        <w:pStyle w:val="Heading7"/>
      </w:pPr>
      <w:r w:rsidRPr="00C50ECC">
        <w:t xml:space="preserve">Program </w:t>
      </w:r>
      <w:r w:rsidR="003B7CE5">
        <w:t xml:space="preserve">3.3 </w:t>
      </w:r>
      <w:r w:rsidR="000F74F1">
        <w:t>k</w:t>
      </w:r>
      <w:r w:rsidR="000F74F1" w:rsidRPr="00C50ECC">
        <w:t xml:space="preserve">ey </w:t>
      </w:r>
      <w:r w:rsidR="000F74F1">
        <w:t>p</w:t>
      </w:r>
      <w:r w:rsidR="000F74F1" w:rsidRPr="00C50ECC">
        <w:t xml:space="preserve">erformance </w:t>
      </w:r>
      <w:r w:rsidR="000F74F1">
        <w:t>i</w:t>
      </w:r>
      <w:r w:rsidR="000F74F1" w:rsidRPr="00C50ECC">
        <w:t>ndicators</w:t>
      </w:r>
    </w:p>
    <w:p w:rsidR="004D51F8" w:rsidRPr="00A248EB" w:rsidRDefault="004D51F8" w:rsidP="003E4FAD">
      <w:pPr>
        <w:pStyle w:val="ProgramHeading3"/>
      </w:pPr>
      <w:r w:rsidRPr="00A248EB">
        <w:t>Income Support for Vulnerable People (Special Benefit)</w:t>
      </w:r>
    </w:p>
    <w:p w:rsidR="004D51F8" w:rsidRDefault="004D51F8" w:rsidP="004D51F8">
      <w:pPr>
        <w:pStyle w:val="BulletBox"/>
      </w:pPr>
      <w:r>
        <w:t>Percentage and number of recipients on part rate due to the means test</w:t>
      </w:r>
    </w:p>
    <w:p w:rsidR="004D51F8" w:rsidRDefault="004D51F8" w:rsidP="004D51F8">
      <w:pPr>
        <w:pStyle w:val="BulletBox"/>
      </w:pPr>
      <w:r>
        <w:t>Number of recipients</w:t>
      </w:r>
    </w:p>
    <w:p w:rsidR="004D51F8" w:rsidRDefault="004D51F8" w:rsidP="004D51F8">
      <w:pPr>
        <w:pStyle w:val="BulletBox"/>
      </w:pPr>
      <w:r>
        <w:t>Administered outlays</w:t>
      </w:r>
    </w:p>
    <w:p w:rsidR="004D51F8" w:rsidRDefault="004D51F8" w:rsidP="004D51F8">
      <w:pPr>
        <w:pStyle w:val="BulletBox"/>
      </w:pPr>
      <w:r>
        <w:t>Duration on payment</w:t>
      </w:r>
    </w:p>
    <w:p w:rsidR="004D51F8" w:rsidRDefault="004D51F8" w:rsidP="004D51F8">
      <w:pPr>
        <w:pStyle w:val="BulletBox"/>
      </w:pPr>
      <w:r>
        <w:t>Payment accuracy</w:t>
      </w:r>
    </w:p>
    <w:p w:rsidR="004D51F8" w:rsidRDefault="004D51F8" w:rsidP="004D51F8">
      <w:pPr>
        <w:pStyle w:val="BulletBox"/>
      </w:pPr>
      <w:r w:rsidRPr="00C47134">
        <w:t>Agreements are in place</w:t>
      </w:r>
      <w:r>
        <w:t xml:space="preserve"> with all service providers</w:t>
      </w:r>
    </w:p>
    <w:p w:rsidR="00AA69E6" w:rsidRDefault="004D51F8" w:rsidP="00AA69E6">
      <w:pPr>
        <w:pStyle w:val="BulletBox"/>
      </w:pPr>
      <w:r>
        <w:t>Strategies are in place to ensure that requirements are fulfilled under agreements with service delivery agencies</w:t>
      </w:r>
    </w:p>
    <w:p w:rsidR="007452AA" w:rsidRPr="00C50ECC" w:rsidRDefault="00AA69E6" w:rsidP="00AA69E6">
      <w:pPr>
        <w:pStyle w:val="Heading6"/>
      </w:pPr>
      <w:r>
        <w:br w:type="page"/>
      </w:r>
      <w:r w:rsidR="00FA5DAD">
        <w:lastRenderedPageBreak/>
        <w:t>Program 3</w:t>
      </w:r>
      <w:r w:rsidR="007452AA" w:rsidRPr="00A6671F">
        <w:t>.4: Income Support for People in Special Circumstances</w:t>
      </w:r>
    </w:p>
    <w:p w:rsidR="007452AA" w:rsidRDefault="007452AA" w:rsidP="001C23EF">
      <w:pPr>
        <w:pStyle w:val="SinglePara"/>
        <w:rPr>
          <w:lang w:val="en-GB"/>
        </w:rPr>
      </w:pPr>
    </w:p>
    <w:p w:rsidR="004D51F8" w:rsidRDefault="004D51F8" w:rsidP="00AA69E6">
      <w:pPr>
        <w:pStyle w:val="Heading7"/>
      </w:pPr>
      <w:r>
        <w:t xml:space="preserve">Program 3.4 </w:t>
      </w:r>
      <w:r w:rsidR="000F74F1">
        <w:t>o</w:t>
      </w:r>
      <w:r>
        <w:t>bjective</w:t>
      </w:r>
    </w:p>
    <w:p w:rsidR="004D51F8" w:rsidRDefault="004D51F8" w:rsidP="004D51F8">
      <w:pPr>
        <w:pStyle w:val="NormalBox"/>
      </w:pPr>
      <w:r>
        <w:t>To make payments to financially assist eligible people in severe financial hardship who do not have any other means of support.</w:t>
      </w:r>
    </w:p>
    <w:p w:rsidR="004D51F8" w:rsidRDefault="004D51F8" w:rsidP="004D51F8">
      <w:pPr>
        <w:pStyle w:val="NormalBox"/>
      </w:pPr>
      <w:proofErr w:type="gramStart"/>
      <w:r>
        <w:t>To make payments to Australians in circumstances beyond their control to support them in overcoming those circumstances and maintaining their financial wellbeing.</w:t>
      </w:r>
      <w:proofErr w:type="gramEnd"/>
    </w:p>
    <w:p w:rsidR="004D51F8" w:rsidRDefault="004D51F8" w:rsidP="00AA69E6">
      <w:pPr>
        <w:pStyle w:val="Heading7"/>
      </w:pPr>
      <w:r>
        <w:t>Program component objectives</w:t>
      </w:r>
    </w:p>
    <w:p w:rsidR="004D51F8" w:rsidRDefault="004D51F8" w:rsidP="00AA69E6">
      <w:pPr>
        <w:pStyle w:val="Heading8"/>
      </w:pPr>
      <w:r>
        <w:t>Bereavement Allowance</w:t>
      </w:r>
    </w:p>
    <w:p w:rsidR="004D51F8" w:rsidRDefault="004D51F8" w:rsidP="004D51F8">
      <w:pPr>
        <w:pStyle w:val="NormalBox"/>
      </w:pPr>
      <w:r>
        <w:t xml:space="preserve">To make payments for up to 14 weeks to recently widowed </w:t>
      </w:r>
      <w:r w:rsidR="008C1CA1">
        <w:t xml:space="preserve">people </w:t>
      </w:r>
      <w:r>
        <w:t>following the death of their partner to enable them to maintain an adequate standard of living during that time.</w:t>
      </w:r>
    </w:p>
    <w:p w:rsidR="004D51F8" w:rsidRDefault="004D51F8" w:rsidP="00AA69E6">
      <w:pPr>
        <w:pStyle w:val="Heading8"/>
      </w:pPr>
      <w:r>
        <w:t>Payments under Special Circumstances</w:t>
      </w:r>
    </w:p>
    <w:p w:rsidR="00C80D36" w:rsidRDefault="004D51F8" w:rsidP="00C80D36">
      <w:pPr>
        <w:pStyle w:val="NormalBox"/>
        <w:pBdr>
          <w:between w:val="single" w:sz="2" w:space="3" w:color="auto"/>
        </w:pBdr>
      </w:pPr>
      <w:r>
        <w:t>Payments under Special Circumstances include Act of Grace payments made under section 33 of the FMA Act and ex</w:t>
      </w:r>
      <w:r w:rsidR="00532B08">
        <w:t>-</w:t>
      </w:r>
      <w:r>
        <w:t>gratia payments to individuals and families affected by disasters and other crises.</w:t>
      </w:r>
    </w:p>
    <w:p w:rsidR="00C80D36" w:rsidRPr="00C80D36" w:rsidRDefault="00C80D36" w:rsidP="00C80D36">
      <w:pPr>
        <w:pStyle w:val="NormalBox"/>
        <w:pBdr>
          <w:between w:val="single" w:sz="2" w:space="3" w:color="auto"/>
        </w:pBdr>
      </w:pPr>
      <w:proofErr w:type="gramStart"/>
      <w:r w:rsidRPr="007806EF">
        <w:t>Linked to: Personal benefits payments under this program are delivered by DHS.</w:t>
      </w:r>
      <w:proofErr w:type="gramEnd"/>
      <w:r w:rsidRPr="007806EF">
        <w:t xml:space="preserve"> </w:t>
      </w:r>
      <w:r w:rsidRPr="007806EF">
        <w:br/>
        <w:t xml:space="preserve">For more information refer to DHS’s </w:t>
      </w:r>
      <w:r w:rsidR="00CA1746" w:rsidRPr="007806EF">
        <w:t>20</w:t>
      </w:r>
      <w:r w:rsidRPr="007806EF">
        <w:t>13</w:t>
      </w:r>
      <w:r w:rsidR="003E4FAD" w:rsidRPr="007806EF">
        <w:t>–</w:t>
      </w:r>
      <w:r w:rsidR="00CA1746" w:rsidRPr="007806EF">
        <w:t>14</w:t>
      </w:r>
      <w:r w:rsidRPr="007806EF">
        <w:t xml:space="preserve"> PB Statements.</w:t>
      </w:r>
    </w:p>
    <w:p w:rsidR="00C80D36" w:rsidRDefault="00C80D36" w:rsidP="001C23EF">
      <w:pPr>
        <w:rPr>
          <w:lang w:val="en-GB"/>
        </w:rPr>
      </w:pPr>
    </w:p>
    <w:p w:rsidR="00C80D36" w:rsidRDefault="001C23EF" w:rsidP="00AA69E6">
      <w:pPr>
        <w:pStyle w:val="Heading7"/>
      </w:pPr>
      <w:r>
        <w:br w:type="page"/>
      </w:r>
      <w:r w:rsidR="00C80D36">
        <w:lastRenderedPageBreak/>
        <w:t xml:space="preserve">Program 3.4 </w:t>
      </w:r>
      <w:r w:rsidR="00525980">
        <w:t>e</w:t>
      </w:r>
      <w:r w:rsidR="00C80D36">
        <w:t>xpenses</w:t>
      </w:r>
    </w:p>
    <w:p w:rsidR="00906BA2" w:rsidRDefault="00906BA2" w:rsidP="00906BA2">
      <w:pPr>
        <w:pStyle w:val="NormalBox"/>
      </w:pPr>
      <w:r>
        <w:t>The higher estimate for 2012</w:t>
      </w:r>
      <w:r w:rsidR="00C425EC">
        <w:t>–</w:t>
      </w:r>
      <w:r>
        <w:t xml:space="preserve">13 reflects a one-off increase for commemorative arrangements for the </w:t>
      </w:r>
      <w:r w:rsidR="00525980">
        <w:t>10</w:t>
      </w:r>
      <w:r>
        <w:t xml:space="preserve">th anniversary of the 2002 Bali </w:t>
      </w:r>
      <w:r w:rsidR="00525980">
        <w:t>b</w:t>
      </w:r>
      <w:r>
        <w:t xml:space="preserve">ombings. </w:t>
      </w:r>
    </w:p>
    <w:p w:rsidR="00906BA2" w:rsidRPr="00906BA2" w:rsidRDefault="00906BA2" w:rsidP="00906BA2">
      <w:pPr>
        <w:pStyle w:val="NormalBox"/>
      </w:pPr>
      <w:r>
        <w:t>The increase in program expenses across the forward years reflects projected changes in the customer trends and indexation parameters for Bereavement Allowance.</w:t>
      </w:r>
    </w:p>
    <w:p w:rsidR="00FE10B9" w:rsidRDefault="00C612FC" w:rsidP="00C80D36">
      <w:pPr>
        <w:pStyle w:val="TableHeading"/>
        <w:rPr>
          <w:lang w:val="en-GB"/>
        </w:rPr>
      </w:pPr>
      <w:r>
        <w:rPr>
          <w:lang w:val="en-GB"/>
        </w:rPr>
        <w:t>Table 2.</w:t>
      </w:r>
      <w:r w:rsidR="007452AA">
        <w:rPr>
          <w:lang w:val="en-GB"/>
        </w:rPr>
        <w:t xml:space="preserve">3.4: </w:t>
      </w:r>
      <w:r w:rsidR="008B3B42">
        <w:rPr>
          <w:lang w:val="en-GB"/>
        </w:rPr>
        <w:t xml:space="preserve">Budgeted </w:t>
      </w:r>
      <w:r w:rsidR="00525980">
        <w:rPr>
          <w:lang w:val="en-GB"/>
        </w:rPr>
        <w:t>e</w:t>
      </w:r>
      <w:r w:rsidR="003B7CE5">
        <w:rPr>
          <w:lang w:val="en-GB"/>
        </w:rPr>
        <w:t xml:space="preserve">xpenses </w:t>
      </w:r>
      <w:r w:rsidR="008B3B42">
        <w:rPr>
          <w:lang w:val="en-GB"/>
        </w:rPr>
        <w:t>for Support for People in Special Circumstances</w:t>
      </w:r>
    </w:p>
    <w:p w:rsidR="00EE4C07" w:rsidRDefault="007B4BBD" w:rsidP="00EE4C07">
      <w:pPr>
        <w:pStyle w:val="TableGraphic"/>
        <w:rPr>
          <w:lang w:val="en-GB"/>
        </w:rPr>
      </w:pPr>
      <w:r>
        <w:rPr>
          <w:noProof/>
        </w:rPr>
        <w:drawing>
          <wp:inline distT="0" distB="0" distL="0" distR="0" wp14:anchorId="5E52F3F9" wp14:editId="2F667AAA">
            <wp:extent cx="4878705" cy="2767453"/>
            <wp:effectExtent l="0" t="0" r="0" b="0"/>
            <wp:docPr id="154" name="Picture 154" descr="Table 2.3.4: Budgeted expenses for Support for People in Special Circum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78705" cy="2767453"/>
                    </a:xfrm>
                    <a:prstGeom prst="rect">
                      <a:avLst/>
                    </a:prstGeom>
                    <a:noFill/>
                    <a:ln>
                      <a:noFill/>
                    </a:ln>
                  </pic:spPr>
                </pic:pic>
              </a:graphicData>
            </a:graphic>
          </wp:inline>
        </w:drawing>
      </w:r>
    </w:p>
    <w:p w:rsidR="007452AA" w:rsidRDefault="00AA69E6" w:rsidP="00AA69E6">
      <w:pPr>
        <w:pStyle w:val="Heading7"/>
      </w:pPr>
      <w:r>
        <w:br w:type="page"/>
      </w:r>
      <w:r w:rsidR="007452AA" w:rsidRPr="00C50ECC">
        <w:lastRenderedPageBreak/>
        <w:t xml:space="preserve">Program </w:t>
      </w:r>
      <w:r w:rsidR="003B7CE5">
        <w:t xml:space="preserve">3.4 </w:t>
      </w:r>
      <w:r w:rsidR="00467A56">
        <w:t>d</w:t>
      </w:r>
      <w:r w:rsidR="003B7CE5" w:rsidRPr="00C50ECC">
        <w:t>eliverables</w:t>
      </w:r>
    </w:p>
    <w:p w:rsidR="00C80D36" w:rsidRPr="00A248EB" w:rsidRDefault="00C80D36" w:rsidP="005E25ED">
      <w:pPr>
        <w:pStyle w:val="Heading8"/>
      </w:pPr>
      <w:r w:rsidRPr="00A248EB">
        <w:t xml:space="preserve">Bereavement Allowance </w:t>
      </w:r>
    </w:p>
    <w:p w:rsidR="00C80D36" w:rsidRDefault="00C80D36" w:rsidP="00C80D36">
      <w:pPr>
        <w:pStyle w:val="BulletBox"/>
      </w:pPr>
      <w:r>
        <w:t>Payments are made through DHS to eligible claimants under the provisions of social security law</w:t>
      </w:r>
    </w:p>
    <w:p w:rsidR="00C80D36" w:rsidRPr="00A248EB" w:rsidRDefault="00C80D36" w:rsidP="005E25ED">
      <w:pPr>
        <w:pStyle w:val="Heading8"/>
      </w:pPr>
      <w:r w:rsidRPr="00A248EB">
        <w:t>Payments under Special Circumstances</w:t>
      </w:r>
    </w:p>
    <w:p w:rsidR="00C80D36" w:rsidRPr="00C80D36" w:rsidRDefault="00C80D36" w:rsidP="00C80D36">
      <w:pPr>
        <w:pStyle w:val="BulletBox"/>
      </w:pPr>
      <w:r>
        <w:t>Payments are made through DHS to eligible claimants under the provisions of social security law and the FMA Act</w:t>
      </w:r>
    </w:p>
    <w:p w:rsidR="00C80D36" w:rsidRDefault="00C80D36" w:rsidP="00A67520">
      <w:pPr>
        <w:pStyle w:val="SinglePara"/>
      </w:pPr>
    </w:p>
    <w:p w:rsidR="007452AA" w:rsidRDefault="007452AA" w:rsidP="005E25ED">
      <w:pPr>
        <w:pStyle w:val="Heading7"/>
      </w:pPr>
      <w:r w:rsidRPr="00C50ECC">
        <w:t xml:space="preserve">Program </w:t>
      </w:r>
      <w:r w:rsidR="003B7CE5">
        <w:t xml:space="preserve">3.4 </w:t>
      </w:r>
      <w:r w:rsidR="00467A56">
        <w:t>key performance i</w:t>
      </w:r>
      <w:r w:rsidR="00467A56" w:rsidRPr="00C50ECC">
        <w:t>ndicators</w:t>
      </w:r>
    </w:p>
    <w:p w:rsidR="00C80D36" w:rsidRPr="00A248EB" w:rsidRDefault="00C80D36" w:rsidP="005E25ED">
      <w:pPr>
        <w:pStyle w:val="Heading8"/>
      </w:pPr>
      <w:r w:rsidRPr="00A248EB">
        <w:t xml:space="preserve">Bereavement Allowance </w:t>
      </w:r>
    </w:p>
    <w:p w:rsidR="00C80D36" w:rsidRDefault="00C80D36" w:rsidP="00CA1746">
      <w:pPr>
        <w:pStyle w:val="BulletBox"/>
      </w:pPr>
      <w:r>
        <w:t>Number of recipients</w:t>
      </w:r>
    </w:p>
    <w:p w:rsidR="00C80D36" w:rsidRDefault="00C80D36" w:rsidP="00CA1746">
      <w:pPr>
        <w:pStyle w:val="BulletBox"/>
      </w:pPr>
      <w:r>
        <w:t>Administered outlays</w:t>
      </w:r>
    </w:p>
    <w:p w:rsidR="00C80D36" w:rsidRPr="00A248EB" w:rsidRDefault="00C80D36" w:rsidP="005E25ED">
      <w:pPr>
        <w:pStyle w:val="Heading8"/>
      </w:pPr>
      <w:r w:rsidRPr="00A248EB">
        <w:t>Payments under Special Circumstances</w:t>
      </w:r>
    </w:p>
    <w:p w:rsidR="00C80D36" w:rsidRDefault="00C80D36" w:rsidP="00CA1746">
      <w:pPr>
        <w:pStyle w:val="BulletBox"/>
      </w:pPr>
      <w:r>
        <w:t>Number of recipients</w:t>
      </w:r>
    </w:p>
    <w:p w:rsidR="005E25ED" w:rsidRDefault="00C80D36" w:rsidP="005E25ED">
      <w:pPr>
        <w:pStyle w:val="BulletBox"/>
      </w:pPr>
      <w:r>
        <w:t>Administered outlays</w:t>
      </w:r>
    </w:p>
    <w:p w:rsidR="007452AA" w:rsidRPr="00C50ECC" w:rsidRDefault="005E25ED" w:rsidP="005E25ED">
      <w:pPr>
        <w:pStyle w:val="Heading6"/>
      </w:pPr>
      <w:r>
        <w:br w:type="page"/>
      </w:r>
      <w:r w:rsidR="007452AA" w:rsidRPr="00A6671F">
        <w:lastRenderedPageBreak/>
        <w:t>Program 3.5: Supplementary Payments and Support for Income Support Recipients</w:t>
      </w:r>
    </w:p>
    <w:p w:rsidR="00CA1746" w:rsidRDefault="00CA1746" w:rsidP="001C23EF">
      <w:pPr>
        <w:pStyle w:val="SinglePara"/>
        <w:rPr>
          <w:lang w:val="en-GB"/>
        </w:rPr>
      </w:pPr>
    </w:p>
    <w:p w:rsidR="00CA1746" w:rsidRDefault="00CA1746" w:rsidP="005E25ED">
      <w:pPr>
        <w:pStyle w:val="Heading7"/>
      </w:pPr>
      <w:r>
        <w:t xml:space="preserve">Program 3.5 </w:t>
      </w:r>
      <w:r w:rsidR="00467A56">
        <w:t>o</w:t>
      </w:r>
      <w:r>
        <w:t>bjective</w:t>
      </w:r>
    </w:p>
    <w:p w:rsidR="00CA1746" w:rsidRDefault="00CA1746" w:rsidP="00CA1746">
      <w:pPr>
        <w:pStyle w:val="NormalBox"/>
      </w:pPr>
      <w:proofErr w:type="gramStart"/>
      <w:r>
        <w:t>To make payments and subsidise services to certain income support recipients and low-income households to assist them financially and to help them continue to participate economically and socially.</w:t>
      </w:r>
      <w:proofErr w:type="gramEnd"/>
    </w:p>
    <w:p w:rsidR="00CA1746" w:rsidRDefault="00CA1746" w:rsidP="005E25ED">
      <w:pPr>
        <w:pStyle w:val="Heading7"/>
      </w:pPr>
      <w:r>
        <w:t xml:space="preserve">Program </w:t>
      </w:r>
      <w:r w:rsidR="00467A56">
        <w:t>component objectives</w:t>
      </w:r>
    </w:p>
    <w:p w:rsidR="00CA1746" w:rsidRDefault="00CA1746" w:rsidP="005E25ED">
      <w:pPr>
        <w:pStyle w:val="Heading8"/>
      </w:pPr>
      <w:r>
        <w:t>Reimbursement to Great Southern Rail for Concessional Fares</w:t>
      </w:r>
    </w:p>
    <w:p w:rsidR="00CA1746" w:rsidRDefault="00CA1746" w:rsidP="00CA1746">
      <w:pPr>
        <w:pStyle w:val="NormalBox"/>
      </w:pPr>
      <w:proofErr w:type="gramStart"/>
      <w:r>
        <w:t xml:space="preserve">To reimburse Great Southern Rail for the provision of concessional fares on its services (the Indian Pacific, the </w:t>
      </w:r>
      <w:proofErr w:type="spellStart"/>
      <w:r>
        <w:t>Ghan</w:t>
      </w:r>
      <w:proofErr w:type="spellEnd"/>
      <w:r>
        <w:t xml:space="preserve"> and the Overland) </w:t>
      </w:r>
      <w:r w:rsidR="0035025C">
        <w:t>for eligible passengers</w:t>
      </w:r>
      <w:r>
        <w:t>.</w:t>
      </w:r>
      <w:proofErr w:type="gramEnd"/>
    </w:p>
    <w:p w:rsidR="00CA1746" w:rsidRDefault="00CA1746" w:rsidP="005E25ED">
      <w:pPr>
        <w:pStyle w:val="Heading8"/>
      </w:pPr>
      <w:r>
        <w:t>Low Income Supplement</w:t>
      </w:r>
    </w:p>
    <w:p w:rsidR="00CA1746" w:rsidRDefault="00CA1746" w:rsidP="00CA1746">
      <w:pPr>
        <w:pStyle w:val="NormalBox"/>
      </w:pPr>
      <w:r>
        <w:t>To assist low-income households that do not receive enough assistance through tax reform or other household assistance measures to meet their average expected cost impact from carbon pricing.</w:t>
      </w:r>
    </w:p>
    <w:p w:rsidR="00CA1746" w:rsidRDefault="00CA1746" w:rsidP="005E25ED">
      <w:pPr>
        <w:pStyle w:val="Heading8"/>
      </w:pPr>
      <w:r>
        <w:t>Utilities Allowance</w:t>
      </w:r>
    </w:p>
    <w:p w:rsidR="00CA1746" w:rsidRDefault="00CA1746" w:rsidP="00CA1746">
      <w:pPr>
        <w:pStyle w:val="NormalBox"/>
      </w:pPr>
      <w:r>
        <w:t>Payments are made through DHS to eligible claimants under the provisions of social security law.</w:t>
      </w:r>
    </w:p>
    <w:p w:rsidR="00CA1746" w:rsidRDefault="00CA1746" w:rsidP="005E25ED">
      <w:pPr>
        <w:pStyle w:val="Heading8"/>
      </w:pPr>
      <w:r>
        <w:t>Essential Medical Equipment Payment</w:t>
      </w:r>
    </w:p>
    <w:p w:rsidR="00CA1746" w:rsidRDefault="00CA1746" w:rsidP="00CA1746">
      <w:pPr>
        <w:pStyle w:val="NormalBox"/>
        <w:pBdr>
          <w:between w:val="single" w:sz="2" w:space="3" w:color="auto"/>
        </w:pBdr>
      </w:pPr>
      <w:r>
        <w:t>To make payments to eligible Australians who experience additional increases in home energy costs under a carbon price as a result of the need to operate essential medical equipment in their home, or additional heating or cooling, to manage their disability or medical condition.</w:t>
      </w:r>
    </w:p>
    <w:p w:rsidR="00CA1746" w:rsidRPr="00CA1746" w:rsidRDefault="00CA1746" w:rsidP="00CA1746">
      <w:pPr>
        <w:pStyle w:val="NormalBox"/>
        <w:pBdr>
          <w:between w:val="single" w:sz="2" w:space="3" w:color="auto"/>
        </w:pBdr>
      </w:pPr>
      <w:proofErr w:type="gramStart"/>
      <w:r>
        <w:t>Linked to: Personal benefits payments under this program are delivered by DHS.</w:t>
      </w:r>
      <w:proofErr w:type="gramEnd"/>
      <w:r>
        <w:t xml:space="preserve"> </w:t>
      </w:r>
      <w:r>
        <w:br/>
        <w:t>For more information refer to DHS’s 2013</w:t>
      </w:r>
      <w:r w:rsidR="003E4FAD">
        <w:t>–</w:t>
      </w:r>
      <w:r>
        <w:t>14 PB Statements.</w:t>
      </w:r>
    </w:p>
    <w:p w:rsidR="00CA1746" w:rsidRDefault="00CA1746" w:rsidP="001C23EF">
      <w:pPr>
        <w:rPr>
          <w:lang w:val="en-GB"/>
        </w:rPr>
      </w:pPr>
    </w:p>
    <w:p w:rsidR="00CA1746" w:rsidRDefault="001C23EF" w:rsidP="005E25ED">
      <w:pPr>
        <w:pStyle w:val="Heading7"/>
      </w:pPr>
      <w:r>
        <w:br w:type="page"/>
      </w:r>
      <w:r w:rsidR="00CA1746">
        <w:lastRenderedPageBreak/>
        <w:t xml:space="preserve">Program 3.5 </w:t>
      </w:r>
      <w:r w:rsidR="00467A56">
        <w:t>e</w:t>
      </w:r>
      <w:r w:rsidR="00CA1746">
        <w:t>xpenses</w:t>
      </w:r>
    </w:p>
    <w:p w:rsidR="00906BA2" w:rsidRPr="00906BA2" w:rsidRDefault="00906BA2" w:rsidP="00906BA2">
      <w:pPr>
        <w:pStyle w:val="NormalBox"/>
      </w:pPr>
      <w:r w:rsidRPr="00906BA2">
        <w:t>The increase in program expenses across the forward years reflects projected changes in customer trends and indexation parameters for the Utilities Allowance and Essential Medical Equipment Payment</w:t>
      </w:r>
      <w:r w:rsidR="00467A56">
        <w:t>,</w:t>
      </w:r>
      <w:r w:rsidRPr="00906BA2">
        <w:t xml:space="preserve"> and indexation parameters for Reimbursement to Great Southern Rail for </w:t>
      </w:r>
      <w:r w:rsidR="00467A56" w:rsidRPr="00906BA2">
        <w:t>C</w:t>
      </w:r>
      <w:r w:rsidRPr="00906BA2">
        <w:t xml:space="preserve">oncessional </w:t>
      </w:r>
      <w:r w:rsidR="00467A56" w:rsidRPr="00906BA2">
        <w:t>F</w:t>
      </w:r>
      <w:r w:rsidRPr="00906BA2">
        <w:t>ares.</w:t>
      </w:r>
    </w:p>
    <w:p w:rsidR="007452AA" w:rsidRDefault="00C612FC" w:rsidP="00CA1746">
      <w:pPr>
        <w:pStyle w:val="TableHeading"/>
        <w:rPr>
          <w:lang w:val="en-GB"/>
        </w:rPr>
      </w:pPr>
      <w:r>
        <w:rPr>
          <w:lang w:val="en-GB"/>
        </w:rPr>
        <w:t>Table 2.</w:t>
      </w:r>
      <w:r w:rsidR="007452AA">
        <w:rPr>
          <w:lang w:val="en-GB"/>
        </w:rPr>
        <w:t xml:space="preserve">3.5: </w:t>
      </w:r>
      <w:r w:rsidR="004B5D66">
        <w:rPr>
          <w:lang w:val="en-GB"/>
        </w:rPr>
        <w:t xml:space="preserve">Budgeted </w:t>
      </w:r>
      <w:r w:rsidR="00CD230B">
        <w:rPr>
          <w:lang w:val="en-GB"/>
        </w:rPr>
        <w:t>e</w:t>
      </w:r>
      <w:r w:rsidR="003B7CE5">
        <w:rPr>
          <w:lang w:val="en-GB"/>
        </w:rPr>
        <w:t xml:space="preserve">xpenses </w:t>
      </w:r>
      <w:r w:rsidR="004B5D66">
        <w:rPr>
          <w:lang w:val="en-GB"/>
        </w:rPr>
        <w:t>for Supplementary Payments and Support for Income Support Recipients</w:t>
      </w:r>
    </w:p>
    <w:p w:rsidR="00EE4C07" w:rsidRDefault="007B4BBD" w:rsidP="00EE4C07">
      <w:pPr>
        <w:pStyle w:val="TableGraphic"/>
        <w:rPr>
          <w:lang w:val="en-GB"/>
        </w:rPr>
      </w:pPr>
      <w:r>
        <w:rPr>
          <w:noProof/>
        </w:rPr>
        <w:drawing>
          <wp:inline distT="0" distB="0" distL="0" distR="0" wp14:anchorId="097C921E" wp14:editId="0AFE51E2">
            <wp:extent cx="4878705" cy="3575815"/>
            <wp:effectExtent l="0" t="0" r="0" b="5715"/>
            <wp:docPr id="155" name="Picture 155" descr="Table 2.3.5: Budgeted expenses for Supplementary Payments and Support for Income Support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78705" cy="3575815"/>
                    </a:xfrm>
                    <a:prstGeom prst="rect">
                      <a:avLst/>
                    </a:prstGeom>
                    <a:noFill/>
                    <a:ln>
                      <a:noFill/>
                    </a:ln>
                  </pic:spPr>
                </pic:pic>
              </a:graphicData>
            </a:graphic>
          </wp:inline>
        </w:drawing>
      </w:r>
    </w:p>
    <w:p w:rsidR="007452AA" w:rsidRDefault="005E25ED" w:rsidP="005E25ED">
      <w:pPr>
        <w:pStyle w:val="Heading7"/>
      </w:pPr>
      <w:r>
        <w:br w:type="page"/>
      </w:r>
      <w:r w:rsidR="007452AA" w:rsidRPr="00C50ECC">
        <w:lastRenderedPageBreak/>
        <w:t xml:space="preserve">Program </w:t>
      </w:r>
      <w:r w:rsidR="003B7CE5">
        <w:t xml:space="preserve">3.5 </w:t>
      </w:r>
      <w:r w:rsidR="00CD230B">
        <w:t>d</w:t>
      </w:r>
      <w:r w:rsidR="00CA1746">
        <w:t>e</w:t>
      </w:r>
      <w:r w:rsidR="003B7CE5" w:rsidRPr="00C50ECC">
        <w:t>liverables</w:t>
      </w:r>
    </w:p>
    <w:p w:rsidR="00CA0544" w:rsidRPr="00A248EB" w:rsidRDefault="00CA0544" w:rsidP="005E25ED">
      <w:pPr>
        <w:pStyle w:val="Heading8"/>
      </w:pPr>
      <w:r w:rsidRPr="00A248EB">
        <w:t>Reimbursement to Great Southern Rail for Concessional Fares</w:t>
      </w:r>
    </w:p>
    <w:p w:rsidR="00CA0544" w:rsidRDefault="00CA0544" w:rsidP="00A0068B">
      <w:pPr>
        <w:pStyle w:val="BulletBox"/>
      </w:pPr>
      <w:r>
        <w:t xml:space="preserve">Great Southern Rail is under agreement to provide concessional fares on its services </w:t>
      </w:r>
      <w:r w:rsidR="0035025C">
        <w:t>for eligible passengers</w:t>
      </w:r>
    </w:p>
    <w:p w:rsidR="00CA0544" w:rsidRPr="00A248EB" w:rsidRDefault="00CA0544" w:rsidP="005E25ED">
      <w:pPr>
        <w:pStyle w:val="Heading8"/>
      </w:pPr>
      <w:r w:rsidRPr="00A248EB">
        <w:t>Low Income Supplement</w:t>
      </w:r>
    </w:p>
    <w:p w:rsidR="00CA0544" w:rsidRDefault="00CA0544" w:rsidP="00A0068B">
      <w:pPr>
        <w:pStyle w:val="BulletBox"/>
      </w:pPr>
      <w:r>
        <w:t>Payments are made through DHS to eligible claimants under the provisions of social security law</w:t>
      </w:r>
    </w:p>
    <w:p w:rsidR="00CA0544" w:rsidRPr="00A248EB" w:rsidRDefault="00CA0544" w:rsidP="005E25ED">
      <w:pPr>
        <w:pStyle w:val="Heading8"/>
      </w:pPr>
      <w:r w:rsidRPr="00A248EB">
        <w:t>Utilities Allowance</w:t>
      </w:r>
    </w:p>
    <w:p w:rsidR="00CA0544" w:rsidRDefault="00CA0544" w:rsidP="00A0068B">
      <w:pPr>
        <w:pStyle w:val="BulletBox"/>
      </w:pPr>
      <w:r>
        <w:t>Payments are made through DHS to eligible claimants under the provisions of social security law</w:t>
      </w:r>
    </w:p>
    <w:p w:rsidR="00CA0544" w:rsidRPr="00A248EB" w:rsidRDefault="00CA0544" w:rsidP="005E25ED">
      <w:pPr>
        <w:pStyle w:val="Heading8"/>
      </w:pPr>
      <w:r w:rsidRPr="00A248EB">
        <w:t>Essential Medical Equipment Payment</w:t>
      </w:r>
    </w:p>
    <w:p w:rsidR="00CA0544" w:rsidRPr="00CA0544" w:rsidRDefault="00CA0544" w:rsidP="00A0068B">
      <w:pPr>
        <w:pStyle w:val="BulletBox"/>
      </w:pPr>
      <w:r>
        <w:t xml:space="preserve">Payments </w:t>
      </w:r>
      <w:r w:rsidR="0035025C">
        <w:t xml:space="preserve">are </w:t>
      </w:r>
      <w:r>
        <w:t>made through DHS to eligible claimants under the provisions of social security law</w:t>
      </w:r>
    </w:p>
    <w:p w:rsidR="00CA0544" w:rsidRDefault="00CA0544" w:rsidP="00984352">
      <w:pPr>
        <w:pStyle w:val="SinglePara"/>
      </w:pPr>
    </w:p>
    <w:p w:rsidR="007452AA" w:rsidRDefault="007452AA" w:rsidP="005E25ED">
      <w:pPr>
        <w:pStyle w:val="Heading7"/>
      </w:pPr>
      <w:r w:rsidRPr="00C50ECC">
        <w:t xml:space="preserve">Program </w:t>
      </w:r>
      <w:r w:rsidR="003B7CE5">
        <w:t xml:space="preserve">3.5 </w:t>
      </w:r>
      <w:r w:rsidR="00CD230B">
        <w:t>key p</w:t>
      </w:r>
      <w:r w:rsidR="00CD230B" w:rsidRPr="00C50ECC">
        <w:t>erformanc</w:t>
      </w:r>
      <w:r w:rsidR="00CD230B">
        <w:t>e i</w:t>
      </w:r>
      <w:r w:rsidR="00CD230B" w:rsidRPr="00C50ECC">
        <w:t>ndicators</w:t>
      </w:r>
    </w:p>
    <w:p w:rsidR="00CA0544" w:rsidRPr="00A248EB" w:rsidRDefault="00CA0544" w:rsidP="005E25ED">
      <w:pPr>
        <w:pStyle w:val="Heading8"/>
      </w:pPr>
      <w:r w:rsidRPr="00A248EB">
        <w:t>Reimbursement to Great Southern Rail for Concessional Fares</w:t>
      </w:r>
    </w:p>
    <w:p w:rsidR="00CA0544" w:rsidRDefault="00CA0544" w:rsidP="00CA0544">
      <w:pPr>
        <w:pStyle w:val="BulletBox"/>
      </w:pPr>
      <w:r>
        <w:t>Administered outlays</w:t>
      </w:r>
    </w:p>
    <w:p w:rsidR="00CA0544" w:rsidRDefault="00CA0544" w:rsidP="00CA0544">
      <w:pPr>
        <w:pStyle w:val="BulletBox"/>
      </w:pPr>
      <w:r>
        <w:t>Number of recipients</w:t>
      </w:r>
    </w:p>
    <w:p w:rsidR="00CA0544" w:rsidRDefault="00CA0544" w:rsidP="00CA0544">
      <w:pPr>
        <w:pStyle w:val="BulletBox"/>
      </w:pPr>
      <w:r>
        <w:t>Number of journeys</w:t>
      </w:r>
    </w:p>
    <w:p w:rsidR="00CA0544" w:rsidRPr="00A248EB" w:rsidRDefault="00CA0544" w:rsidP="005E25ED">
      <w:pPr>
        <w:pStyle w:val="Heading8"/>
      </w:pPr>
      <w:r w:rsidRPr="00A248EB">
        <w:t>Low Income Supplement</w:t>
      </w:r>
    </w:p>
    <w:p w:rsidR="00CA0544" w:rsidRDefault="00CA0544" w:rsidP="00CA0544">
      <w:pPr>
        <w:pStyle w:val="BulletBox"/>
      </w:pPr>
      <w:r>
        <w:t>Administered outlays</w:t>
      </w:r>
    </w:p>
    <w:p w:rsidR="00CA0544" w:rsidRDefault="00CA0544" w:rsidP="00CA0544">
      <w:pPr>
        <w:pStyle w:val="BulletBox"/>
      </w:pPr>
      <w:r>
        <w:t>Number of recipients</w:t>
      </w:r>
    </w:p>
    <w:p w:rsidR="00CA0544" w:rsidRPr="00A248EB" w:rsidRDefault="00CA0544" w:rsidP="005E25ED">
      <w:pPr>
        <w:pStyle w:val="Heading8"/>
      </w:pPr>
      <w:r w:rsidRPr="00A248EB">
        <w:t>Utilities Allowance</w:t>
      </w:r>
    </w:p>
    <w:p w:rsidR="00CA0544" w:rsidRDefault="00CA0544" w:rsidP="00CA0544">
      <w:pPr>
        <w:pStyle w:val="BulletBox"/>
      </w:pPr>
      <w:r>
        <w:t>Administered outlays</w:t>
      </w:r>
    </w:p>
    <w:p w:rsidR="00CA0544" w:rsidRDefault="00CA0544" w:rsidP="00CA0544">
      <w:pPr>
        <w:pStyle w:val="BulletBox"/>
      </w:pPr>
      <w:r>
        <w:t>Number of recipients</w:t>
      </w:r>
    </w:p>
    <w:p w:rsidR="00CA0544" w:rsidRPr="00A248EB" w:rsidRDefault="00CA0544" w:rsidP="005E25ED">
      <w:pPr>
        <w:pStyle w:val="Heading8"/>
      </w:pPr>
      <w:r w:rsidRPr="00A248EB">
        <w:t>Essen</w:t>
      </w:r>
      <w:r w:rsidRPr="005E25ED">
        <w:t>t</w:t>
      </w:r>
      <w:r w:rsidRPr="00A248EB">
        <w:t>ial Medical Equipment Payment</w:t>
      </w:r>
    </w:p>
    <w:p w:rsidR="00CA0544" w:rsidRDefault="00CA0544" w:rsidP="00CA0544">
      <w:pPr>
        <w:pStyle w:val="BulletBox"/>
      </w:pPr>
      <w:r>
        <w:t>Administered outlays</w:t>
      </w:r>
    </w:p>
    <w:p w:rsidR="005E25ED" w:rsidRDefault="00CA0544" w:rsidP="005E25ED">
      <w:pPr>
        <w:pStyle w:val="BulletBox"/>
      </w:pPr>
      <w:r>
        <w:t>Number of recipients</w:t>
      </w:r>
    </w:p>
    <w:p w:rsidR="00AD6F37" w:rsidRPr="00CA1B70" w:rsidRDefault="005E25ED" w:rsidP="005E25ED">
      <w:pPr>
        <w:pStyle w:val="Heading6"/>
      </w:pPr>
      <w:r>
        <w:br w:type="page"/>
      </w:r>
      <w:r w:rsidR="00AD6F37" w:rsidRPr="00CA1B70">
        <w:lastRenderedPageBreak/>
        <w:t>Program 3.6</w:t>
      </w:r>
      <w:r w:rsidR="001D489D">
        <w:t>: Socia</w:t>
      </w:r>
      <w:r w:rsidR="001D489D" w:rsidRPr="005E25ED">
        <w:t>l</w:t>
      </w:r>
      <w:r w:rsidR="001D489D">
        <w:t xml:space="preserve"> and Community Services</w:t>
      </w:r>
    </w:p>
    <w:p w:rsidR="00CA0544" w:rsidRDefault="00CA0544" w:rsidP="001C23EF">
      <w:pPr>
        <w:pStyle w:val="SinglePara"/>
      </w:pPr>
    </w:p>
    <w:p w:rsidR="00AD6F37" w:rsidRDefault="00AD6F37" w:rsidP="005E25ED">
      <w:pPr>
        <w:pStyle w:val="Heading7"/>
      </w:pPr>
      <w:r w:rsidRPr="00CA1B70">
        <w:t xml:space="preserve">Program 3.6 </w:t>
      </w:r>
      <w:r w:rsidR="004E646E">
        <w:t>o</w:t>
      </w:r>
      <w:r w:rsidRPr="00CA1B70">
        <w:t xml:space="preserve">bjective </w:t>
      </w:r>
    </w:p>
    <w:p w:rsidR="00CA0544" w:rsidRPr="00CA1B70" w:rsidRDefault="00CA0544" w:rsidP="00CA0544">
      <w:pPr>
        <w:pStyle w:val="NormalBox"/>
      </w:pPr>
      <w:r w:rsidRPr="00CA1B70">
        <w:t>To set aside funding for the implementation period of Fair Work Australia’s Equal Remuneration Order. These funds will be used by the Commonwealth to meet its share of the pay increases provided by the pay equity orders, including those funded through the states and territories.</w:t>
      </w:r>
    </w:p>
    <w:p w:rsidR="00CA0544" w:rsidRDefault="00CA0544" w:rsidP="00CA0544">
      <w:pPr>
        <w:pStyle w:val="NormalBox"/>
        <w:pBdr>
          <w:between w:val="single" w:sz="2" w:space="3" w:color="auto"/>
        </w:pBdr>
      </w:pPr>
      <w:r>
        <w:t xml:space="preserve">FaHCSIA retains policy responsibility for the Family Support, Housing Assistance and Homelessness Prevention, Financial Management, Community Investment, Targeted Community Care, Services and Support for People with Disability, Early Intervention Services for Children with Disability, Support for Carers, Gender Equality for Women, </w:t>
      </w:r>
      <w:r w:rsidR="004E646E">
        <w:t>p</w:t>
      </w:r>
      <w:r>
        <w:t xml:space="preserve">rograms referred to in paragraph 142A(1)(b) of the </w:t>
      </w:r>
      <w:r>
        <w:rPr>
          <w:i/>
        </w:rPr>
        <w:t>Aboriginal and Torres Strait Islander Act 2005</w:t>
      </w:r>
      <w:r>
        <w:t>, the National Partnership Agreement on Homelessness, the National Affordable Housing Specific Purpose Payment and the National Disability Specific Purpose Payment.</w:t>
      </w:r>
    </w:p>
    <w:p w:rsidR="00CA0544" w:rsidRPr="00CA1B70" w:rsidRDefault="00CA0544" w:rsidP="00CA0544">
      <w:pPr>
        <w:pStyle w:val="NormalBox"/>
      </w:pPr>
      <w:proofErr w:type="gramStart"/>
      <w:r>
        <w:t xml:space="preserve">Linked to: </w:t>
      </w:r>
      <w:r w:rsidRPr="00CA1B70">
        <w:t xml:space="preserve">Policy responsibility for Justice Services, Payments for the Provision of Community Legal Services, </w:t>
      </w:r>
      <w:r>
        <w:t xml:space="preserve">the </w:t>
      </w:r>
      <w:r w:rsidRPr="00CA1B70">
        <w:t>Family Relationships Services Program, Payments under the Indigenous Justice Program, and Payments for the Provision of Family Violence Prevention Legal Services for Indigenous Australians resides with AGD.</w:t>
      </w:r>
      <w:proofErr w:type="gramEnd"/>
      <w:r w:rsidRPr="00CA1B70">
        <w:t xml:space="preserve"> For more information refer to AGD’s 2013</w:t>
      </w:r>
      <w:r w:rsidR="003549DF">
        <w:t>–</w:t>
      </w:r>
      <w:r>
        <w:t>14</w:t>
      </w:r>
      <w:r w:rsidRPr="00CA1B70">
        <w:t xml:space="preserve"> PB Statements.</w:t>
      </w:r>
    </w:p>
    <w:p w:rsidR="00CA0544" w:rsidRDefault="0011437A" w:rsidP="00CA0544">
      <w:pPr>
        <w:pStyle w:val="NormalBox"/>
      </w:pPr>
      <w:proofErr w:type="gramStart"/>
      <w:r>
        <w:t xml:space="preserve">Also linked to: </w:t>
      </w:r>
      <w:r w:rsidR="00CA0544" w:rsidRPr="00D74E2B">
        <w:t xml:space="preserve">Policy </w:t>
      </w:r>
      <w:r w:rsidR="00CA0544">
        <w:t>r</w:t>
      </w:r>
      <w:r w:rsidR="00CA0544" w:rsidRPr="00D74E2B">
        <w:t xml:space="preserve">esponsibility for </w:t>
      </w:r>
      <w:r w:rsidR="00CA0544">
        <w:t xml:space="preserve">the </w:t>
      </w:r>
      <w:r w:rsidR="00CA0544" w:rsidRPr="00D74E2B">
        <w:t>Youth Attainment and Transitions National Partnership resides with DEEWR.</w:t>
      </w:r>
      <w:proofErr w:type="gramEnd"/>
      <w:r w:rsidR="00CA0544" w:rsidRPr="00D74E2B">
        <w:t xml:space="preserve"> For more information refer to DEEWR</w:t>
      </w:r>
      <w:r w:rsidR="00CA0544">
        <w:t>’</w:t>
      </w:r>
      <w:r w:rsidR="00CA0544" w:rsidRPr="00D74E2B">
        <w:t>s 2013</w:t>
      </w:r>
      <w:r w:rsidR="003549DF">
        <w:t>–</w:t>
      </w:r>
      <w:r w:rsidR="00CA0544">
        <w:t>14</w:t>
      </w:r>
      <w:r w:rsidR="00CA0544" w:rsidRPr="00D74E2B">
        <w:t xml:space="preserve"> PB Statements.</w:t>
      </w:r>
    </w:p>
    <w:p w:rsidR="00CA0544" w:rsidRDefault="00CA0544" w:rsidP="00CA0544">
      <w:pPr>
        <w:pStyle w:val="NormalBox"/>
      </w:pPr>
      <w:r w:rsidRPr="00D74E2B">
        <w:t xml:space="preserve">Policy </w:t>
      </w:r>
      <w:r>
        <w:t>r</w:t>
      </w:r>
      <w:r w:rsidRPr="00D74E2B">
        <w:t xml:space="preserve">esponsibility for Drug </w:t>
      </w:r>
      <w:r>
        <w:t>S</w:t>
      </w:r>
      <w:r w:rsidRPr="00D74E2B">
        <w:t xml:space="preserve">trategy, Home </w:t>
      </w:r>
      <w:r>
        <w:t>S</w:t>
      </w:r>
      <w:r w:rsidRPr="00D74E2B">
        <w:t xml:space="preserve">upport, Mental </w:t>
      </w:r>
      <w:r>
        <w:t>H</w:t>
      </w:r>
      <w:r w:rsidRPr="00D74E2B">
        <w:t xml:space="preserve">ealth, </w:t>
      </w:r>
      <w:r>
        <w:t xml:space="preserve">the </w:t>
      </w:r>
      <w:r w:rsidRPr="00D74E2B">
        <w:t xml:space="preserve">National Partnership Agreement Supporting National Mental Health Reform, </w:t>
      </w:r>
      <w:r>
        <w:t xml:space="preserve">the </w:t>
      </w:r>
      <w:r w:rsidRPr="00D74E2B">
        <w:t xml:space="preserve">National Partnership Agreement on Transitioning Responsibilities for Aged Care and Disability Services, </w:t>
      </w:r>
      <w:r>
        <w:t xml:space="preserve">the </w:t>
      </w:r>
      <w:r w:rsidRPr="00D74E2B">
        <w:t xml:space="preserve">National Partnership Agreement on Health Services, </w:t>
      </w:r>
      <w:r w:rsidR="0009488C">
        <w:t xml:space="preserve">the </w:t>
      </w:r>
      <w:r w:rsidRPr="00D74E2B">
        <w:t xml:space="preserve">Implementation Plan for the National Perinatal Depression Initiative, </w:t>
      </w:r>
      <w:r>
        <w:t xml:space="preserve">the </w:t>
      </w:r>
      <w:r w:rsidRPr="00D74E2B">
        <w:t xml:space="preserve">Review Agreement in relation to the </w:t>
      </w:r>
      <w:r>
        <w:t>P</w:t>
      </w:r>
      <w:r w:rsidRPr="00D74E2B">
        <w:t xml:space="preserve">rovision of </w:t>
      </w:r>
      <w:r>
        <w:t>F</w:t>
      </w:r>
      <w:r w:rsidRPr="00D74E2B">
        <w:t xml:space="preserve">inancial </w:t>
      </w:r>
      <w:r>
        <w:t>A</w:t>
      </w:r>
      <w:r w:rsidRPr="00D74E2B">
        <w:t xml:space="preserve">ssistance by the Commonwealth of Australia to Victoria for </w:t>
      </w:r>
      <w:r>
        <w:t>t</w:t>
      </w:r>
      <w:r w:rsidRPr="00D74E2B">
        <w:t xml:space="preserve">he Home and Community Care Program, and the Review Agreement in relation to the </w:t>
      </w:r>
      <w:r>
        <w:t>P</w:t>
      </w:r>
      <w:r w:rsidRPr="00D74E2B">
        <w:t xml:space="preserve">rovision of </w:t>
      </w:r>
      <w:r>
        <w:t>F</w:t>
      </w:r>
      <w:r w:rsidRPr="00D74E2B">
        <w:t xml:space="preserve">inancial </w:t>
      </w:r>
      <w:r>
        <w:t>A</w:t>
      </w:r>
      <w:r w:rsidRPr="00D74E2B">
        <w:t xml:space="preserve">ssistance by the Commonwealth of Australia to Western Australia for </w:t>
      </w:r>
      <w:r>
        <w:t>t</w:t>
      </w:r>
      <w:r w:rsidRPr="00D74E2B">
        <w:t>he Home and Community Care Program resides with DHA. For more information refer to DHA</w:t>
      </w:r>
      <w:r>
        <w:t>’</w:t>
      </w:r>
      <w:r w:rsidRPr="00D74E2B">
        <w:t>s 2013</w:t>
      </w:r>
      <w:r w:rsidR="003549DF">
        <w:t>–</w:t>
      </w:r>
      <w:r>
        <w:t>14</w:t>
      </w:r>
      <w:r w:rsidRPr="00D74E2B">
        <w:t xml:space="preserve"> PB</w:t>
      </w:r>
      <w:r>
        <w:t> </w:t>
      </w:r>
      <w:r w:rsidRPr="00D74E2B">
        <w:t xml:space="preserve">Statements. </w:t>
      </w:r>
    </w:p>
    <w:p w:rsidR="00CA0544" w:rsidRDefault="00CA0544" w:rsidP="00D86181">
      <w:pPr>
        <w:pStyle w:val="NormalBox"/>
        <w:pageBreakBefore/>
      </w:pPr>
      <w:r w:rsidRPr="00D74E2B">
        <w:lastRenderedPageBreak/>
        <w:t xml:space="preserve">Policy </w:t>
      </w:r>
      <w:r>
        <w:t>r</w:t>
      </w:r>
      <w:r w:rsidRPr="00D74E2B">
        <w:t xml:space="preserve">esponsibility for Grants for Community Settlement Services, Humanitarian Settlement Services, Supervision and </w:t>
      </w:r>
      <w:r>
        <w:t>W</w:t>
      </w:r>
      <w:r w:rsidRPr="00D74E2B">
        <w:t>elfare for Unaccompanied Humanitarian Minors, Payments to the Australian Red Cross Society for the Asylum Seeker Assistance Scheme, Compliance Resolution, Community Care and Assistance</w:t>
      </w:r>
      <w:r>
        <w:t>,</w:t>
      </w:r>
      <w:r w:rsidRPr="00D74E2B">
        <w:t xml:space="preserve"> and Onshore Detention Network</w:t>
      </w:r>
      <w:r w:rsidR="00CC6014">
        <w:t xml:space="preserve"> – </w:t>
      </w:r>
      <w:r w:rsidRPr="00D74E2B">
        <w:t>Community and Detention Services resides with the Department of Immigration and Citizenship (DIAC). For more information refer to DIAC</w:t>
      </w:r>
      <w:r>
        <w:t>’</w:t>
      </w:r>
      <w:r w:rsidRPr="00D74E2B">
        <w:t>s 2013</w:t>
      </w:r>
      <w:r>
        <w:t>–14</w:t>
      </w:r>
      <w:r w:rsidRPr="00D74E2B">
        <w:t xml:space="preserve"> PB Statements. </w:t>
      </w:r>
    </w:p>
    <w:p w:rsidR="00CA0544" w:rsidRDefault="00CA0544" w:rsidP="00CA0544">
      <w:pPr>
        <w:pStyle w:val="NormalBox"/>
      </w:pPr>
      <w:r w:rsidRPr="00D74E2B">
        <w:t xml:space="preserve">Policy </w:t>
      </w:r>
      <w:r>
        <w:t>r</w:t>
      </w:r>
      <w:r w:rsidRPr="00D74E2B">
        <w:t xml:space="preserve">esponsibility for Joint Venture Day Clubs, Medical and Other Treatment Services provided under Part V of the </w:t>
      </w:r>
      <w:r w:rsidRPr="00CA1B70">
        <w:rPr>
          <w:i/>
        </w:rPr>
        <w:t>Veterans’ Entitlements Act 1986</w:t>
      </w:r>
      <w:r w:rsidRPr="00D74E2B">
        <w:t xml:space="preserve">, </w:t>
      </w:r>
      <w:r>
        <w:t>T</w:t>
      </w:r>
      <w:r w:rsidRPr="00D74E2B">
        <w:t xml:space="preserve">reatment and Other Services provided under Chapter 6 of the </w:t>
      </w:r>
      <w:r w:rsidRPr="00CA1B70">
        <w:rPr>
          <w:i/>
        </w:rPr>
        <w:t>Military</w:t>
      </w:r>
      <w:r w:rsidRPr="00C92786">
        <w:rPr>
          <w:i/>
          <w:spacing w:val="-20"/>
        </w:rPr>
        <w:t xml:space="preserve"> </w:t>
      </w:r>
      <w:r w:rsidRPr="00CA1B70">
        <w:rPr>
          <w:i/>
        </w:rPr>
        <w:t>Rehabilitation and Compensation Act 2004</w:t>
      </w:r>
      <w:r w:rsidRPr="00D74E2B">
        <w:t xml:space="preserve">, and Treatment and Other Services provided under Part 2 of the </w:t>
      </w:r>
      <w:r w:rsidRPr="00CA1B70">
        <w:rPr>
          <w:i/>
        </w:rPr>
        <w:t>Australian</w:t>
      </w:r>
      <w:r>
        <w:rPr>
          <w:i/>
        </w:rPr>
        <w:t> </w:t>
      </w:r>
      <w:r w:rsidRPr="00CA1B70">
        <w:rPr>
          <w:i/>
        </w:rPr>
        <w:t>Participants in British Nuclear Tests (Treatment) Act 2006</w:t>
      </w:r>
      <w:r w:rsidRPr="00D74E2B">
        <w:t xml:space="preserve"> resides with DVA. For more information refer to DVA</w:t>
      </w:r>
      <w:r>
        <w:t>’</w:t>
      </w:r>
      <w:r w:rsidRPr="00D74E2B">
        <w:t>s 2013</w:t>
      </w:r>
      <w:r>
        <w:t>–14</w:t>
      </w:r>
      <w:r w:rsidRPr="00D74E2B">
        <w:t xml:space="preserve"> PB Statements.</w:t>
      </w:r>
    </w:p>
    <w:p w:rsidR="00CA0544" w:rsidRPr="00CA0544" w:rsidRDefault="00CA0544" w:rsidP="00CA0544">
      <w:pPr>
        <w:pStyle w:val="NormalBox"/>
        <w:rPr>
          <w:highlight w:val="yellow"/>
        </w:rPr>
      </w:pPr>
      <w:r w:rsidRPr="00D74E2B">
        <w:t xml:space="preserve">Policy </w:t>
      </w:r>
      <w:r>
        <w:t>r</w:t>
      </w:r>
      <w:r w:rsidRPr="00D74E2B">
        <w:t>esponsibility for Domestic Policy resides with the Department of the Prime Minister and Cabinet (PMC). For more information refe</w:t>
      </w:r>
      <w:r w:rsidR="00043CA8">
        <w:t>r to PMC’</w:t>
      </w:r>
      <w:r w:rsidRPr="00D74E2B">
        <w:t>s 2013</w:t>
      </w:r>
      <w:r>
        <w:t>–14</w:t>
      </w:r>
      <w:r w:rsidRPr="00D74E2B">
        <w:t xml:space="preserve"> PB</w:t>
      </w:r>
      <w:r>
        <w:t> </w:t>
      </w:r>
      <w:r w:rsidRPr="00D74E2B">
        <w:t xml:space="preserve">Statements. </w:t>
      </w:r>
    </w:p>
    <w:p w:rsidR="00D86181" w:rsidRDefault="00D86181" w:rsidP="00984352">
      <w:pPr>
        <w:pStyle w:val="SinglePara"/>
        <w:rPr>
          <w:lang w:val="en-GB"/>
        </w:rPr>
      </w:pPr>
    </w:p>
    <w:p w:rsidR="00D86181" w:rsidRDefault="00D86181" w:rsidP="005E25ED">
      <w:pPr>
        <w:pStyle w:val="Heading7"/>
      </w:pPr>
      <w:r>
        <w:t>Program 3.6 Expenses</w:t>
      </w:r>
    </w:p>
    <w:p w:rsidR="00906BA2" w:rsidRPr="00906BA2" w:rsidRDefault="00906BA2" w:rsidP="00906BA2">
      <w:pPr>
        <w:pStyle w:val="NormalBox"/>
      </w:pPr>
      <w:r w:rsidRPr="00906BA2">
        <w:t>The increase</w:t>
      </w:r>
      <w:r w:rsidR="00C425EC">
        <w:t xml:space="preserve"> </w:t>
      </w:r>
      <w:r w:rsidRPr="00906BA2">
        <w:t>in program expenses across the forward years reflects</w:t>
      </w:r>
      <w:r w:rsidR="00C425EC">
        <w:t xml:space="preserve"> </w:t>
      </w:r>
      <w:r w:rsidRPr="00906BA2">
        <w:t xml:space="preserve">the anticipated increase in wages and the number of workers qualifying for </w:t>
      </w:r>
      <w:r w:rsidR="004E646E">
        <w:t>Social and Community Services</w:t>
      </w:r>
      <w:r w:rsidR="004E646E" w:rsidRPr="00906BA2">
        <w:t xml:space="preserve"> </w:t>
      </w:r>
      <w:r w:rsidRPr="00906BA2">
        <w:t>payments.</w:t>
      </w:r>
    </w:p>
    <w:p w:rsidR="00AD6F37" w:rsidRDefault="00C612FC" w:rsidP="00C5331F">
      <w:pPr>
        <w:pStyle w:val="TableHeading"/>
        <w:rPr>
          <w:lang w:val="en-GB"/>
        </w:rPr>
      </w:pPr>
      <w:r>
        <w:rPr>
          <w:lang w:val="en-GB"/>
        </w:rPr>
        <w:t>Table 2.</w:t>
      </w:r>
      <w:r w:rsidR="00AD6F37" w:rsidRPr="008F750D">
        <w:rPr>
          <w:lang w:val="en-GB"/>
        </w:rPr>
        <w:t xml:space="preserve">3.6: </w:t>
      </w:r>
      <w:r w:rsidR="004B5D66">
        <w:rPr>
          <w:lang w:val="en-GB"/>
        </w:rPr>
        <w:t xml:space="preserve">Budgeted </w:t>
      </w:r>
      <w:r w:rsidR="004E646E">
        <w:rPr>
          <w:lang w:val="en-GB"/>
        </w:rPr>
        <w:t>e</w:t>
      </w:r>
      <w:r w:rsidR="004B5D66">
        <w:rPr>
          <w:lang w:val="en-GB"/>
        </w:rPr>
        <w:t>xpenses for Social and Community Services</w:t>
      </w:r>
      <w:r w:rsidR="00AD6F37" w:rsidRPr="008F750D">
        <w:rPr>
          <w:lang w:val="en-GB"/>
        </w:rPr>
        <w:t xml:space="preserve"> </w:t>
      </w:r>
    </w:p>
    <w:p w:rsidR="00E83D56" w:rsidRPr="00E83D56" w:rsidRDefault="00E30A42" w:rsidP="00E83D56">
      <w:pPr>
        <w:pStyle w:val="TableGraphic"/>
      </w:pPr>
      <w:r>
        <w:rPr>
          <w:noProof/>
        </w:rPr>
        <w:drawing>
          <wp:inline distT="0" distB="0" distL="0" distR="0" wp14:anchorId="5997FB6E" wp14:editId="36958ADF">
            <wp:extent cx="4878705" cy="2572016"/>
            <wp:effectExtent l="0" t="0" r="0" b="0"/>
            <wp:docPr id="310" name="Picture 310" descr="Table 2.3.6: Budgeted expenses for Social and Communi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78705" cy="2572016"/>
                    </a:xfrm>
                    <a:prstGeom prst="rect">
                      <a:avLst/>
                    </a:prstGeom>
                    <a:noFill/>
                    <a:ln>
                      <a:noFill/>
                    </a:ln>
                  </pic:spPr>
                </pic:pic>
              </a:graphicData>
            </a:graphic>
          </wp:inline>
        </w:drawing>
      </w:r>
    </w:p>
    <w:p w:rsidR="00AD6F37" w:rsidRDefault="00AD6F37" w:rsidP="005E25ED">
      <w:pPr>
        <w:pStyle w:val="Heading7"/>
      </w:pPr>
      <w:r w:rsidRPr="00AD68B8">
        <w:lastRenderedPageBreak/>
        <w:t xml:space="preserve">Program 3.6 </w:t>
      </w:r>
      <w:r w:rsidR="004E646E">
        <w:t>d</w:t>
      </w:r>
      <w:r w:rsidRPr="00AD68B8">
        <w:t>eliverables</w:t>
      </w:r>
    </w:p>
    <w:p w:rsidR="00D86181" w:rsidRDefault="00D86181" w:rsidP="00D86181">
      <w:pPr>
        <w:pStyle w:val="BulletBox"/>
      </w:pPr>
      <w:r>
        <w:t>Funds are issued to eligible FaHCSIA service providers to meet the Commonwealth’s share of the pay increases</w:t>
      </w:r>
    </w:p>
    <w:p w:rsidR="00D86181" w:rsidRPr="00D86181" w:rsidRDefault="00D86181" w:rsidP="00D86181">
      <w:pPr>
        <w:pStyle w:val="BulletBox"/>
      </w:pPr>
      <w:r>
        <w:t>Funds are issued to other government agencies to meet the Commonwealth’s share of the pay increases for their eligible service providers</w:t>
      </w:r>
    </w:p>
    <w:p w:rsidR="00D86181" w:rsidRDefault="00D86181" w:rsidP="00984352">
      <w:pPr>
        <w:pStyle w:val="SinglePara"/>
      </w:pPr>
    </w:p>
    <w:p w:rsidR="00AD6F37" w:rsidRDefault="00AD6F37" w:rsidP="005E25ED">
      <w:pPr>
        <w:pStyle w:val="Heading7"/>
      </w:pPr>
      <w:r w:rsidRPr="00AD68B8">
        <w:t>Program 3.</w:t>
      </w:r>
      <w:r w:rsidR="00E869E5" w:rsidRPr="00AD68B8">
        <w:t>6</w:t>
      </w:r>
      <w:r w:rsidR="00D86181">
        <w:t xml:space="preserve"> </w:t>
      </w:r>
      <w:r w:rsidR="004E646E">
        <w:t>key performance i</w:t>
      </w:r>
      <w:r w:rsidR="004E646E" w:rsidRPr="00AD68B8">
        <w:t>ndicator</w:t>
      </w:r>
    </w:p>
    <w:p w:rsidR="005E25ED" w:rsidRDefault="00FF53AC" w:rsidP="005E25ED">
      <w:pPr>
        <w:pStyle w:val="BulletBox"/>
      </w:pPr>
      <w:r>
        <w:t>The f</w:t>
      </w:r>
      <w:r w:rsidR="00D86181" w:rsidRPr="00AD68B8">
        <w:t xml:space="preserve">unds </w:t>
      </w:r>
      <w:r>
        <w:t xml:space="preserve">appropriated to FaHCSIA </w:t>
      </w:r>
      <w:r w:rsidR="00D86181" w:rsidRPr="00AD68B8">
        <w:t>are issued to meet the Commonwealth’s share of the pay increases</w:t>
      </w:r>
    </w:p>
    <w:p w:rsidR="005E25ED" w:rsidRPr="005E25ED" w:rsidRDefault="005E25ED" w:rsidP="005E25ED">
      <w:pPr>
        <w:pStyle w:val="Heading4"/>
        <w:pBdr>
          <w:top w:val="single" w:sz="2" w:space="1" w:color="auto"/>
          <w:left w:val="single" w:sz="2" w:space="4" w:color="auto"/>
          <w:bottom w:val="single" w:sz="2" w:space="1" w:color="auto"/>
          <w:right w:val="single" w:sz="2" w:space="4" w:color="auto"/>
        </w:pBdr>
        <w:shd w:val="pct20" w:color="auto" w:fill="auto"/>
      </w:pPr>
      <w:r>
        <w:br w:type="page"/>
      </w:r>
      <w:r w:rsidRPr="005E25ED">
        <w:lastRenderedPageBreak/>
        <w:t>Outcome 4: Seniors</w:t>
      </w:r>
    </w:p>
    <w:p w:rsidR="003608C9" w:rsidRPr="005E25ED" w:rsidRDefault="005E25ED" w:rsidP="005E25ED">
      <w:pPr>
        <w:pBdr>
          <w:top w:val="single" w:sz="2" w:space="1" w:color="auto"/>
          <w:left w:val="single" w:sz="2" w:space="4" w:color="auto"/>
          <w:bottom w:val="single" w:sz="2" w:space="1" w:color="auto"/>
          <w:right w:val="single" w:sz="2" w:space="4" w:color="auto"/>
        </w:pBdr>
        <w:shd w:val="pct20" w:color="auto" w:fill="auto"/>
        <w:rPr>
          <w:rFonts w:ascii="Arial" w:hAnsi="Arial" w:cs="Arial"/>
        </w:rPr>
      </w:pPr>
      <w:proofErr w:type="gramStart"/>
      <w:r w:rsidRPr="005E25ED">
        <w:rPr>
          <w:rFonts w:ascii="Arial" w:hAnsi="Arial" w:cs="Arial"/>
        </w:rPr>
        <w:t>An adequate standard of living and improved capacity to productively manage resources and life-transitions for senior Australians through the delivery of payments, concessions and information services.</w:t>
      </w:r>
      <w:proofErr w:type="gramEnd"/>
    </w:p>
    <w:p w:rsidR="007452AA" w:rsidRDefault="00700ADD" w:rsidP="005E25ED">
      <w:pPr>
        <w:pStyle w:val="Heading5"/>
      </w:pPr>
      <w:r>
        <w:t xml:space="preserve">Outcome 4 </w:t>
      </w:r>
      <w:r w:rsidR="004E646E">
        <w:t>s</w:t>
      </w:r>
      <w:r w:rsidR="007452AA" w:rsidRPr="00C50ECC">
        <w:t>trategy</w:t>
      </w:r>
    </w:p>
    <w:p w:rsidR="00C6620B" w:rsidRDefault="00C6620B" w:rsidP="00C6620B">
      <w:proofErr w:type="gramStart"/>
      <w:r>
        <w:t>Payment of the Age Pension and supplements, and the provision of concessions, are</w:t>
      </w:r>
      <w:proofErr w:type="gramEnd"/>
      <w:r>
        <w:t xml:space="preserve"> key components of the Government’s policies for senior Australians who need help with their living costs.</w:t>
      </w:r>
    </w:p>
    <w:p w:rsidR="00C6620B" w:rsidRDefault="00C6620B" w:rsidP="00C6620B">
      <w:r>
        <w:t>Senior Australians who receive the Age Pension are also receiving ongoing benefits through improved indexation arrangements delivered by the Government’s 2009 pension reforms.</w:t>
      </w:r>
    </w:p>
    <w:p w:rsidR="00C6620B" w:rsidRDefault="00C6620B" w:rsidP="00C6620B">
      <w:r>
        <w:t>In the three</w:t>
      </w:r>
      <w:r w:rsidR="00450354">
        <w:t>-</w:t>
      </w:r>
      <w:r>
        <w:t>and</w:t>
      </w:r>
      <w:r w:rsidR="00450354">
        <w:t>-</w:t>
      </w:r>
      <w:r>
        <w:t>a</w:t>
      </w:r>
      <w:r w:rsidR="00450354">
        <w:t>-</w:t>
      </w:r>
      <w:r>
        <w:t>half years since the reforms were introduced, the Age Pension has increased significantly. Since 20 September 2009, the total pension, including the Clean Energy Supplement, has increased by $207 a fortnight for single pensioners and $236 for pensioner couples combined on the maximum rate.</w:t>
      </w:r>
    </w:p>
    <w:p w:rsidR="00C6620B" w:rsidRDefault="00C6620B" w:rsidP="00C6620B">
      <w:r>
        <w:t>These increases are helping around 2.3 million Australian age pensioners to better manage their living costs.</w:t>
      </w:r>
    </w:p>
    <w:p w:rsidR="00C6620B" w:rsidRDefault="00C6620B" w:rsidP="00C6620B">
      <w:r>
        <w:t>The Government is also helping around 2.5 million senior Australians with ongoing assistance through the Clean Energy Supplement</w:t>
      </w:r>
      <w:r w:rsidR="00450354">
        <w:t>,</w:t>
      </w:r>
      <w:r>
        <w:t xml:space="preserve"> which began on </w:t>
      </w:r>
      <w:r w:rsidR="00664B21">
        <w:t>20 March </w:t>
      </w:r>
      <w:r>
        <w:t>2013 following the introduction of a price on carbon.</w:t>
      </w:r>
    </w:p>
    <w:p w:rsidR="00C6620B" w:rsidRDefault="00C6620B" w:rsidP="00C6620B">
      <w:r>
        <w:t>This supplement is paid to age pensioners and eligible Commonwealth Seniors Health Card holders. It provides assistance of around $350 a year to singles and around $530 for couples combined.</w:t>
      </w:r>
    </w:p>
    <w:p w:rsidR="00C6620B" w:rsidRDefault="00C6620B" w:rsidP="00C6620B">
      <w:r>
        <w:t>The Government supports age pensioners who choose to work through the seniors Work Bonus. The Work Bonus provides concessional income test treatment for employment income. The Work Bonus concession is in addition to the general income-test-free area.</w:t>
      </w:r>
    </w:p>
    <w:p w:rsidR="00212AAA" w:rsidRDefault="00212AAA" w:rsidP="00212AAA">
      <w:r>
        <w:t xml:space="preserve">Other </w:t>
      </w:r>
      <w:r w:rsidR="00450354">
        <w:t>g</w:t>
      </w:r>
      <w:r>
        <w:t>overnment initiatives encourage senior Australians to take an active part in work and community life.</w:t>
      </w:r>
    </w:p>
    <w:p w:rsidR="00212AAA" w:rsidRDefault="00212AAA" w:rsidP="00212AAA">
      <w:r>
        <w:t xml:space="preserve">Through Broadband for </w:t>
      </w:r>
      <w:proofErr w:type="gramStart"/>
      <w:r>
        <w:t>Seniors</w:t>
      </w:r>
      <w:proofErr w:type="gramEnd"/>
      <w:r>
        <w:t>, the Government assists senior Australians to gain the confidence and skills needed to use new technology so they can stay in touch with family and friends and share the benefits of the growing digital economy.</w:t>
      </w:r>
    </w:p>
    <w:p w:rsidR="00212AAA" w:rsidRDefault="00212AAA" w:rsidP="00212AAA">
      <w:r w:rsidRPr="00212AAA">
        <w:lastRenderedPageBreak/>
        <w:t xml:space="preserve">Further, the Government will make payments to the </w:t>
      </w:r>
      <w:r w:rsidR="00450354">
        <w:t>s</w:t>
      </w:r>
      <w:r w:rsidRPr="00212AAA">
        <w:t xml:space="preserve">tate and </w:t>
      </w:r>
      <w:r w:rsidR="00450354">
        <w:t>t</w:t>
      </w:r>
      <w:r w:rsidRPr="00212AAA">
        <w:t xml:space="preserve">erritory </w:t>
      </w:r>
      <w:r w:rsidR="00450354">
        <w:t>g</w:t>
      </w:r>
      <w:r w:rsidRPr="00212AAA">
        <w:t>overnments under the National Partnership Agreement on Certain Concessions for Pensioner Concession Card Holders and Seniors Card Holders totalling $292 million in 2013</w:t>
      </w:r>
      <w:r>
        <w:t>–</w:t>
      </w:r>
      <w:r w:rsidRPr="00212AAA">
        <w:t xml:space="preserve">14. This ensures all Pensioner Concession Card holders can access concessions on core utilities </w:t>
      </w:r>
      <w:r>
        <w:t>and public transport and allows</w:t>
      </w:r>
      <w:r w:rsidRPr="00212AAA">
        <w:t xml:space="preserve"> state Seniors Card holders to access public transport concessions when they travel interstate.</w:t>
      </w:r>
    </w:p>
    <w:p w:rsidR="00212AAA" w:rsidRDefault="00C6620B" w:rsidP="00C6620B">
      <w:r>
        <w:t xml:space="preserve">The 2013–14 budget measures </w:t>
      </w:r>
      <w:r w:rsidR="00212AAA">
        <w:t xml:space="preserve">deliver additional support to seniors and </w:t>
      </w:r>
      <w:r>
        <w:t>target assistance in a fairer, more sustainable way.</w:t>
      </w:r>
    </w:p>
    <w:p w:rsidR="007F284E" w:rsidRDefault="00212AAA" w:rsidP="00C6620B">
      <w:r w:rsidRPr="00212AAA">
        <w:t xml:space="preserve">From 1 July 2014, the Government will commence a three-year trial of a program to help seniors of </w:t>
      </w:r>
      <w:r w:rsidR="007D52D6">
        <w:t>A</w:t>
      </w:r>
      <w:r w:rsidR="007D52D6" w:rsidRPr="00212AAA">
        <w:t xml:space="preserve">ge </w:t>
      </w:r>
      <w:r w:rsidR="007D52D6">
        <w:t>P</w:t>
      </w:r>
      <w:r w:rsidR="007D52D6" w:rsidRPr="00212AAA">
        <w:t xml:space="preserve">ension </w:t>
      </w:r>
      <w:r w:rsidRPr="00212AAA">
        <w:t>age w</w:t>
      </w:r>
      <w:r w:rsidR="00CE0374">
        <w:t>ho want to downsize their home</w:t>
      </w:r>
      <w:r w:rsidR="00C600C7">
        <w:t xml:space="preserve"> to move into more appropriate housing as they age</w:t>
      </w:r>
      <w:r w:rsidR="00CE0374">
        <w:t>.</w:t>
      </w:r>
      <w:r w:rsidRPr="00212AAA">
        <w:t xml:space="preserve"> Eligible seniors who downsize their home will be able to invest at least 80 per cent of excess sale proceeds from the sale of their former home (up to a cap of $200,000) into a special account. The special account would be exempt from the pension income and as</w:t>
      </w:r>
      <w:r w:rsidR="007F284E">
        <w:t xml:space="preserve">sets tests for up to </w:t>
      </w:r>
      <w:r w:rsidR="007D52D6">
        <w:t xml:space="preserve">10 </w:t>
      </w:r>
      <w:r w:rsidR="007F284E">
        <w:t>years.</w:t>
      </w:r>
    </w:p>
    <w:p w:rsidR="00212AAA" w:rsidRDefault="00212AAA" w:rsidP="00C6620B">
      <w:r w:rsidRPr="00212AAA">
        <w:t xml:space="preserve">From 1 July 2013, organisations hosting a Broadband for </w:t>
      </w:r>
      <w:proofErr w:type="gramStart"/>
      <w:r w:rsidRPr="00212AAA">
        <w:t>Seniors</w:t>
      </w:r>
      <w:proofErr w:type="gramEnd"/>
      <w:r w:rsidRPr="00212AAA">
        <w:t xml:space="preserve"> kiosk will be able to apply for new technology and a $2,000 training grant. Through the kiosks, senior Australians will have free access to the updated technology, and to training on issues of particular concern to them, such as cyber security and </w:t>
      </w:r>
      <w:proofErr w:type="spellStart"/>
      <w:r w:rsidRPr="00212AAA">
        <w:t>cybersafety</w:t>
      </w:r>
      <w:proofErr w:type="spellEnd"/>
      <w:r w:rsidRPr="00212AAA">
        <w:t>. Improving confidence in the use of computers and the internet will enable senior Australians to fully participate in the digital economy, remain connected with family and friends and enjoy the benefits offered by the National Broadband Network.</w:t>
      </w:r>
    </w:p>
    <w:p w:rsidR="00C6620B" w:rsidRDefault="00C6620B" w:rsidP="00C6620B">
      <w:r>
        <w:t xml:space="preserve">From 1 March 2014, the backdating provision for the Pension Bonus Scheme will cease. Eligible senior Australians may still register for the scheme before this date. </w:t>
      </w:r>
    </w:p>
    <w:p w:rsidR="0082101B" w:rsidRPr="0082101B" w:rsidRDefault="00C6620B" w:rsidP="00C6620B">
      <w:r>
        <w:t>Further, from 1 January 2015, the normal pension deeming rules will apply to new superannuation account-based income streams assessed by Centrelink. Such products held by pensioners before that date will be grandfathered and the existing rules will apply</w:t>
      </w:r>
      <w:r w:rsidR="00D5509E">
        <w:t>,</w:t>
      </w:r>
      <w:r>
        <w:t xml:space="preserve"> unless they </w:t>
      </w:r>
      <w:r w:rsidR="00DC4F5A">
        <w:t xml:space="preserve">choose to </w:t>
      </w:r>
      <w:r>
        <w:t xml:space="preserve">change their product </w:t>
      </w:r>
      <w:r w:rsidR="00DC4F5A">
        <w:t>on or after 1 January 2015</w:t>
      </w:r>
      <w:r>
        <w:t>.</w:t>
      </w:r>
    </w:p>
    <w:p w:rsidR="00700ADD" w:rsidRPr="00C50ECC" w:rsidRDefault="000440AC" w:rsidP="005E25ED">
      <w:pPr>
        <w:pStyle w:val="Heading5"/>
      </w:pPr>
      <w:r>
        <w:br w:type="page"/>
      </w:r>
      <w:r w:rsidR="00700ADD">
        <w:lastRenderedPageBreak/>
        <w:t xml:space="preserve">Outcome </w:t>
      </w:r>
      <w:r w:rsidR="004164A2">
        <w:t>expense s</w:t>
      </w:r>
      <w:r w:rsidR="00700ADD">
        <w:t>tatement</w:t>
      </w:r>
    </w:p>
    <w:p w:rsidR="00700ADD" w:rsidRPr="00CB6E4E" w:rsidRDefault="00700ADD" w:rsidP="00700ADD">
      <w:r>
        <w:t>Tab</w:t>
      </w:r>
      <w:r w:rsidR="0062778F">
        <w:t>le 2.4</w:t>
      </w:r>
      <w:r>
        <w:t xml:space="preserve"> provides an overview of the total expenses for Outcome 4, by program.</w:t>
      </w:r>
    </w:p>
    <w:p w:rsidR="007452AA" w:rsidRDefault="0062778F" w:rsidP="001A57AE">
      <w:pPr>
        <w:pStyle w:val="TableHeading"/>
      </w:pPr>
      <w:r>
        <w:t>Table 2.</w:t>
      </w:r>
      <w:r w:rsidR="007452AA" w:rsidRPr="00A904CD">
        <w:t>4</w:t>
      </w:r>
      <w:r w:rsidR="007452AA">
        <w:t xml:space="preserve">: </w:t>
      </w:r>
      <w:r w:rsidR="007452AA" w:rsidRPr="00A904CD">
        <w:t xml:space="preserve">Budgeted </w:t>
      </w:r>
      <w:r w:rsidR="004164A2">
        <w:t>e</w:t>
      </w:r>
      <w:r w:rsidR="007452AA" w:rsidRPr="00A904CD">
        <w:t xml:space="preserve">xpenses </w:t>
      </w:r>
      <w:r>
        <w:t xml:space="preserve">for </w:t>
      </w:r>
      <w:r w:rsidR="007452AA" w:rsidRPr="00A904CD">
        <w:t>Outcome 4</w:t>
      </w:r>
    </w:p>
    <w:p w:rsidR="00F15CA0" w:rsidRPr="00F15CA0" w:rsidRDefault="007B4BBD" w:rsidP="00F15CA0">
      <w:pPr>
        <w:pStyle w:val="TableGraphic"/>
      </w:pPr>
      <w:r>
        <w:rPr>
          <w:noProof/>
        </w:rPr>
        <w:drawing>
          <wp:inline distT="0" distB="0" distL="0" distR="0" wp14:anchorId="21FD53AC" wp14:editId="0E7FABFA">
            <wp:extent cx="4876800" cy="5619750"/>
            <wp:effectExtent l="0" t="0" r="0" b="0"/>
            <wp:docPr id="157" name="Picture 157" descr="Table 2.4: Budgeted expenses for Outco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6800" cy="5619750"/>
                    </a:xfrm>
                    <a:prstGeom prst="rect">
                      <a:avLst/>
                    </a:prstGeom>
                    <a:noFill/>
                    <a:ln>
                      <a:noFill/>
                    </a:ln>
                  </pic:spPr>
                </pic:pic>
              </a:graphicData>
            </a:graphic>
          </wp:inline>
        </w:drawing>
      </w:r>
    </w:p>
    <w:p w:rsidR="00700ADD" w:rsidRPr="00700ADD" w:rsidRDefault="007452AA" w:rsidP="005E25ED">
      <w:pPr>
        <w:pStyle w:val="Heading5"/>
      </w:pPr>
      <w:r w:rsidRPr="00B06D93">
        <w:rPr>
          <w:highlight w:val="yellow"/>
        </w:rPr>
        <w:br w:type="page"/>
      </w:r>
      <w:r w:rsidR="00700ADD">
        <w:lastRenderedPageBreak/>
        <w:t>Contributions to Outcome 4: Seniors</w:t>
      </w:r>
    </w:p>
    <w:p w:rsidR="007452AA" w:rsidRPr="00AE3A8C" w:rsidRDefault="007452AA" w:rsidP="005E25ED">
      <w:pPr>
        <w:pStyle w:val="Heading6"/>
      </w:pPr>
      <w:r w:rsidRPr="00A6671F">
        <w:t xml:space="preserve">Program 4.1: Income Support for </w:t>
      </w:r>
      <w:proofErr w:type="gramStart"/>
      <w:r w:rsidRPr="00A6671F">
        <w:t>Seniors</w:t>
      </w:r>
      <w:proofErr w:type="gramEnd"/>
    </w:p>
    <w:p w:rsidR="00700ADD" w:rsidRDefault="00700ADD" w:rsidP="001C23EF">
      <w:pPr>
        <w:pStyle w:val="SinglePara"/>
        <w:rPr>
          <w:lang w:val="en-GB"/>
        </w:rPr>
      </w:pPr>
    </w:p>
    <w:p w:rsidR="00700ADD" w:rsidRDefault="00700ADD" w:rsidP="005E25ED">
      <w:pPr>
        <w:pStyle w:val="Heading7"/>
      </w:pPr>
      <w:r>
        <w:t xml:space="preserve">Program 4.1 </w:t>
      </w:r>
      <w:r w:rsidR="00900888">
        <w:t>o</w:t>
      </w:r>
      <w:r>
        <w:t>bjective</w:t>
      </w:r>
    </w:p>
    <w:p w:rsidR="00700ADD" w:rsidRDefault="00700ADD" w:rsidP="00700ADD">
      <w:pPr>
        <w:pStyle w:val="NormalBox"/>
      </w:pPr>
      <w:r>
        <w:t>To make payments to senior Australians to assist them financially in a manner that encourages them to productively manage resources and life transitions.</w:t>
      </w:r>
    </w:p>
    <w:p w:rsidR="00700ADD" w:rsidRDefault="00700ADD" w:rsidP="005E25ED">
      <w:pPr>
        <w:pStyle w:val="Heading7"/>
      </w:pPr>
      <w:r>
        <w:t>Program component objectives</w:t>
      </w:r>
    </w:p>
    <w:p w:rsidR="00700ADD" w:rsidRDefault="00700ADD" w:rsidP="005E25ED">
      <w:pPr>
        <w:pStyle w:val="Heading8"/>
      </w:pPr>
      <w:r>
        <w:t>Age Pension</w:t>
      </w:r>
    </w:p>
    <w:p w:rsidR="00700ADD" w:rsidRDefault="00700ADD" w:rsidP="00700ADD">
      <w:pPr>
        <w:pStyle w:val="NormalBox"/>
      </w:pPr>
      <w:r>
        <w:t>To make payments to senior Australians to assist them financially in a manner that encourages them to productively manage resources and life transitions.</w:t>
      </w:r>
    </w:p>
    <w:p w:rsidR="00700ADD" w:rsidRDefault="00700ADD" w:rsidP="005E25ED">
      <w:pPr>
        <w:pStyle w:val="Heading8"/>
      </w:pPr>
      <w:r>
        <w:t>Widow B Pension</w:t>
      </w:r>
    </w:p>
    <w:p w:rsidR="00700ADD" w:rsidRDefault="00700ADD" w:rsidP="00700ADD">
      <w:pPr>
        <w:pStyle w:val="NormalBox"/>
      </w:pPr>
      <w:r>
        <w:t xml:space="preserve">To make payments to widowed, divorced and separated women to assist them financially. </w:t>
      </w:r>
      <w:proofErr w:type="gramStart"/>
      <w:r>
        <w:t>(This payment was closed to new entrants from 20 March 1997.)</w:t>
      </w:r>
      <w:proofErr w:type="gramEnd"/>
    </w:p>
    <w:p w:rsidR="00700ADD" w:rsidRDefault="00700ADD" w:rsidP="005E25ED">
      <w:pPr>
        <w:pStyle w:val="Heading8"/>
      </w:pPr>
      <w:r>
        <w:t>Wife Pension (Age)</w:t>
      </w:r>
    </w:p>
    <w:p w:rsidR="00700ADD" w:rsidRDefault="00700ADD" w:rsidP="00700ADD">
      <w:pPr>
        <w:pStyle w:val="NormalBox"/>
        <w:pBdr>
          <w:between w:val="single" w:sz="2" w:space="3" w:color="auto"/>
        </w:pBdr>
      </w:pPr>
      <w:proofErr w:type="gramStart"/>
      <w:r>
        <w:t>To make payments to female partners of Age Pension recipients, where those partners are not eligible in their own right for Age Pension, to assist them financially.</w:t>
      </w:r>
      <w:proofErr w:type="gramEnd"/>
      <w:r>
        <w:t xml:space="preserve"> </w:t>
      </w:r>
      <w:proofErr w:type="gramStart"/>
      <w:r>
        <w:t>(This payment was closed to new entrants from 1 July 1995.)</w:t>
      </w:r>
      <w:proofErr w:type="gramEnd"/>
    </w:p>
    <w:p w:rsidR="00700ADD" w:rsidRPr="00700ADD" w:rsidRDefault="00700ADD" w:rsidP="00700ADD">
      <w:pPr>
        <w:pStyle w:val="NormalBox"/>
        <w:pBdr>
          <w:between w:val="single" w:sz="2" w:space="3" w:color="auto"/>
        </w:pBdr>
      </w:pPr>
      <w:proofErr w:type="gramStart"/>
      <w:r>
        <w:t xml:space="preserve">Linked to: </w:t>
      </w:r>
      <w:r w:rsidRPr="00700ADD">
        <w:t>Personal benefits payments under this program are delivered by DHS and by DVA.</w:t>
      </w:r>
      <w:proofErr w:type="gramEnd"/>
      <w:r w:rsidRPr="00700ADD">
        <w:t xml:space="preserve"> For more information refer to each agency’s 2013</w:t>
      </w:r>
      <w:r w:rsidR="003549DF">
        <w:t>–</w:t>
      </w:r>
      <w:r w:rsidR="001A0AC8">
        <w:t>14</w:t>
      </w:r>
      <w:r w:rsidRPr="00700ADD">
        <w:t xml:space="preserve"> PB Statements.</w:t>
      </w:r>
    </w:p>
    <w:p w:rsidR="0002144A" w:rsidRDefault="005E25ED" w:rsidP="005E25ED">
      <w:pPr>
        <w:pStyle w:val="Heading7"/>
      </w:pPr>
      <w:r>
        <w:br w:type="page"/>
      </w:r>
      <w:r w:rsidR="0002144A">
        <w:lastRenderedPageBreak/>
        <w:t>Program 4.1</w:t>
      </w:r>
      <w:r w:rsidR="00EE16D8">
        <w:t xml:space="preserve"> </w:t>
      </w:r>
      <w:r w:rsidR="00900888">
        <w:t>e</w:t>
      </w:r>
      <w:r w:rsidR="00EE16D8">
        <w:t>xpenses</w:t>
      </w:r>
    </w:p>
    <w:p w:rsidR="00906BA2" w:rsidRDefault="00906BA2" w:rsidP="00906BA2">
      <w:pPr>
        <w:pStyle w:val="NormalBox"/>
      </w:pPr>
      <w:r>
        <w:t>The variations in program expenses across the forward years reflect projected changes in the economy, customer trends, indexation parameters and the impact of policy initiatives.</w:t>
      </w:r>
    </w:p>
    <w:p w:rsidR="00906BA2" w:rsidRDefault="00906BA2" w:rsidP="00906BA2">
      <w:pPr>
        <w:pStyle w:val="NormalBox"/>
      </w:pPr>
      <w:r>
        <w:t>The Widow B Pension and Wife Pension (Age) programs are closed payments with no new claimants.</w:t>
      </w:r>
    </w:p>
    <w:p w:rsidR="00906BA2" w:rsidRPr="00906BA2" w:rsidRDefault="00906BA2" w:rsidP="00906BA2">
      <w:pPr>
        <w:pStyle w:val="NormalBox"/>
      </w:pPr>
      <w:r>
        <w:t>The impact of policy initiatives includes the Household Assistance Package</w:t>
      </w:r>
      <w:r w:rsidR="00900888">
        <w:t>, which assists households to</w:t>
      </w:r>
      <w:r>
        <w:t xml:space="preserve"> meet additional costs under a carbon price.</w:t>
      </w:r>
    </w:p>
    <w:p w:rsidR="007452AA" w:rsidRDefault="00C612FC" w:rsidP="001A57AE">
      <w:pPr>
        <w:pStyle w:val="TableHeading"/>
        <w:rPr>
          <w:lang w:val="en-GB"/>
        </w:rPr>
      </w:pPr>
      <w:r>
        <w:rPr>
          <w:lang w:val="en-GB"/>
        </w:rPr>
        <w:t>Table 2.</w:t>
      </w:r>
      <w:r w:rsidR="007452AA">
        <w:rPr>
          <w:lang w:val="en-GB"/>
        </w:rPr>
        <w:t xml:space="preserve">4.1: </w:t>
      </w:r>
      <w:r w:rsidR="004B5D66">
        <w:rPr>
          <w:lang w:val="en-GB"/>
        </w:rPr>
        <w:t>Budge</w:t>
      </w:r>
      <w:r w:rsidR="00F70BED">
        <w:rPr>
          <w:lang w:val="en-GB"/>
        </w:rPr>
        <w:t>ted</w:t>
      </w:r>
      <w:r w:rsidR="004B5D66">
        <w:rPr>
          <w:lang w:val="en-GB"/>
        </w:rPr>
        <w:t xml:space="preserve"> </w:t>
      </w:r>
      <w:r w:rsidR="00900888">
        <w:rPr>
          <w:lang w:val="en-GB"/>
        </w:rPr>
        <w:t>e</w:t>
      </w:r>
      <w:r w:rsidR="00AE7693">
        <w:rPr>
          <w:lang w:val="en-GB"/>
        </w:rPr>
        <w:t>xpenses</w:t>
      </w:r>
      <w:r w:rsidR="004B5D66">
        <w:rPr>
          <w:lang w:val="en-GB"/>
        </w:rPr>
        <w:t xml:space="preserve"> for Income Support for </w:t>
      </w:r>
      <w:proofErr w:type="gramStart"/>
      <w:r w:rsidR="004B5D66">
        <w:rPr>
          <w:lang w:val="en-GB"/>
        </w:rPr>
        <w:t>Seniors</w:t>
      </w:r>
      <w:proofErr w:type="gramEnd"/>
    </w:p>
    <w:p w:rsidR="00EE4C07" w:rsidRDefault="001F0E68" w:rsidP="00EE4C07">
      <w:pPr>
        <w:pStyle w:val="TableGraphic"/>
        <w:rPr>
          <w:lang w:val="en-GB"/>
        </w:rPr>
      </w:pPr>
      <w:r>
        <w:rPr>
          <w:noProof/>
        </w:rPr>
        <w:drawing>
          <wp:inline distT="0" distB="0" distL="0" distR="0" wp14:anchorId="52F55C07" wp14:editId="29D859F4">
            <wp:extent cx="4878705" cy="3413203"/>
            <wp:effectExtent l="0" t="0" r="0" b="0"/>
            <wp:docPr id="159" name="Picture 159" descr="Table 2.4.1: Budgeted expenses for Income Support for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78705" cy="3413203"/>
                    </a:xfrm>
                    <a:prstGeom prst="rect">
                      <a:avLst/>
                    </a:prstGeom>
                    <a:noFill/>
                    <a:ln>
                      <a:noFill/>
                    </a:ln>
                  </pic:spPr>
                </pic:pic>
              </a:graphicData>
            </a:graphic>
          </wp:inline>
        </w:drawing>
      </w:r>
    </w:p>
    <w:p w:rsidR="000E646C" w:rsidRDefault="000E646C" w:rsidP="000E646C">
      <w:pPr>
        <w:rPr>
          <w:lang w:val="en-GB"/>
        </w:rPr>
      </w:pPr>
    </w:p>
    <w:p w:rsidR="007452AA" w:rsidRDefault="000E646C" w:rsidP="000E646C">
      <w:pPr>
        <w:pStyle w:val="Heading7"/>
      </w:pPr>
      <w:r>
        <w:br w:type="page"/>
      </w:r>
      <w:r w:rsidR="007452AA" w:rsidRPr="007913B0">
        <w:lastRenderedPageBreak/>
        <w:t xml:space="preserve">Program </w:t>
      </w:r>
      <w:r w:rsidR="003B7CE5">
        <w:t xml:space="preserve">4.1 </w:t>
      </w:r>
      <w:r w:rsidR="00900888">
        <w:t>d</w:t>
      </w:r>
      <w:r w:rsidR="00EE16D8">
        <w:t>eliverables</w:t>
      </w:r>
    </w:p>
    <w:p w:rsidR="00EE16D8" w:rsidRPr="00EE16D8" w:rsidRDefault="00EE16D8" w:rsidP="00EE16D8">
      <w:pPr>
        <w:pStyle w:val="BulletBox"/>
      </w:pPr>
      <w:r w:rsidRPr="00EE16D8">
        <w:t>Payments are made through DHS to eligible claimants under the provisions of social security law</w:t>
      </w:r>
    </w:p>
    <w:p w:rsidR="007452AA" w:rsidRPr="00AE3A8C" w:rsidRDefault="007452AA" w:rsidP="00984352">
      <w:pPr>
        <w:pStyle w:val="SinglePara"/>
        <w:rPr>
          <w:lang w:val="en-GB"/>
        </w:rPr>
      </w:pPr>
    </w:p>
    <w:p w:rsidR="007452AA" w:rsidRDefault="007452AA" w:rsidP="000E646C">
      <w:pPr>
        <w:pStyle w:val="Heading7"/>
      </w:pPr>
      <w:r w:rsidRPr="00AE3A8C">
        <w:t xml:space="preserve">Program </w:t>
      </w:r>
      <w:r w:rsidR="003B7CE5">
        <w:t xml:space="preserve">4.1 </w:t>
      </w:r>
      <w:r w:rsidR="00900888">
        <w:t>k</w:t>
      </w:r>
      <w:r w:rsidR="00900888" w:rsidRPr="00AE3A8C">
        <w:t xml:space="preserve">ey </w:t>
      </w:r>
      <w:r w:rsidR="00900888">
        <w:t>p</w:t>
      </w:r>
      <w:r w:rsidR="00900888" w:rsidRPr="00AE3A8C">
        <w:t xml:space="preserve">erformance </w:t>
      </w:r>
      <w:r w:rsidR="00900888">
        <w:t>i</w:t>
      </w:r>
      <w:r w:rsidR="00900888" w:rsidRPr="00AE3A8C">
        <w:t>ndicators</w:t>
      </w:r>
    </w:p>
    <w:p w:rsidR="00EE16D8" w:rsidRPr="0093504A" w:rsidRDefault="00EE16D8" w:rsidP="000E646C">
      <w:pPr>
        <w:pStyle w:val="Heading8"/>
      </w:pPr>
      <w:r w:rsidRPr="0093504A">
        <w:t xml:space="preserve">Age Pension </w:t>
      </w:r>
    </w:p>
    <w:p w:rsidR="00EE16D8" w:rsidRDefault="00EE16D8" w:rsidP="00EE16D8">
      <w:pPr>
        <w:pStyle w:val="BulletBox"/>
      </w:pPr>
      <w:r>
        <w:t>Number of recipients</w:t>
      </w:r>
    </w:p>
    <w:p w:rsidR="00EE16D8" w:rsidRDefault="00EE16D8" w:rsidP="00EE16D8">
      <w:pPr>
        <w:pStyle w:val="BulletBox"/>
      </w:pPr>
      <w:r>
        <w:t xml:space="preserve">Administered outlays </w:t>
      </w:r>
    </w:p>
    <w:p w:rsidR="00EE16D8" w:rsidRDefault="00EE16D8" w:rsidP="00EE16D8">
      <w:pPr>
        <w:pStyle w:val="BulletBox"/>
      </w:pPr>
      <w:r>
        <w:t>Percentage and number of recipients on part rate due to the means test</w:t>
      </w:r>
    </w:p>
    <w:p w:rsidR="00EE16D8" w:rsidRDefault="00EE16D8" w:rsidP="00EE16D8">
      <w:pPr>
        <w:pStyle w:val="BulletBox"/>
      </w:pPr>
      <w:r>
        <w:t>Ratio of assessed income of pensioners to their total income</w:t>
      </w:r>
    </w:p>
    <w:p w:rsidR="00EE16D8" w:rsidRDefault="00EE16D8" w:rsidP="00EE16D8">
      <w:pPr>
        <w:pStyle w:val="BulletBox"/>
      </w:pPr>
      <w:r>
        <w:t>Percentage and number of senior Australians who receive payment</w:t>
      </w:r>
    </w:p>
    <w:p w:rsidR="00EE16D8" w:rsidRDefault="00EE16D8" w:rsidP="00EE16D8">
      <w:pPr>
        <w:pStyle w:val="BulletBox"/>
      </w:pPr>
      <w:r>
        <w:t>Percentage and number of recipients with employment income</w:t>
      </w:r>
    </w:p>
    <w:p w:rsidR="00EE16D8" w:rsidRDefault="00EE16D8" w:rsidP="00EE16D8">
      <w:pPr>
        <w:pStyle w:val="BulletBox"/>
      </w:pPr>
      <w:r>
        <w:t>Percentage and number of new entrants with employment income</w:t>
      </w:r>
    </w:p>
    <w:p w:rsidR="00EE16D8" w:rsidRDefault="00EE16D8" w:rsidP="00EE16D8">
      <w:pPr>
        <w:pStyle w:val="BulletBox"/>
      </w:pPr>
      <w:r>
        <w:t>Payment accuracy</w:t>
      </w:r>
    </w:p>
    <w:p w:rsidR="00EE16D8" w:rsidRDefault="00EE16D8" w:rsidP="00EE16D8">
      <w:pPr>
        <w:pStyle w:val="BulletBox"/>
      </w:pPr>
      <w:r w:rsidRPr="00C6620B">
        <w:t>Agreements are in place</w:t>
      </w:r>
      <w:r>
        <w:t xml:space="preserve"> with all service delivery agencies</w:t>
      </w:r>
    </w:p>
    <w:p w:rsidR="00EE16D8" w:rsidRDefault="00EE16D8" w:rsidP="00EE16D8">
      <w:pPr>
        <w:pStyle w:val="BulletBox"/>
      </w:pPr>
      <w:r>
        <w:t>Strategies are in place to ensure that the requirements are fulfilled under agreements with providers</w:t>
      </w:r>
    </w:p>
    <w:p w:rsidR="00EE16D8" w:rsidRPr="0093504A" w:rsidRDefault="00EE16D8" w:rsidP="000E646C">
      <w:pPr>
        <w:pStyle w:val="Heading8"/>
      </w:pPr>
      <w:r w:rsidRPr="0093504A">
        <w:t>Widow B Pension</w:t>
      </w:r>
    </w:p>
    <w:p w:rsidR="00EE16D8" w:rsidRDefault="00EE16D8" w:rsidP="00EE16D8">
      <w:pPr>
        <w:pStyle w:val="BulletBox"/>
      </w:pPr>
      <w:r>
        <w:t>Number of recipients</w:t>
      </w:r>
    </w:p>
    <w:p w:rsidR="00EE16D8" w:rsidRDefault="00EE16D8" w:rsidP="00EE16D8">
      <w:pPr>
        <w:pStyle w:val="BulletBox"/>
      </w:pPr>
      <w:r>
        <w:t xml:space="preserve">Administered outlays </w:t>
      </w:r>
    </w:p>
    <w:p w:rsidR="00EE16D8" w:rsidRDefault="00EE16D8" w:rsidP="00EE16D8">
      <w:pPr>
        <w:pStyle w:val="BulletBox"/>
      </w:pPr>
      <w:r>
        <w:t>Percentage and number of recipients on part rate due to the means test</w:t>
      </w:r>
    </w:p>
    <w:p w:rsidR="00EE16D8" w:rsidRPr="0093504A" w:rsidRDefault="00EE16D8" w:rsidP="000E646C">
      <w:pPr>
        <w:pStyle w:val="Heading8"/>
      </w:pPr>
      <w:r w:rsidRPr="0093504A">
        <w:t>Wife Pension (Age)</w:t>
      </w:r>
    </w:p>
    <w:p w:rsidR="00EE16D8" w:rsidRDefault="00EE16D8" w:rsidP="00EE16D8">
      <w:pPr>
        <w:pStyle w:val="BulletBox"/>
      </w:pPr>
      <w:r>
        <w:t>Number of recipients</w:t>
      </w:r>
    </w:p>
    <w:p w:rsidR="00EE16D8" w:rsidRDefault="00EE16D8" w:rsidP="00EE16D8">
      <w:pPr>
        <w:pStyle w:val="BulletBox"/>
      </w:pPr>
      <w:r>
        <w:t>Administered outlays</w:t>
      </w:r>
    </w:p>
    <w:p w:rsidR="00EE16D8" w:rsidRDefault="00EE16D8" w:rsidP="00EE16D8">
      <w:pPr>
        <w:pStyle w:val="BulletBox"/>
      </w:pPr>
      <w:r>
        <w:t>Percentage and number of recipients on part rate due to the means test</w:t>
      </w:r>
    </w:p>
    <w:p w:rsidR="000E646C" w:rsidRDefault="00EE16D8" w:rsidP="000E646C">
      <w:pPr>
        <w:pStyle w:val="BulletBox"/>
      </w:pPr>
      <w:r>
        <w:t>Ratio of current number of Wife Pension (Age) recipients to the number of Wife Pension (Age) recipients at 1 July 1995</w:t>
      </w:r>
    </w:p>
    <w:p w:rsidR="007452AA" w:rsidRPr="00AE3A8C" w:rsidRDefault="000E646C" w:rsidP="000E646C">
      <w:pPr>
        <w:pStyle w:val="Heading6"/>
      </w:pPr>
      <w:r>
        <w:br w:type="page"/>
      </w:r>
      <w:r w:rsidR="007452AA" w:rsidRPr="00114AE0">
        <w:lastRenderedPageBreak/>
        <w:t xml:space="preserve">Program 4.2: Allowances, Concessions and Services for </w:t>
      </w:r>
      <w:proofErr w:type="gramStart"/>
      <w:r w:rsidR="007452AA" w:rsidRPr="00114AE0">
        <w:t>Seniors</w:t>
      </w:r>
      <w:proofErr w:type="gramEnd"/>
      <w:r w:rsidR="007452AA" w:rsidRPr="00AE3A8C">
        <w:t xml:space="preserve"> </w:t>
      </w:r>
    </w:p>
    <w:p w:rsidR="00EE16D8" w:rsidRDefault="00EE16D8" w:rsidP="001C23EF">
      <w:pPr>
        <w:pStyle w:val="SinglePara"/>
        <w:rPr>
          <w:lang w:val="en-GB"/>
        </w:rPr>
      </w:pPr>
    </w:p>
    <w:p w:rsidR="00CE503F" w:rsidRDefault="00CE503F" w:rsidP="000E646C">
      <w:pPr>
        <w:pStyle w:val="Heading7"/>
      </w:pPr>
      <w:r>
        <w:t xml:space="preserve">Program 4.2 </w:t>
      </w:r>
      <w:r w:rsidR="00900888">
        <w:t>o</w:t>
      </w:r>
      <w:r>
        <w:t>bjective</w:t>
      </w:r>
    </w:p>
    <w:p w:rsidR="00CE503F" w:rsidRDefault="00CE503F" w:rsidP="00CE503F">
      <w:pPr>
        <w:pStyle w:val="NormalBox"/>
      </w:pPr>
      <w:r>
        <w:t>To make payments and provide services to senior Australians to assist with household expenses, enabling them to maintain their standard of living and increase access to information and community resources.</w:t>
      </w:r>
    </w:p>
    <w:p w:rsidR="00CE503F" w:rsidRDefault="00CE503F" w:rsidP="000E646C">
      <w:pPr>
        <w:pStyle w:val="Heading7"/>
      </w:pPr>
      <w:r>
        <w:t xml:space="preserve">Program </w:t>
      </w:r>
      <w:r w:rsidR="00900888">
        <w:t>component objectives</w:t>
      </w:r>
    </w:p>
    <w:p w:rsidR="00CE503F" w:rsidRDefault="00CE503F" w:rsidP="00235B65">
      <w:pPr>
        <w:pStyle w:val="ProgramHeading3"/>
      </w:pPr>
      <w:r>
        <w:t>Senior</w:t>
      </w:r>
      <w:r w:rsidRPr="000E646C">
        <w:rPr>
          <w:rStyle w:val="Heading8Char"/>
        </w:rPr>
        <w:t>s</w:t>
      </w:r>
      <w:r>
        <w:t xml:space="preserve"> Supplement</w:t>
      </w:r>
    </w:p>
    <w:p w:rsidR="00CE503F" w:rsidRDefault="00CE503F" w:rsidP="00CE503F">
      <w:pPr>
        <w:pStyle w:val="NormalBox"/>
      </w:pPr>
      <w:proofErr w:type="gramStart"/>
      <w:r>
        <w:t>To make payments to senior Australians to assist with household and other living expenses.</w:t>
      </w:r>
      <w:proofErr w:type="gramEnd"/>
    </w:p>
    <w:p w:rsidR="00CE503F" w:rsidRDefault="00CE503F" w:rsidP="000E646C">
      <w:pPr>
        <w:pStyle w:val="Heading8"/>
      </w:pPr>
      <w:r>
        <w:t xml:space="preserve">Broadband for </w:t>
      </w:r>
      <w:proofErr w:type="gramStart"/>
      <w:r>
        <w:t>Seniors</w:t>
      </w:r>
      <w:proofErr w:type="gramEnd"/>
    </w:p>
    <w:p w:rsidR="00CE503F" w:rsidRDefault="00CE503F" w:rsidP="0093504A">
      <w:pPr>
        <w:pStyle w:val="NormalBox"/>
        <w:pBdr>
          <w:between w:val="single" w:sz="2" w:space="3" w:color="auto"/>
        </w:pBdr>
      </w:pPr>
      <w:r>
        <w:t xml:space="preserve">To maintain a network of </w:t>
      </w:r>
      <w:r w:rsidR="003058E6">
        <w:t xml:space="preserve">up to </w:t>
      </w:r>
      <w:r>
        <w:t xml:space="preserve">2,000 </w:t>
      </w:r>
      <w:r w:rsidR="00450354">
        <w:t>i</w:t>
      </w:r>
      <w:r>
        <w:t>nternet kiosks in locations frequented by seniors to</w:t>
      </w:r>
      <w:r w:rsidR="0093504A">
        <w:t xml:space="preserve"> </w:t>
      </w:r>
      <w:r>
        <w:t>help seniors get online and stay connected with families, friends and community</w:t>
      </w:r>
      <w:r w:rsidR="0093504A">
        <w:t xml:space="preserve"> </w:t>
      </w:r>
      <w:r>
        <w:t>activities.</w:t>
      </w:r>
    </w:p>
    <w:p w:rsidR="00CE503F" w:rsidRDefault="00CE503F" w:rsidP="00CE6400">
      <w:pPr>
        <w:pStyle w:val="NormalBox"/>
      </w:pPr>
      <w:proofErr w:type="gramStart"/>
      <w:r>
        <w:t xml:space="preserve">Linked to: </w:t>
      </w:r>
      <w:r w:rsidRPr="00CE503F">
        <w:t>Personal benefits payments under this program are delivered by DHS and by DVA.</w:t>
      </w:r>
      <w:proofErr w:type="gramEnd"/>
      <w:r w:rsidR="0009488C" w:rsidRPr="0009488C">
        <w:t xml:space="preserve"> </w:t>
      </w:r>
      <w:r w:rsidR="0009488C">
        <w:t>DVA has responsibility for Seniors Supplement payments to servicemen and women who are holders of a Commonwealth Seniors Health Card</w:t>
      </w:r>
      <w:r w:rsidR="004B63FF">
        <w:t>.</w:t>
      </w:r>
      <w:r w:rsidRPr="00CE503F">
        <w:t xml:space="preserve"> For more information refer to each agency’s 2013</w:t>
      </w:r>
      <w:r w:rsidR="003549DF">
        <w:t>–</w:t>
      </w:r>
      <w:r>
        <w:t>14</w:t>
      </w:r>
      <w:r w:rsidRPr="00CE503F">
        <w:t xml:space="preserve"> PB Statements.</w:t>
      </w:r>
    </w:p>
    <w:p w:rsidR="00CE503F" w:rsidRDefault="000E646C" w:rsidP="000E646C">
      <w:pPr>
        <w:pStyle w:val="Heading7"/>
      </w:pPr>
      <w:r>
        <w:br w:type="page"/>
      </w:r>
      <w:r w:rsidR="00CE503F">
        <w:lastRenderedPageBreak/>
        <w:t xml:space="preserve">Program 4.2 </w:t>
      </w:r>
      <w:r w:rsidR="00900888">
        <w:t>e</w:t>
      </w:r>
      <w:r w:rsidR="00CE503F">
        <w:t>xpenses</w:t>
      </w:r>
    </w:p>
    <w:p w:rsidR="007C6220" w:rsidRDefault="00906BA2" w:rsidP="00906BA2">
      <w:pPr>
        <w:pStyle w:val="NormalBox"/>
      </w:pPr>
      <w:r>
        <w:t xml:space="preserve">The increase in program expenses across the forward years reflects projected changes in the customer trends, indexation parameters and impact of policy initiatives </w:t>
      </w:r>
      <w:r w:rsidR="007C6220" w:rsidRPr="007C6220">
        <w:t>including the 2013</w:t>
      </w:r>
      <w:r w:rsidR="007C6220">
        <w:t>–</w:t>
      </w:r>
      <w:r w:rsidR="007C6220" w:rsidRPr="007C6220">
        <w:t>14 Budget measure to help seniors get online and stay connected with families, friends and community activities.</w:t>
      </w:r>
    </w:p>
    <w:p w:rsidR="00293295" w:rsidRPr="00704365" w:rsidRDefault="00906BA2" w:rsidP="00906BA2">
      <w:pPr>
        <w:pStyle w:val="NormalBox"/>
      </w:pPr>
      <w:r>
        <w:t>The impact of policy initiatives includes the Household Assistance Package</w:t>
      </w:r>
      <w:r w:rsidR="00900888">
        <w:t>, which assists households to</w:t>
      </w:r>
      <w:r>
        <w:t xml:space="preserve"> meet additional costs under a carbon price.</w:t>
      </w:r>
    </w:p>
    <w:p w:rsidR="007452AA" w:rsidRDefault="00C612FC" w:rsidP="001A57AE">
      <w:pPr>
        <w:pStyle w:val="TableHeading"/>
        <w:rPr>
          <w:lang w:val="en-GB"/>
        </w:rPr>
      </w:pPr>
      <w:r>
        <w:rPr>
          <w:lang w:val="en-GB"/>
        </w:rPr>
        <w:t>Table 2.</w:t>
      </w:r>
      <w:r w:rsidR="007452AA">
        <w:rPr>
          <w:lang w:val="en-GB"/>
        </w:rPr>
        <w:t xml:space="preserve">4.2: </w:t>
      </w:r>
      <w:r w:rsidR="004B5D66">
        <w:rPr>
          <w:lang w:val="en-GB"/>
        </w:rPr>
        <w:t xml:space="preserve">Budgeted </w:t>
      </w:r>
      <w:r w:rsidR="000D25EB">
        <w:rPr>
          <w:lang w:val="en-GB"/>
        </w:rPr>
        <w:t>e</w:t>
      </w:r>
      <w:r w:rsidR="003B7CE5">
        <w:rPr>
          <w:lang w:val="en-GB"/>
        </w:rPr>
        <w:t xml:space="preserve">xpenses </w:t>
      </w:r>
      <w:r w:rsidR="004B5D66">
        <w:rPr>
          <w:lang w:val="en-GB"/>
        </w:rPr>
        <w:t xml:space="preserve">for Allowances, Concessions and Services for </w:t>
      </w:r>
      <w:proofErr w:type="gramStart"/>
      <w:r w:rsidR="004B5D66">
        <w:rPr>
          <w:lang w:val="en-GB"/>
        </w:rPr>
        <w:t>Seniors</w:t>
      </w:r>
      <w:proofErr w:type="gramEnd"/>
    </w:p>
    <w:p w:rsidR="00EE4C07" w:rsidRDefault="00E30A42" w:rsidP="00EE4C07">
      <w:pPr>
        <w:pStyle w:val="TableGraphic"/>
        <w:rPr>
          <w:lang w:val="en-GB"/>
        </w:rPr>
      </w:pPr>
      <w:r>
        <w:rPr>
          <w:noProof/>
        </w:rPr>
        <w:drawing>
          <wp:inline distT="0" distB="0" distL="0" distR="0" wp14:anchorId="6BFF9E36" wp14:editId="48655CC7">
            <wp:extent cx="4878705" cy="2593597"/>
            <wp:effectExtent l="0" t="0" r="0" b="0"/>
            <wp:docPr id="311" name="Picture 311" descr="Table 2.4.2: Budgeted expenses for Allowances, Concessions and Services for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78705" cy="2593597"/>
                    </a:xfrm>
                    <a:prstGeom prst="rect">
                      <a:avLst/>
                    </a:prstGeom>
                    <a:noFill/>
                    <a:ln>
                      <a:noFill/>
                    </a:ln>
                  </pic:spPr>
                </pic:pic>
              </a:graphicData>
            </a:graphic>
          </wp:inline>
        </w:drawing>
      </w:r>
    </w:p>
    <w:p w:rsidR="00CE503F" w:rsidRDefault="000E646C" w:rsidP="000E646C">
      <w:pPr>
        <w:pStyle w:val="Heading7"/>
      </w:pPr>
      <w:r>
        <w:br w:type="page"/>
      </w:r>
      <w:r w:rsidR="007452AA" w:rsidRPr="00AE3A8C">
        <w:lastRenderedPageBreak/>
        <w:t xml:space="preserve">Program </w:t>
      </w:r>
      <w:r w:rsidR="003B7CE5">
        <w:t xml:space="preserve">4.2 </w:t>
      </w:r>
      <w:r w:rsidR="000D25EB">
        <w:t>d</w:t>
      </w:r>
      <w:r w:rsidR="003B7CE5" w:rsidRPr="00AE3A8C">
        <w:t xml:space="preserve">eliverables </w:t>
      </w:r>
    </w:p>
    <w:p w:rsidR="00CE503F" w:rsidRPr="0093504A" w:rsidRDefault="00CE503F" w:rsidP="000E646C">
      <w:pPr>
        <w:pStyle w:val="Heading8"/>
      </w:pPr>
      <w:r w:rsidRPr="0093504A">
        <w:t>Payments</w:t>
      </w:r>
    </w:p>
    <w:p w:rsidR="00CE503F" w:rsidRPr="00602D12" w:rsidRDefault="00CE503F" w:rsidP="00CE503F">
      <w:pPr>
        <w:pStyle w:val="BulletBox"/>
      </w:pPr>
      <w:r w:rsidRPr="00602D12">
        <w:t xml:space="preserve">Payments are made through </w:t>
      </w:r>
      <w:r>
        <w:t>DHS</w:t>
      </w:r>
      <w:r w:rsidRPr="00602D12">
        <w:t xml:space="preserve"> to eligible claimants under the pr</w:t>
      </w:r>
      <w:r>
        <w:t>ovisions of social security law</w:t>
      </w:r>
    </w:p>
    <w:p w:rsidR="00CE503F" w:rsidRPr="0093504A" w:rsidRDefault="00CE503F" w:rsidP="002649AE">
      <w:pPr>
        <w:pStyle w:val="ProgramHeading3"/>
      </w:pPr>
      <w:r w:rsidRPr="0093504A">
        <w:t xml:space="preserve">Broadband </w:t>
      </w:r>
      <w:r w:rsidRPr="000E646C">
        <w:rPr>
          <w:rStyle w:val="Heading8Char"/>
        </w:rPr>
        <w:t>f</w:t>
      </w:r>
      <w:r w:rsidRPr="0093504A">
        <w:t xml:space="preserve">or </w:t>
      </w:r>
      <w:proofErr w:type="gramStart"/>
      <w:r w:rsidRPr="0093504A">
        <w:t>Seniors</w:t>
      </w:r>
      <w:proofErr w:type="gramEnd"/>
    </w:p>
    <w:p w:rsidR="00CE503F" w:rsidRPr="00CE503F" w:rsidRDefault="00CE503F" w:rsidP="00CE503F">
      <w:pPr>
        <w:pStyle w:val="BulletBox"/>
      </w:pPr>
      <w:r>
        <w:t>Number of kiosks established</w:t>
      </w:r>
    </w:p>
    <w:p w:rsidR="00CE503F" w:rsidRDefault="00CE503F" w:rsidP="00984352">
      <w:pPr>
        <w:pStyle w:val="SinglePara"/>
      </w:pPr>
    </w:p>
    <w:p w:rsidR="007452AA" w:rsidRDefault="007452AA" w:rsidP="000E646C">
      <w:pPr>
        <w:pStyle w:val="Heading7"/>
      </w:pPr>
      <w:r w:rsidRPr="00AE3A8C">
        <w:t xml:space="preserve">Program </w:t>
      </w:r>
      <w:r w:rsidR="003B7CE5">
        <w:t xml:space="preserve">4.2 </w:t>
      </w:r>
      <w:r w:rsidR="000D25EB">
        <w:t>key performance i</w:t>
      </w:r>
      <w:r w:rsidR="000D25EB" w:rsidRPr="00AE3A8C">
        <w:t>n</w:t>
      </w:r>
      <w:r w:rsidR="000D25EB">
        <w:t>dicators</w:t>
      </w:r>
    </w:p>
    <w:p w:rsidR="00CE503F" w:rsidRPr="0093504A" w:rsidRDefault="00CE503F" w:rsidP="000E646C">
      <w:pPr>
        <w:pStyle w:val="Heading8"/>
      </w:pPr>
      <w:r w:rsidRPr="0093504A">
        <w:t>Seniors Supplement</w:t>
      </w:r>
    </w:p>
    <w:p w:rsidR="00CE503F" w:rsidRDefault="00CE503F" w:rsidP="00CE503F">
      <w:pPr>
        <w:pStyle w:val="BulletBox"/>
      </w:pPr>
      <w:r>
        <w:t>Number of recipients</w:t>
      </w:r>
    </w:p>
    <w:p w:rsidR="00CE503F" w:rsidRDefault="00CE503F" w:rsidP="00CE503F">
      <w:pPr>
        <w:pStyle w:val="BulletBox"/>
      </w:pPr>
      <w:r>
        <w:t>Administered outlays</w:t>
      </w:r>
    </w:p>
    <w:p w:rsidR="00CE503F" w:rsidRPr="0093504A" w:rsidRDefault="00CE503F" w:rsidP="000E646C">
      <w:pPr>
        <w:pStyle w:val="Heading8"/>
      </w:pPr>
      <w:r w:rsidRPr="0093504A">
        <w:t xml:space="preserve">Broadband for </w:t>
      </w:r>
      <w:proofErr w:type="gramStart"/>
      <w:r w:rsidRPr="0093504A">
        <w:t>Seniors</w:t>
      </w:r>
      <w:proofErr w:type="gramEnd"/>
    </w:p>
    <w:p w:rsidR="00CE503F" w:rsidRDefault="00CE503F" w:rsidP="00CE503F">
      <w:pPr>
        <w:pStyle w:val="BulletBox"/>
      </w:pPr>
      <w:r>
        <w:t>Percentage of kiosk users reporting improved skills and confidence in u</w:t>
      </w:r>
      <w:r w:rsidR="00422DC3">
        <w:t xml:space="preserve">sing computers and the </w:t>
      </w:r>
      <w:r w:rsidR="00450354">
        <w:t>i</w:t>
      </w:r>
      <w:r w:rsidR="00422DC3">
        <w:t>nternet</w:t>
      </w:r>
    </w:p>
    <w:p w:rsidR="00CE503F" w:rsidRDefault="00CE503F" w:rsidP="00CE503F">
      <w:pPr>
        <w:pStyle w:val="BulletBox"/>
      </w:pPr>
      <w:r>
        <w:t>Percentage of kiosk users parti</w:t>
      </w:r>
      <w:r w:rsidR="00FA5DAD">
        <w:t>cipating in training activities</w:t>
      </w:r>
    </w:p>
    <w:p w:rsidR="000E646C" w:rsidRDefault="00CE503F" w:rsidP="000E646C">
      <w:pPr>
        <w:pStyle w:val="BulletBox"/>
      </w:pPr>
      <w:r>
        <w:t>Percentage of Australian seniors satisfied with the quality of Broadband for Seniors training and support</w:t>
      </w:r>
    </w:p>
    <w:p w:rsidR="000E646C" w:rsidRPr="000E646C" w:rsidRDefault="000E646C" w:rsidP="000E646C">
      <w:pPr>
        <w:pStyle w:val="Heading4"/>
        <w:pBdr>
          <w:top w:val="single" w:sz="2" w:space="1" w:color="auto"/>
          <w:left w:val="single" w:sz="2" w:space="4" w:color="auto"/>
          <w:bottom w:val="single" w:sz="2" w:space="1" w:color="auto"/>
          <w:right w:val="single" w:sz="2" w:space="4" w:color="auto"/>
        </w:pBdr>
        <w:shd w:val="pct15" w:color="auto" w:fill="auto"/>
      </w:pPr>
      <w:r>
        <w:br w:type="page"/>
      </w:r>
      <w:r w:rsidRPr="000E646C">
        <w:lastRenderedPageBreak/>
        <w:t>Outcome 5: Disability and Carers</w:t>
      </w:r>
    </w:p>
    <w:p w:rsidR="003608C9" w:rsidRPr="000E646C" w:rsidRDefault="000E646C" w:rsidP="000E646C">
      <w:pPr>
        <w:pBdr>
          <w:top w:val="single" w:sz="2" w:space="1" w:color="auto"/>
          <w:left w:val="single" w:sz="2" w:space="4" w:color="auto"/>
          <w:bottom w:val="single" w:sz="2" w:space="1" w:color="auto"/>
          <w:right w:val="single" w:sz="2" w:space="4" w:color="auto"/>
        </w:pBdr>
        <w:shd w:val="pct15" w:color="auto" w:fill="auto"/>
      </w:pPr>
      <w:r w:rsidRPr="000E646C">
        <w:t>An adequate standard of living, improved capacity to participate economically and socially and manage life-transitions for people with disability and/or mental illness and carers through payments, concessions, support and care services.</w:t>
      </w:r>
    </w:p>
    <w:p w:rsidR="007452AA" w:rsidRDefault="00BF33EF" w:rsidP="000E646C">
      <w:pPr>
        <w:pStyle w:val="Heading5"/>
      </w:pPr>
      <w:r>
        <w:t xml:space="preserve">Outcome 5 </w:t>
      </w:r>
      <w:r w:rsidR="000D25EB">
        <w:t>s</w:t>
      </w:r>
      <w:r w:rsidR="007452AA" w:rsidRPr="00AE3A8C">
        <w:t>trategy</w:t>
      </w:r>
    </w:p>
    <w:p w:rsidR="00C6620B" w:rsidRDefault="00C6620B" w:rsidP="00C6620B">
      <w:r>
        <w:t>FaHCSIA continues to develop and implement the Australian Government’s significant reforms in disability services.</w:t>
      </w:r>
    </w:p>
    <w:p w:rsidR="00C6620B" w:rsidRDefault="00C6620B" w:rsidP="00C6620B">
      <w:r>
        <w:t xml:space="preserve">The Australian Government will continue to work with </w:t>
      </w:r>
      <w:r w:rsidR="007D52D6">
        <w:t xml:space="preserve">the </w:t>
      </w:r>
      <w:r>
        <w:t xml:space="preserve">states and territories on the launch of </w:t>
      </w:r>
      <w:proofErr w:type="spellStart"/>
      <w:r>
        <w:t>DisabilityCare</w:t>
      </w:r>
      <w:proofErr w:type="spellEnd"/>
      <w:r>
        <w:t xml:space="preserve"> Australia</w:t>
      </w:r>
      <w:r w:rsidR="00C0715F">
        <w:t>,</w:t>
      </w:r>
      <w:r w:rsidR="001135AF">
        <w:t xml:space="preserve"> </w:t>
      </w:r>
      <w:r>
        <w:t>the national disability insurance scheme</w:t>
      </w:r>
      <w:r w:rsidR="00C0715F">
        <w:t>,</w:t>
      </w:r>
      <w:r w:rsidR="001135AF">
        <w:t xml:space="preserve"> </w:t>
      </w:r>
      <w:r>
        <w:t xml:space="preserve">and toward the full </w:t>
      </w:r>
      <w:r w:rsidR="00830798">
        <w:t>roll-out</w:t>
      </w:r>
      <w:r>
        <w:t xml:space="preserve"> of the scheme.</w:t>
      </w:r>
      <w:r w:rsidR="00CB4A54">
        <w:t xml:space="preserve"> </w:t>
      </w:r>
      <w:r w:rsidR="00ED13B3">
        <w:t xml:space="preserve">This work will include </w:t>
      </w:r>
      <w:r w:rsidR="00C600C7">
        <w:t xml:space="preserve">implementation and evaluation of </w:t>
      </w:r>
      <w:r w:rsidR="00ED13B3">
        <w:t>the launch, monitoring performance, developing further long-term policy for the scheme and supporting change in the disability sector and its workforce.</w:t>
      </w:r>
    </w:p>
    <w:p w:rsidR="00C6620B" w:rsidRDefault="00C6620B" w:rsidP="00C6620B">
      <w:r>
        <w:t>In 2012–13</w:t>
      </w:r>
      <w:r w:rsidR="008C1CA1">
        <w:t>,</w:t>
      </w:r>
      <w:r>
        <w:t xml:space="preserve"> key developments towards a national scheme included the passage of the </w:t>
      </w:r>
      <w:r w:rsidRPr="00C6620B">
        <w:rPr>
          <w:i/>
        </w:rPr>
        <w:t>National Disability Insurance Scheme Act 2013</w:t>
      </w:r>
      <w:r>
        <w:t xml:space="preserve"> and the establishment of the </w:t>
      </w:r>
      <w:proofErr w:type="spellStart"/>
      <w:r>
        <w:t>DisabilityCare</w:t>
      </w:r>
      <w:proofErr w:type="spellEnd"/>
      <w:r>
        <w:t xml:space="preserve"> Australia agency.</w:t>
      </w:r>
    </w:p>
    <w:p w:rsidR="00C6620B" w:rsidRDefault="00C6620B" w:rsidP="00C6620B">
      <w:r>
        <w:t xml:space="preserve">As well, agreements </w:t>
      </w:r>
      <w:r w:rsidR="00C600C7">
        <w:t xml:space="preserve">were </w:t>
      </w:r>
      <w:r>
        <w:t>achieved with</w:t>
      </w:r>
      <w:r w:rsidR="007D52D6">
        <w:t xml:space="preserve"> the</w:t>
      </w:r>
      <w:r>
        <w:t xml:space="preserve"> states and territories on launch design and for launch sites from July 2013 in the Barwon area of Victoria</w:t>
      </w:r>
      <w:r w:rsidR="001135AF">
        <w:t>,</w:t>
      </w:r>
      <w:r>
        <w:t xml:space="preserve"> the Hunter </w:t>
      </w:r>
      <w:r w:rsidR="00DD4E00">
        <w:t xml:space="preserve">area </w:t>
      </w:r>
      <w:r>
        <w:t>in New South Wales</w:t>
      </w:r>
      <w:r w:rsidR="001135AF">
        <w:t>,</w:t>
      </w:r>
      <w:r>
        <w:t xml:space="preserve"> </w:t>
      </w:r>
      <w:r w:rsidR="001135AF">
        <w:t xml:space="preserve">Tasmania and South Australia, </w:t>
      </w:r>
      <w:r>
        <w:t>and from July 2014 in the Australian Capital Territory and the Barkly region of the Northern Territory.</w:t>
      </w:r>
    </w:p>
    <w:p w:rsidR="00C6620B" w:rsidRDefault="00C6620B" w:rsidP="00C6620B">
      <w:r>
        <w:t xml:space="preserve">From 2013–14, this initiative will see about </w:t>
      </w:r>
      <w:r w:rsidR="007673E7">
        <w:t>2</w:t>
      </w:r>
      <w:r w:rsidR="003378D0">
        <w:t>6</w:t>
      </w:r>
      <w:r>
        <w:t>,000 people with significant and permanent disability, their families and carers benefit from this first stage of the scheme.</w:t>
      </w:r>
    </w:p>
    <w:p w:rsidR="006C2E21" w:rsidRDefault="006C2E21" w:rsidP="00C6620B">
      <w:r>
        <w:t xml:space="preserve">The launch will enable governments to learn from experience and feedback from participants, their families and carers, service providers and community organisations. </w:t>
      </w:r>
      <w:r w:rsidR="00C600C7">
        <w:t>This experience can then inform the policy and delivery of the full scheme</w:t>
      </w:r>
      <w:r>
        <w:t xml:space="preserve">. </w:t>
      </w:r>
    </w:p>
    <w:p w:rsidR="006C2E21" w:rsidRDefault="00720692" w:rsidP="00C6620B">
      <w:r>
        <w:t>By 1 July 2013, a s</w:t>
      </w:r>
      <w:r w:rsidRPr="00720692">
        <w:t xml:space="preserve">pecial </w:t>
      </w:r>
      <w:r>
        <w:t>a</w:t>
      </w:r>
      <w:r w:rsidRPr="00720692">
        <w:t xml:space="preserve">ccount will be established in accordance with the </w:t>
      </w:r>
      <w:r w:rsidRPr="00720692">
        <w:rPr>
          <w:i/>
        </w:rPr>
        <w:t>Financial Management and Accountability Act 1997</w:t>
      </w:r>
      <w:r w:rsidRPr="00720692">
        <w:t xml:space="preserve"> to cover the transition period for </w:t>
      </w:r>
      <w:proofErr w:type="spellStart"/>
      <w:r w:rsidRPr="00720692">
        <w:t>DisabilityCare</w:t>
      </w:r>
      <w:proofErr w:type="spellEnd"/>
      <w:r w:rsidRPr="00720692">
        <w:t xml:space="preserve"> Australia pending the Agency’s full financial separation from FaHCSIA by July 2014. The transitional </w:t>
      </w:r>
      <w:r>
        <w:t>s</w:t>
      </w:r>
      <w:r w:rsidRPr="00720692">
        <w:t xml:space="preserve">pecial </w:t>
      </w:r>
      <w:r>
        <w:t>a</w:t>
      </w:r>
      <w:r w:rsidRPr="00720692">
        <w:t xml:space="preserve">ccount will ensure that all </w:t>
      </w:r>
      <w:proofErr w:type="spellStart"/>
      <w:r w:rsidRPr="00720692">
        <w:t>DisabilityCare</w:t>
      </w:r>
      <w:proofErr w:type="spellEnd"/>
      <w:r w:rsidRPr="00720692">
        <w:t xml:space="preserve"> Australia funding is quarantined for the purposes of </w:t>
      </w:r>
      <w:proofErr w:type="spellStart"/>
      <w:r w:rsidRPr="00720692">
        <w:t>DisabilityCare</w:t>
      </w:r>
      <w:proofErr w:type="spellEnd"/>
      <w:r w:rsidRPr="00720692">
        <w:t xml:space="preserve"> Australia commitments under the </w:t>
      </w:r>
      <w:r w:rsidRPr="00720692">
        <w:rPr>
          <w:i/>
        </w:rPr>
        <w:t>National Disability Insurance Scheme Act 2013</w:t>
      </w:r>
      <w:r w:rsidRPr="00720692">
        <w:t>.</w:t>
      </w:r>
    </w:p>
    <w:p w:rsidR="00C600C7" w:rsidRDefault="00C600C7" w:rsidP="00C6620B">
      <w:r w:rsidRPr="00C600C7">
        <w:t>The Australian Government will provide $14.3</w:t>
      </w:r>
      <w:r w:rsidR="008D40DD">
        <w:t> </w:t>
      </w:r>
      <w:r w:rsidRPr="00C600C7">
        <w:t>billion over seven years from 2012</w:t>
      </w:r>
      <w:r w:rsidR="001A56C9">
        <w:t>–</w:t>
      </w:r>
      <w:r w:rsidRPr="00C600C7">
        <w:t xml:space="preserve">13 to move to full implementation of </w:t>
      </w:r>
      <w:proofErr w:type="spellStart"/>
      <w:r w:rsidRPr="00C600C7">
        <w:t>DisabilityCare</w:t>
      </w:r>
      <w:proofErr w:type="spellEnd"/>
      <w:r w:rsidRPr="00C600C7">
        <w:t xml:space="preserve"> Australia</w:t>
      </w:r>
      <w:r w:rsidR="00572098">
        <w:t xml:space="preserve"> including</w:t>
      </w:r>
      <w:r w:rsidRPr="00C600C7">
        <w:t xml:space="preserve"> launch funding. This is the Commonwealth’s share of the additional costs over that period for </w:t>
      </w:r>
      <w:proofErr w:type="spellStart"/>
      <w:r w:rsidRPr="00C600C7">
        <w:t>DisabilityCare</w:t>
      </w:r>
      <w:proofErr w:type="spellEnd"/>
      <w:r w:rsidRPr="00C600C7">
        <w:t xml:space="preserve"> Australia</w:t>
      </w:r>
      <w:r w:rsidR="001A56C9">
        <w:t>,</w:t>
      </w:r>
      <w:r w:rsidRPr="00C600C7">
        <w:t xml:space="preserve"> assuming all states and territories accept the funding offer based on the agreement reached with New South Wales on 6 December 2012.</w:t>
      </w:r>
    </w:p>
    <w:p w:rsidR="00C6620B" w:rsidRDefault="00C6620B" w:rsidP="00C6620B">
      <w:r>
        <w:lastRenderedPageBreak/>
        <w:t>The Australian Government has agreed with the governments of New South Wales</w:t>
      </w:r>
      <w:r w:rsidR="001135AF">
        <w:t xml:space="preserve"> and </w:t>
      </w:r>
      <w:r>
        <w:t xml:space="preserve">South Australia </w:t>
      </w:r>
      <w:r w:rsidR="00C54CD8">
        <w:t xml:space="preserve">to establish the full </w:t>
      </w:r>
      <w:r w:rsidR="00830798">
        <w:t>roll-out</w:t>
      </w:r>
      <w:r w:rsidR="001135AF">
        <w:t xml:space="preserve"> of </w:t>
      </w:r>
      <w:proofErr w:type="spellStart"/>
      <w:r w:rsidR="001135AF">
        <w:t>Disabili</w:t>
      </w:r>
      <w:r w:rsidR="00C54CD8">
        <w:t>tyCare</w:t>
      </w:r>
      <w:proofErr w:type="spellEnd"/>
      <w:r w:rsidR="00C54CD8">
        <w:t xml:space="preserve"> Australia by </w:t>
      </w:r>
      <w:r w:rsidR="008C1CA1">
        <w:t>July </w:t>
      </w:r>
      <w:r w:rsidR="00C54CD8">
        <w:t xml:space="preserve">2018. </w:t>
      </w:r>
      <w:r w:rsidR="001135AF">
        <w:t>The Government has agreed with the government</w:t>
      </w:r>
      <w:r w:rsidR="00DF22E8">
        <w:t>s</w:t>
      </w:r>
      <w:r w:rsidR="001135AF">
        <w:t xml:space="preserve"> of</w:t>
      </w:r>
      <w:r w:rsidR="00DF22E8">
        <w:t xml:space="preserve"> Victoria</w:t>
      </w:r>
      <w:r w:rsidR="00CB4A54">
        <w:t xml:space="preserve">, </w:t>
      </w:r>
      <w:r w:rsidR="00896AE3">
        <w:t xml:space="preserve">Tasmania, </w:t>
      </w:r>
      <w:r w:rsidR="00CB4A54">
        <w:t xml:space="preserve">Queensland </w:t>
      </w:r>
      <w:r w:rsidR="00DF22E8">
        <w:t>and</w:t>
      </w:r>
      <w:r w:rsidR="001135AF">
        <w:t xml:space="preserve"> </w:t>
      </w:r>
      <w:r w:rsidR="00896AE3">
        <w:t xml:space="preserve">the Northern Territory </w:t>
      </w:r>
      <w:r w:rsidR="00C54CD8">
        <w:t xml:space="preserve">to establish the full </w:t>
      </w:r>
      <w:r w:rsidR="00830798">
        <w:t>roll-out</w:t>
      </w:r>
      <w:r w:rsidR="001135AF">
        <w:t xml:space="preserve"> of </w:t>
      </w:r>
      <w:proofErr w:type="spellStart"/>
      <w:r w:rsidR="001135AF">
        <w:t>DisabilityCare</w:t>
      </w:r>
      <w:proofErr w:type="spellEnd"/>
      <w:r w:rsidR="001135AF">
        <w:t xml:space="preserve"> Australia by July 2019. </w:t>
      </w:r>
      <w:r w:rsidR="00664B21">
        <w:t xml:space="preserve">In </w:t>
      </w:r>
      <w:r>
        <w:t>the Australian Capital Territory</w:t>
      </w:r>
      <w:r w:rsidR="00532B08">
        <w:t>,</w:t>
      </w:r>
      <w:r w:rsidR="001135AF">
        <w:t xml:space="preserve"> </w:t>
      </w:r>
      <w:proofErr w:type="spellStart"/>
      <w:r w:rsidR="001135AF">
        <w:t>DisabilityCare</w:t>
      </w:r>
      <w:proofErr w:type="spellEnd"/>
      <w:r w:rsidR="001135AF">
        <w:t xml:space="preserve"> Australia will cover all </w:t>
      </w:r>
      <w:r w:rsidR="00532B08">
        <w:t xml:space="preserve">residents </w:t>
      </w:r>
      <w:r w:rsidR="001135AF">
        <w:t xml:space="preserve">by July 2016 and the </w:t>
      </w:r>
      <w:r w:rsidR="00DF22E8">
        <w:t>ACT</w:t>
      </w:r>
      <w:r w:rsidR="00CD58F6">
        <w:t xml:space="preserve"> </w:t>
      </w:r>
      <w:r w:rsidR="001135AF">
        <w:t xml:space="preserve">will move to the </w:t>
      </w:r>
      <w:r w:rsidR="00CD58F6">
        <w:t>full-</w:t>
      </w:r>
      <w:r>
        <w:t xml:space="preserve">scheme </w:t>
      </w:r>
      <w:r w:rsidR="001135AF">
        <w:t xml:space="preserve">model in </w:t>
      </w:r>
      <w:r>
        <w:t xml:space="preserve">July </w:t>
      </w:r>
      <w:r w:rsidR="00DF22E8">
        <w:t>2019</w:t>
      </w:r>
      <w:r>
        <w:t>.</w:t>
      </w:r>
    </w:p>
    <w:p w:rsidR="00C6620B" w:rsidRDefault="00C6620B" w:rsidP="00C6620B">
      <w:r>
        <w:t xml:space="preserve">Other critical components of </w:t>
      </w:r>
      <w:r w:rsidR="007D52D6">
        <w:t xml:space="preserve">FaHCSIA’s </w:t>
      </w:r>
      <w:r>
        <w:t xml:space="preserve">portfolio include income support payments and allowances, and support services for people with disability and their </w:t>
      </w:r>
      <w:proofErr w:type="spellStart"/>
      <w:r>
        <w:t>carers</w:t>
      </w:r>
      <w:proofErr w:type="spellEnd"/>
      <w:r>
        <w:t>.</w:t>
      </w:r>
    </w:p>
    <w:p w:rsidR="00C6620B" w:rsidRDefault="00C6620B" w:rsidP="00C6620B">
      <w:r>
        <w:t>These services include supported employment, advocacy, community mental health services, respite services, and services for children with autism spectrum disorder and other identified disabilities.</w:t>
      </w:r>
    </w:p>
    <w:p w:rsidR="00C6620B" w:rsidRDefault="00C6620B" w:rsidP="00C6620B">
      <w:r>
        <w:t>The Disability Support Pension</w:t>
      </w:r>
      <w:r w:rsidR="007D52D6">
        <w:t xml:space="preserve"> (DSP)</w:t>
      </w:r>
      <w:r>
        <w:t xml:space="preserve"> is an income support payment for people who are unable to support themselves adequately through work due to a permanent physical, intellectual or psychiatric impairment.</w:t>
      </w:r>
    </w:p>
    <w:p w:rsidR="00C6620B" w:rsidRDefault="00C6620B" w:rsidP="00C6620B">
      <w:r>
        <w:t>FaHCSIA has implemented several reforms to the Disability Support Pension over recent budgets to help people with disability to work wherever possible. Reforms ensure that more people with disability get help to find work and that a person’s ability is considered when assessing their eligibility for the pension.</w:t>
      </w:r>
    </w:p>
    <w:p w:rsidR="00C6620B" w:rsidRDefault="00C6620B" w:rsidP="00C6620B">
      <w:r>
        <w:t xml:space="preserve">New participation requirements were introduced from 1 July 2012 for </w:t>
      </w:r>
      <w:r w:rsidR="007D52D6">
        <w:t>DSP</w:t>
      </w:r>
      <w:r>
        <w:t xml:space="preserve"> recipients under age 35 with an assessed work capacity of eight or more hours a week. Also since 1 July 2012, recipients have been able to work up to </w:t>
      </w:r>
      <w:r w:rsidR="008C1CA1">
        <w:t>30 </w:t>
      </w:r>
      <w:r>
        <w:t>hours a week without affecting their qualification for the pension. Subject to the income test, they will be able to receive a part pension in addition to their employment income.</w:t>
      </w:r>
    </w:p>
    <w:p w:rsidR="00C6620B" w:rsidRDefault="00C6620B" w:rsidP="00C6620B">
      <w:r>
        <w:t xml:space="preserve">The Carer Payment and Carer Allowance are paid to carers of both adults and children. The annual $600 Carer Supplement may also be available to recipients of Carer Allowance for each person being cared for and an additional $600 to </w:t>
      </w:r>
      <w:proofErr w:type="gramStart"/>
      <w:r>
        <w:t>those in receipt</w:t>
      </w:r>
      <w:proofErr w:type="gramEnd"/>
      <w:r>
        <w:t xml:space="preserve"> of Carer Payment or other eligible income support payment.</w:t>
      </w:r>
    </w:p>
    <w:p w:rsidR="00C6620B" w:rsidRDefault="00C6620B" w:rsidP="00C6620B">
      <w:r>
        <w:t>Carers of children under age 16 receiving Carer Allowance may also receive the annual $1,000 Child Disability Assistance Payment for each eligible child.</w:t>
      </w:r>
    </w:p>
    <w:p w:rsidR="00C6620B" w:rsidRDefault="00C6620B" w:rsidP="00C6620B">
      <w:r>
        <w:t>The Carer Adjustment Payment is an ex</w:t>
      </w:r>
      <w:r w:rsidR="00532B08">
        <w:t>-</w:t>
      </w:r>
      <w:r>
        <w:t>gratia payment available to families</w:t>
      </w:r>
      <w:r w:rsidR="007D52D6">
        <w:t xml:space="preserve"> who are</w:t>
      </w:r>
      <w:r>
        <w:t xml:space="preserve"> not eligible for income support</w:t>
      </w:r>
      <w:r w:rsidR="007D52D6">
        <w:t>,</w:t>
      </w:r>
      <w:r>
        <w:t xml:space="preserve"> but </w:t>
      </w:r>
      <w:r w:rsidR="007D52D6">
        <w:t>who are</w:t>
      </w:r>
      <w:r>
        <w:t xml:space="preserve"> facing significant adjustment and financial hardship as a result of the care needs of a child under age seven who has been diagnosed with a very severe disability or medical condition.</w:t>
      </w:r>
    </w:p>
    <w:p w:rsidR="00C6620B" w:rsidRDefault="00C6620B" w:rsidP="00C6620B">
      <w:r>
        <w:t>FaHCSIA will continue to work with Australian Disability Enterprises to progress the reform agenda</w:t>
      </w:r>
      <w:r w:rsidR="007D52D6">
        <w:t>,</w:t>
      </w:r>
      <w:r>
        <w:t xml:space="preserve"> </w:t>
      </w:r>
      <w:r w:rsidR="00E94B0C">
        <w:t>consistent with</w:t>
      </w:r>
      <w:r w:rsidR="00E90D6E">
        <w:t xml:space="preserve"> the Australian Government’s</w:t>
      </w:r>
      <w:r>
        <w:t xml:space="preserve"> 10-year vision for inclusive employment</w:t>
      </w:r>
      <w:r w:rsidR="00E90D6E">
        <w:t>,</w:t>
      </w:r>
      <w:r w:rsidR="00E94B0C">
        <w:t xml:space="preserve"> and prepare them for the roll-out of </w:t>
      </w:r>
      <w:proofErr w:type="spellStart"/>
      <w:r w:rsidR="00E94B0C">
        <w:t>DisabilityCare</w:t>
      </w:r>
      <w:proofErr w:type="spellEnd"/>
      <w:r w:rsidR="00E94B0C">
        <w:t xml:space="preserve"> Australia</w:t>
      </w:r>
      <w:r>
        <w:t>.</w:t>
      </w:r>
    </w:p>
    <w:p w:rsidR="00C6620B" w:rsidRDefault="00C6620B" w:rsidP="00C6620B">
      <w:r>
        <w:lastRenderedPageBreak/>
        <w:t>This follows on from a $4 million investment in Retirement Case Management for Older Workers in Supported Employment, Social Firm Expert Advice and Support, and the Social Firm Transition Fund in 2012–13.</w:t>
      </w:r>
    </w:p>
    <w:p w:rsidR="00C6620B" w:rsidRDefault="00C6620B" w:rsidP="00C6620B">
      <w:r>
        <w:t xml:space="preserve">FaHCSIA will also continue to work with the states and territories to implement the National Disability Strategy 2010–2020 to bring about change in all mainstream and specialist services and programs, as well as community infrastructure, to ensure that they are accessible and responsive to the needs of people with disability. </w:t>
      </w:r>
    </w:p>
    <w:p w:rsidR="00C6620B" w:rsidRDefault="00C6620B" w:rsidP="00C6620B">
      <w:r>
        <w:t>Work with state and territory governments on key priority areas under the National Disability Agreement is also progressing.</w:t>
      </w:r>
    </w:p>
    <w:p w:rsidR="00C6620B" w:rsidRDefault="00C6620B" w:rsidP="00C6620B">
      <w:r>
        <w:t>These include building the evidence base for disability policies and strategies; enhancing family and carer capacity; developing strategies for increased choice, control and self-directed decision making; maintaining innovative and flexible support models for people with high and complex needs; and developing employment opportunities for people with disability.</w:t>
      </w:r>
    </w:p>
    <w:p w:rsidR="00C6620B" w:rsidRDefault="00C6620B" w:rsidP="00C6620B">
      <w:r>
        <w:t>FaHCSIA will continue to take responsibility for the National Carer Strategy, which supports carers having opportunities to participate fully in work, family and community life.</w:t>
      </w:r>
    </w:p>
    <w:p w:rsidR="00C6620B" w:rsidRDefault="000B0D59" w:rsidP="00C6620B">
      <w:r>
        <w:t xml:space="preserve">The Australian Government has allocated $60 million over four years from 2010–11 </w:t>
      </w:r>
      <w:r w:rsidR="00C6620B">
        <w:t>to build up to 150 innovative, community-based supported accommodation places for people with disability under the Supported Accommodation Innovation Fund.</w:t>
      </w:r>
    </w:p>
    <w:p w:rsidR="00C6620B" w:rsidRDefault="00C6620B" w:rsidP="00C6620B">
      <w:r>
        <w:t>In keeping with the Government’s emphasis on early intervention, children who are under age six and have been diagnosed with one of the eligible conditions are able to be registered to access early intervention funding of up to $12,000 (to a maximum of $6,000 per financial year) under the Helping Children with Autism package and Better Start. More than 32,000 eligible children have been assisted in accessing early intervention therapies under these programs.</w:t>
      </w:r>
    </w:p>
    <w:p w:rsidR="00510A87" w:rsidRPr="00510A87" w:rsidRDefault="00C6620B" w:rsidP="00C6620B">
      <w:r>
        <w:t xml:space="preserve">In 2013–14, FaHCSIA will further expand community-based mental health services in 105 locations, including new Personal Helpers and Mentors employment services as announced in the 2011–12 </w:t>
      </w:r>
      <w:proofErr w:type="gramStart"/>
      <w:r>
        <w:t>Budget</w:t>
      </w:r>
      <w:proofErr w:type="gramEnd"/>
      <w:r>
        <w:t>.</w:t>
      </w:r>
    </w:p>
    <w:p w:rsidR="00BF33EF" w:rsidRDefault="003072EF" w:rsidP="000E646C">
      <w:pPr>
        <w:pStyle w:val="Heading5"/>
      </w:pPr>
      <w:r>
        <w:br w:type="page"/>
      </w:r>
      <w:r w:rsidR="00BF33EF">
        <w:lastRenderedPageBreak/>
        <w:t xml:space="preserve">Outcome </w:t>
      </w:r>
      <w:r w:rsidR="004164A2">
        <w:t>expense s</w:t>
      </w:r>
      <w:r w:rsidR="00BF33EF">
        <w:t>tatement</w:t>
      </w:r>
    </w:p>
    <w:p w:rsidR="00BF33EF" w:rsidRPr="00BF33EF" w:rsidRDefault="00BF33EF" w:rsidP="00BF33EF">
      <w:r>
        <w:t>Table 2.5 provides an overview of the total expenses for Outcome 5, by program.</w:t>
      </w:r>
    </w:p>
    <w:p w:rsidR="007452AA" w:rsidRDefault="0062778F" w:rsidP="001A57AE">
      <w:pPr>
        <w:pStyle w:val="TableHeading"/>
      </w:pPr>
      <w:r>
        <w:t>Table 2.</w:t>
      </w:r>
      <w:r w:rsidR="007452AA" w:rsidRPr="00B7544C">
        <w:t>5</w:t>
      </w:r>
      <w:r w:rsidR="007452AA">
        <w:t>:</w:t>
      </w:r>
      <w:r w:rsidR="007452AA" w:rsidRPr="00B7544C">
        <w:t xml:space="preserve"> Budgeted </w:t>
      </w:r>
      <w:r w:rsidR="00797A4E">
        <w:t>e</w:t>
      </w:r>
      <w:r w:rsidR="007452AA" w:rsidRPr="00B7544C">
        <w:t>xpenses for Outcome 5</w:t>
      </w:r>
    </w:p>
    <w:p w:rsidR="00F15CA0" w:rsidRPr="00F15CA0" w:rsidRDefault="00635BD6" w:rsidP="00F15CA0">
      <w:pPr>
        <w:pStyle w:val="TableGraphic"/>
      </w:pPr>
      <w:r>
        <w:rPr>
          <w:noProof/>
        </w:rPr>
        <w:drawing>
          <wp:inline distT="0" distB="0" distL="0" distR="0" wp14:anchorId="73A50BFE" wp14:editId="1DC9F6FA">
            <wp:extent cx="4867275" cy="5981700"/>
            <wp:effectExtent l="0" t="0" r="9525" b="0"/>
            <wp:docPr id="354" name="Picture 354" descr="Table 2.5: Budgeted expenses for Outcom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67275" cy="5981700"/>
                    </a:xfrm>
                    <a:prstGeom prst="rect">
                      <a:avLst/>
                    </a:prstGeom>
                    <a:noFill/>
                    <a:ln>
                      <a:noFill/>
                    </a:ln>
                  </pic:spPr>
                </pic:pic>
              </a:graphicData>
            </a:graphic>
          </wp:inline>
        </w:drawing>
      </w:r>
    </w:p>
    <w:p w:rsidR="007452AA" w:rsidRDefault="007452AA" w:rsidP="00664B21">
      <w:pPr>
        <w:pStyle w:val="TableHeading"/>
      </w:pPr>
      <w:r w:rsidRPr="00B06D93">
        <w:rPr>
          <w:highlight w:val="yellow"/>
        </w:rPr>
        <w:br w:type="page"/>
      </w:r>
      <w:r w:rsidR="00C612FC">
        <w:lastRenderedPageBreak/>
        <w:t>Table 2.</w:t>
      </w:r>
      <w:r w:rsidRPr="00B7544C">
        <w:t>5</w:t>
      </w:r>
      <w:r>
        <w:t>:</w:t>
      </w:r>
      <w:r w:rsidRPr="00B7544C">
        <w:t xml:space="preserve"> Budgeted </w:t>
      </w:r>
      <w:r w:rsidR="00797A4E" w:rsidRPr="0040773D">
        <w:t>e</w:t>
      </w:r>
      <w:r w:rsidRPr="00664B21">
        <w:t>xpenses</w:t>
      </w:r>
      <w:r w:rsidRPr="00B7544C">
        <w:t xml:space="preserve"> for Outcome 5 (continued)</w:t>
      </w:r>
    </w:p>
    <w:p w:rsidR="00F15CA0" w:rsidRPr="00F15CA0" w:rsidRDefault="00635BD6" w:rsidP="00F15CA0">
      <w:pPr>
        <w:pStyle w:val="TableGraphic"/>
      </w:pPr>
      <w:r>
        <w:rPr>
          <w:noProof/>
        </w:rPr>
        <w:drawing>
          <wp:inline distT="0" distB="0" distL="0" distR="0" wp14:anchorId="68149748" wp14:editId="78FC836A">
            <wp:extent cx="4867275" cy="4695825"/>
            <wp:effectExtent l="0" t="0" r="9525" b="9525"/>
            <wp:docPr id="355" name="Picture 355" descr="Table 2.5: Budgeted expenses for Outcome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67275" cy="4695825"/>
                    </a:xfrm>
                    <a:prstGeom prst="rect">
                      <a:avLst/>
                    </a:prstGeom>
                    <a:noFill/>
                    <a:ln>
                      <a:noFill/>
                    </a:ln>
                  </pic:spPr>
                </pic:pic>
              </a:graphicData>
            </a:graphic>
          </wp:inline>
        </w:drawing>
      </w:r>
    </w:p>
    <w:p w:rsidR="00F15CA0" w:rsidRDefault="00F15CA0" w:rsidP="00F15CA0">
      <w:pPr>
        <w:pStyle w:val="TableHeading"/>
      </w:pPr>
      <w:r>
        <w:lastRenderedPageBreak/>
        <w:t>Table 2.</w:t>
      </w:r>
      <w:r w:rsidRPr="00B7544C">
        <w:t>5</w:t>
      </w:r>
      <w:r>
        <w:t>:</w:t>
      </w:r>
      <w:r w:rsidRPr="00B7544C">
        <w:t xml:space="preserve"> Budgeted </w:t>
      </w:r>
      <w:r w:rsidRPr="0040773D">
        <w:t>e</w:t>
      </w:r>
      <w:r w:rsidRPr="00664B21">
        <w:t>xpenses</w:t>
      </w:r>
      <w:r w:rsidRPr="00B7544C">
        <w:t xml:space="preserve"> for Outcome 5 (continued)</w:t>
      </w:r>
    </w:p>
    <w:p w:rsidR="00F15CA0" w:rsidRPr="00F15CA0" w:rsidRDefault="00635BD6" w:rsidP="00F15CA0">
      <w:pPr>
        <w:pStyle w:val="TableGraphic"/>
      </w:pPr>
      <w:r>
        <w:rPr>
          <w:noProof/>
        </w:rPr>
        <w:drawing>
          <wp:inline distT="0" distB="0" distL="0" distR="0" wp14:anchorId="0A4A66AF" wp14:editId="6351EDB6">
            <wp:extent cx="4859020" cy="5167630"/>
            <wp:effectExtent l="0" t="0" r="0" b="0"/>
            <wp:docPr id="357" name="Picture 357" descr="Table 2.5: Budgeted expenses for Outcome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59020" cy="5167630"/>
                    </a:xfrm>
                    <a:prstGeom prst="rect">
                      <a:avLst/>
                    </a:prstGeom>
                    <a:noFill/>
                    <a:ln>
                      <a:noFill/>
                    </a:ln>
                  </pic:spPr>
                </pic:pic>
              </a:graphicData>
            </a:graphic>
          </wp:inline>
        </w:drawing>
      </w:r>
    </w:p>
    <w:p w:rsidR="001C23EF" w:rsidRDefault="001C23EF" w:rsidP="000E646C">
      <w:pPr>
        <w:pStyle w:val="Heading5"/>
      </w:pPr>
      <w:r>
        <w:br w:type="page"/>
      </w:r>
      <w:r>
        <w:lastRenderedPageBreak/>
        <w:t>Contributions to Outcome 5: Disability and Carers</w:t>
      </w:r>
    </w:p>
    <w:p w:rsidR="007452AA" w:rsidRPr="007C212F" w:rsidRDefault="007452AA" w:rsidP="000E646C">
      <w:pPr>
        <w:pStyle w:val="Heading6"/>
        <w:rPr>
          <w:i/>
        </w:rPr>
      </w:pPr>
      <w:r w:rsidRPr="00114AE0">
        <w:t>Program 5.1: Targeted Community Care</w:t>
      </w:r>
    </w:p>
    <w:p w:rsidR="00BF33EF" w:rsidRDefault="00BF33EF" w:rsidP="001C23EF">
      <w:pPr>
        <w:pStyle w:val="SinglePara"/>
        <w:rPr>
          <w:lang w:val="en-GB"/>
        </w:rPr>
      </w:pPr>
    </w:p>
    <w:p w:rsidR="00BF33EF" w:rsidRDefault="00BF33EF" w:rsidP="000E646C">
      <w:pPr>
        <w:pStyle w:val="Heading7"/>
      </w:pPr>
      <w:r>
        <w:t xml:space="preserve">Program 5.1 </w:t>
      </w:r>
      <w:r w:rsidR="00797A4E">
        <w:t>o</w:t>
      </w:r>
      <w:r>
        <w:t>bjective</w:t>
      </w:r>
    </w:p>
    <w:p w:rsidR="00BF33EF" w:rsidRDefault="00BF33EF" w:rsidP="00BF33EF">
      <w:pPr>
        <w:pStyle w:val="NormalBox"/>
      </w:pPr>
      <w:proofErr w:type="gramStart"/>
      <w:r>
        <w:t>To implement community mental health initiatives to assist people with mental illness and their families and carers.</w:t>
      </w:r>
      <w:proofErr w:type="gramEnd"/>
    </w:p>
    <w:p w:rsidR="00BF33EF" w:rsidRDefault="00BF33EF" w:rsidP="000E646C">
      <w:pPr>
        <w:pStyle w:val="Heading7"/>
      </w:pPr>
      <w:r>
        <w:t>Program component objectives</w:t>
      </w:r>
    </w:p>
    <w:p w:rsidR="00BF33EF" w:rsidRDefault="00BF33EF" w:rsidP="000E646C">
      <w:pPr>
        <w:pStyle w:val="Heading8"/>
      </w:pPr>
      <w:r>
        <w:t>Mental Health</w:t>
      </w:r>
    </w:p>
    <w:p w:rsidR="00BF33EF" w:rsidRDefault="00BF33EF" w:rsidP="00CE6400">
      <w:pPr>
        <w:pStyle w:val="NormalBox"/>
        <w:pBdr>
          <w:between w:val="single" w:sz="2" w:space="3" w:color="auto"/>
        </w:pBdr>
      </w:pPr>
      <w:proofErr w:type="gramStart"/>
      <w:r>
        <w:t>To implement community mental health initiatives to assist people with mental illnes</w:t>
      </w:r>
      <w:r w:rsidR="00FA5DAD">
        <w:t>s and their families and carers to manage the impact of mental illness.</w:t>
      </w:r>
      <w:proofErr w:type="gramEnd"/>
    </w:p>
    <w:p w:rsidR="00483338" w:rsidRPr="00483338" w:rsidRDefault="00483338" w:rsidP="007A6D3C">
      <w:pPr>
        <w:pStyle w:val="NormalBox"/>
        <w:pBdr>
          <w:between w:val="single" w:sz="2" w:space="3" w:color="auto"/>
        </w:pBdr>
      </w:pPr>
      <w:r>
        <w:t>Linked to: Program 5.6</w:t>
      </w:r>
      <w:r w:rsidR="007342F6">
        <w:t>:</w:t>
      </w:r>
      <w:r>
        <w:t xml:space="preserve"> National Disability Insurance Scheme.</w:t>
      </w:r>
    </w:p>
    <w:p w:rsidR="00BF33EF" w:rsidRDefault="00BF33EF" w:rsidP="00984352">
      <w:pPr>
        <w:pStyle w:val="SinglePara"/>
        <w:rPr>
          <w:lang w:val="en-GB"/>
        </w:rPr>
      </w:pPr>
    </w:p>
    <w:p w:rsidR="00BF33EF" w:rsidRDefault="00BF33EF" w:rsidP="000E646C">
      <w:pPr>
        <w:pStyle w:val="Heading7"/>
      </w:pPr>
      <w:r>
        <w:t xml:space="preserve">Program 5.1 </w:t>
      </w:r>
      <w:r w:rsidR="00797A4E">
        <w:t>e</w:t>
      </w:r>
      <w:r>
        <w:t>xpenses</w:t>
      </w:r>
    </w:p>
    <w:p w:rsidR="00293295" w:rsidRPr="00704365" w:rsidRDefault="00906BA2" w:rsidP="00293295">
      <w:pPr>
        <w:pStyle w:val="NormalBox"/>
      </w:pPr>
      <w:r w:rsidRPr="00906BA2">
        <w:t>The increase in program expenses across the forward years reflects the expansion of community mental health initiatives funded in the 2011</w:t>
      </w:r>
      <w:r w:rsidR="00C425EC">
        <w:t>–</w:t>
      </w:r>
      <w:r w:rsidRPr="00906BA2">
        <w:t>12 Budget to assist people with severe mental illness and their families and carers.</w:t>
      </w:r>
    </w:p>
    <w:p w:rsidR="007452AA" w:rsidRDefault="009B64C9" w:rsidP="001A57AE">
      <w:pPr>
        <w:pStyle w:val="TableHeading"/>
        <w:rPr>
          <w:lang w:val="en-GB"/>
        </w:rPr>
      </w:pPr>
      <w:r>
        <w:rPr>
          <w:lang w:val="en-GB"/>
        </w:rPr>
        <w:t>Table 2.</w:t>
      </w:r>
      <w:r w:rsidR="007452AA">
        <w:rPr>
          <w:lang w:val="en-GB"/>
        </w:rPr>
        <w:t xml:space="preserve">5.1: </w:t>
      </w:r>
      <w:r w:rsidR="004B5D66">
        <w:rPr>
          <w:lang w:val="en-GB"/>
        </w:rPr>
        <w:t xml:space="preserve">Budgeted </w:t>
      </w:r>
      <w:r w:rsidR="00797A4E">
        <w:rPr>
          <w:lang w:val="en-GB"/>
        </w:rPr>
        <w:t>e</w:t>
      </w:r>
      <w:r w:rsidR="003C0FAF">
        <w:rPr>
          <w:lang w:val="en-GB"/>
        </w:rPr>
        <w:t xml:space="preserve">xpenses </w:t>
      </w:r>
      <w:r w:rsidR="004B5D66">
        <w:rPr>
          <w:lang w:val="en-GB"/>
        </w:rPr>
        <w:t>for Targeted Community Care</w:t>
      </w:r>
      <w:r w:rsidR="006A008A" w:rsidRPr="0040773D">
        <w:rPr>
          <w:rStyle w:val="FootnoteReference"/>
          <w:b w:val="0"/>
          <w:lang w:val="en-GB"/>
        </w:rPr>
        <w:footnoteReference w:id="17"/>
      </w:r>
    </w:p>
    <w:p w:rsidR="00EE4C07" w:rsidRDefault="005A4CCD" w:rsidP="00EE4C07">
      <w:pPr>
        <w:pStyle w:val="TableGraphic"/>
        <w:rPr>
          <w:lang w:val="en-GB"/>
        </w:rPr>
      </w:pPr>
      <w:r>
        <w:rPr>
          <w:noProof/>
        </w:rPr>
        <w:drawing>
          <wp:inline distT="0" distB="0" distL="0" distR="0" wp14:anchorId="59194A6A" wp14:editId="3A48A28B">
            <wp:extent cx="4878705" cy="2035171"/>
            <wp:effectExtent l="0" t="0" r="0" b="3810"/>
            <wp:docPr id="162" name="Picture 162" descr="Table 2.5.1: Budgeted expenses for Targeted Communit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8705" cy="2035171"/>
                    </a:xfrm>
                    <a:prstGeom prst="rect">
                      <a:avLst/>
                    </a:prstGeom>
                    <a:noFill/>
                    <a:ln>
                      <a:noFill/>
                    </a:ln>
                  </pic:spPr>
                </pic:pic>
              </a:graphicData>
            </a:graphic>
          </wp:inline>
        </w:drawing>
      </w:r>
    </w:p>
    <w:p w:rsidR="007452AA" w:rsidRDefault="000E646C" w:rsidP="000E646C">
      <w:pPr>
        <w:pStyle w:val="Heading7"/>
      </w:pPr>
      <w:r>
        <w:br w:type="page"/>
      </w:r>
      <w:r w:rsidR="007452AA" w:rsidRPr="007C212F">
        <w:lastRenderedPageBreak/>
        <w:t xml:space="preserve">Program </w:t>
      </w:r>
      <w:r w:rsidR="003C0FAF">
        <w:t xml:space="preserve">5.1 </w:t>
      </w:r>
      <w:r w:rsidR="00797A4E">
        <w:t>d</w:t>
      </w:r>
      <w:r w:rsidR="003C0FAF" w:rsidRPr="007C212F">
        <w:t>eliverables</w:t>
      </w:r>
    </w:p>
    <w:p w:rsidR="00BF33EF" w:rsidRPr="0093504A" w:rsidRDefault="00BF33EF" w:rsidP="000E646C">
      <w:pPr>
        <w:pStyle w:val="Heading8"/>
      </w:pPr>
      <w:r w:rsidRPr="0093504A">
        <w:t>Mental Health</w:t>
      </w:r>
    </w:p>
    <w:p w:rsidR="00BF33EF" w:rsidRPr="00BF33EF" w:rsidRDefault="00BF33EF" w:rsidP="00FA5DAD">
      <w:pPr>
        <w:pStyle w:val="BulletBox"/>
      </w:pPr>
      <w:r>
        <w:t>Number of clients, carers or family members whose lives are affected by mental illness accessing support services</w:t>
      </w:r>
    </w:p>
    <w:p w:rsidR="007452AA" w:rsidRDefault="00BF33EF" w:rsidP="00BF33EF">
      <w:pPr>
        <w:pStyle w:val="TableHeading"/>
        <w:rPr>
          <w:lang w:val="en-GB"/>
        </w:rPr>
      </w:pPr>
      <w:r>
        <w:rPr>
          <w:lang w:val="en-GB"/>
        </w:rPr>
        <w:t xml:space="preserve">Targeted Community Care </w:t>
      </w:r>
      <w:r w:rsidR="00797A4E">
        <w:rPr>
          <w:lang w:val="en-GB"/>
        </w:rPr>
        <w:t>deliverables t</w:t>
      </w:r>
      <w:r>
        <w:rPr>
          <w:lang w:val="en-GB"/>
        </w:rPr>
        <w:t>argets</w:t>
      </w:r>
    </w:p>
    <w:tbl>
      <w:tblPr>
        <w:tblW w:w="7655" w:type="dxa"/>
        <w:tblInd w:w="28" w:type="dxa"/>
        <w:tblBorders>
          <w:top w:val="single" w:sz="2" w:space="0" w:color="auto"/>
          <w:bottom w:val="single" w:sz="2" w:space="0" w:color="auto"/>
          <w:insideH w:val="single" w:sz="2" w:space="0" w:color="auto"/>
        </w:tblBorders>
        <w:tblCellMar>
          <w:top w:w="57" w:type="dxa"/>
          <w:left w:w="30" w:type="dxa"/>
          <w:bottom w:w="57" w:type="dxa"/>
          <w:right w:w="30" w:type="dxa"/>
        </w:tblCellMar>
        <w:tblLook w:val="0000" w:firstRow="0" w:lastRow="0" w:firstColumn="0" w:lastColumn="0" w:noHBand="0" w:noVBand="0"/>
        <w:tblDescription w:val="Targeted Community Care deliverables targets"/>
      </w:tblPr>
      <w:tblGrid>
        <w:gridCol w:w="3111"/>
        <w:gridCol w:w="908"/>
        <w:gridCol w:w="909"/>
        <w:gridCol w:w="909"/>
        <w:gridCol w:w="909"/>
        <w:gridCol w:w="909"/>
      </w:tblGrid>
      <w:tr w:rsidR="00483813" w:rsidRPr="00893575" w:rsidTr="00483813">
        <w:trPr>
          <w:trHeight w:val="225"/>
        </w:trPr>
        <w:tc>
          <w:tcPr>
            <w:tcW w:w="3107" w:type="dxa"/>
            <w:tcBorders>
              <w:bottom w:val="single" w:sz="2" w:space="0" w:color="auto"/>
            </w:tcBorders>
          </w:tcPr>
          <w:p w:rsidR="00483813" w:rsidRPr="00893575" w:rsidRDefault="00483813" w:rsidP="009B6D35">
            <w:pPr>
              <w:keepNext/>
              <w:autoSpaceDE w:val="0"/>
              <w:autoSpaceDN w:val="0"/>
              <w:adjustRightInd w:val="0"/>
              <w:spacing w:after="0" w:line="240" w:lineRule="auto"/>
              <w:jc w:val="right"/>
              <w:rPr>
                <w:rFonts w:ascii="Arial" w:hAnsi="Arial" w:cs="Arial"/>
                <w:color w:val="000000"/>
                <w:sz w:val="16"/>
                <w:szCs w:val="16"/>
              </w:rPr>
            </w:pPr>
          </w:p>
        </w:tc>
        <w:tc>
          <w:tcPr>
            <w:tcW w:w="907" w:type="dxa"/>
            <w:tcBorders>
              <w:bottom w:val="single" w:sz="2" w:space="0" w:color="auto"/>
            </w:tcBorders>
            <w:shd w:val="clear" w:color="auto" w:fill="FFFFFF"/>
          </w:tcPr>
          <w:p w:rsidR="00483813" w:rsidRPr="00893575" w:rsidRDefault="00483813" w:rsidP="009B6D3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002649AE">
              <w:rPr>
                <w:rFonts w:ascii="Arial" w:hAnsi="Arial" w:cs="Arial"/>
                <w:color w:val="000000"/>
                <w:sz w:val="16"/>
                <w:szCs w:val="16"/>
              </w:rPr>
              <w:t>–</w:t>
            </w:r>
            <w:r>
              <w:rPr>
                <w:rFonts w:ascii="Arial" w:hAnsi="Arial" w:cs="Arial"/>
                <w:color w:val="000000"/>
                <w:sz w:val="16"/>
                <w:szCs w:val="16"/>
              </w:rPr>
              <w:t>13</w:t>
            </w:r>
          </w:p>
          <w:p w:rsidR="00483813" w:rsidRPr="00893575" w:rsidRDefault="00483813" w:rsidP="001A57A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Revised budget</w:t>
            </w:r>
          </w:p>
        </w:tc>
        <w:tc>
          <w:tcPr>
            <w:tcW w:w="907" w:type="dxa"/>
            <w:tcBorders>
              <w:bottom w:val="single" w:sz="2" w:space="0" w:color="auto"/>
            </w:tcBorders>
            <w:shd w:val="clear" w:color="auto" w:fill="D9D9D9"/>
          </w:tcPr>
          <w:p w:rsidR="00483813" w:rsidRPr="00893575" w:rsidRDefault="00483813" w:rsidP="001A57AE">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2013</w:t>
            </w:r>
            <w:r w:rsidR="002649AE">
              <w:rPr>
                <w:rFonts w:ascii="Arial" w:hAnsi="Arial" w:cs="Arial"/>
                <w:color w:val="000000"/>
                <w:sz w:val="16"/>
                <w:szCs w:val="16"/>
              </w:rPr>
              <w:t>–</w:t>
            </w:r>
            <w:r>
              <w:rPr>
                <w:rFonts w:ascii="Arial" w:hAnsi="Arial" w:cs="Arial"/>
                <w:color w:val="000000"/>
                <w:sz w:val="16"/>
                <w:szCs w:val="16"/>
              </w:rPr>
              <w:t>14</w:t>
            </w:r>
          </w:p>
          <w:p w:rsidR="00483813" w:rsidRPr="00893575" w:rsidRDefault="00483813" w:rsidP="00003143">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7" w:type="dxa"/>
            <w:tcBorders>
              <w:bottom w:val="single" w:sz="2" w:space="0" w:color="auto"/>
            </w:tcBorders>
          </w:tcPr>
          <w:p w:rsidR="00483813" w:rsidRPr="00893575" w:rsidRDefault="00483813" w:rsidP="00E83C8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w:t>
            </w:r>
            <w:r w:rsidR="002649AE">
              <w:rPr>
                <w:rFonts w:ascii="Arial" w:hAnsi="Arial" w:cs="Arial"/>
                <w:color w:val="000000"/>
                <w:sz w:val="16"/>
                <w:szCs w:val="16"/>
              </w:rPr>
              <w:t>–</w:t>
            </w:r>
            <w:r>
              <w:rPr>
                <w:rFonts w:ascii="Arial" w:hAnsi="Arial" w:cs="Arial"/>
                <w:color w:val="000000"/>
                <w:sz w:val="16"/>
                <w:szCs w:val="16"/>
              </w:rPr>
              <w:t xml:space="preserve">15 </w:t>
            </w:r>
            <w:r w:rsidRPr="00893575">
              <w:rPr>
                <w:rFonts w:ascii="Arial" w:hAnsi="Arial" w:cs="Arial"/>
                <w:color w:val="000000"/>
                <w:sz w:val="16"/>
                <w:szCs w:val="16"/>
              </w:rPr>
              <w:t>Forward</w:t>
            </w:r>
          </w:p>
          <w:p w:rsidR="00483813" w:rsidRPr="00893575" w:rsidRDefault="00483813" w:rsidP="00E83C8A">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year 1</w:t>
            </w:r>
          </w:p>
        </w:tc>
        <w:tc>
          <w:tcPr>
            <w:tcW w:w="907" w:type="dxa"/>
            <w:tcBorders>
              <w:bottom w:val="single" w:sz="2" w:space="0" w:color="auto"/>
            </w:tcBorders>
          </w:tcPr>
          <w:p w:rsidR="00483813" w:rsidRPr="00893575" w:rsidRDefault="00483813" w:rsidP="001A57A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w:t>
            </w:r>
            <w:r w:rsidR="002649AE">
              <w:rPr>
                <w:rFonts w:ascii="Arial" w:hAnsi="Arial" w:cs="Arial"/>
                <w:color w:val="000000"/>
                <w:sz w:val="16"/>
                <w:szCs w:val="16"/>
              </w:rPr>
              <w:t>–</w:t>
            </w:r>
            <w:r>
              <w:rPr>
                <w:rFonts w:ascii="Arial" w:hAnsi="Arial" w:cs="Arial"/>
                <w:color w:val="000000"/>
                <w:sz w:val="16"/>
                <w:szCs w:val="16"/>
              </w:rPr>
              <w:t>16</w:t>
            </w:r>
          </w:p>
          <w:p w:rsidR="00483813" w:rsidRPr="00893575" w:rsidRDefault="00483813" w:rsidP="00E83C8A">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483813" w:rsidRPr="00893575" w:rsidRDefault="00483813" w:rsidP="00E83C8A">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year 2</w:t>
            </w:r>
          </w:p>
        </w:tc>
        <w:tc>
          <w:tcPr>
            <w:tcW w:w="907" w:type="dxa"/>
            <w:tcBorders>
              <w:bottom w:val="single" w:sz="2" w:space="0" w:color="auto"/>
            </w:tcBorders>
          </w:tcPr>
          <w:p w:rsidR="00483813" w:rsidRPr="00893575" w:rsidRDefault="00483813" w:rsidP="001A57A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002649AE">
              <w:rPr>
                <w:rFonts w:ascii="Arial" w:hAnsi="Arial" w:cs="Arial"/>
                <w:color w:val="000000"/>
                <w:sz w:val="16"/>
                <w:szCs w:val="16"/>
              </w:rPr>
              <w:t>–</w:t>
            </w:r>
            <w:r>
              <w:rPr>
                <w:rFonts w:ascii="Arial" w:hAnsi="Arial" w:cs="Arial"/>
                <w:color w:val="000000"/>
                <w:sz w:val="16"/>
                <w:szCs w:val="16"/>
              </w:rPr>
              <w:t>17</w:t>
            </w:r>
          </w:p>
          <w:p w:rsidR="00483813" w:rsidRPr="00893575" w:rsidRDefault="00483813" w:rsidP="001A57AE">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483813" w:rsidRPr="00893575" w:rsidRDefault="00483813" w:rsidP="00E83C8A">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CB53E6" w:rsidRPr="00893575" w:rsidTr="00483813">
        <w:trPr>
          <w:trHeight w:val="225"/>
        </w:trPr>
        <w:tc>
          <w:tcPr>
            <w:tcW w:w="3107" w:type="dxa"/>
            <w:tcBorders>
              <w:bottom w:val="nil"/>
            </w:tcBorders>
            <w:vAlign w:val="bottom"/>
          </w:tcPr>
          <w:p w:rsidR="00CB53E6" w:rsidRPr="00893575" w:rsidRDefault="00CB53E6" w:rsidP="001205C8">
            <w:pPr>
              <w:keepNext/>
              <w:autoSpaceDE w:val="0"/>
              <w:autoSpaceDN w:val="0"/>
              <w:adjustRightInd w:val="0"/>
              <w:spacing w:after="0" w:line="240" w:lineRule="auto"/>
              <w:jc w:val="left"/>
              <w:rPr>
                <w:rFonts w:ascii="Arial" w:hAnsi="Arial" w:cs="Arial"/>
                <w:color w:val="000000"/>
                <w:sz w:val="16"/>
                <w:szCs w:val="16"/>
              </w:rPr>
            </w:pPr>
            <w:r>
              <w:rPr>
                <w:rFonts w:ascii="Arial" w:hAnsi="Arial" w:cs="Arial"/>
                <w:color w:val="000000"/>
                <w:sz w:val="16"/>
                <w:szCs w:val="16"/>
              </w:rPr>
              <w:t>Mental Health</w:t>
            </w:r>
          </w:p>
        </w:tc>
        <w:tc>
          <w:tcPr>
            <w:tcW w:w="907" w:type="dxa"/>
            <w:tcBorders>
              <w:bottom w:val="nil"/>
            </w:tcBorders>
            <w:shd w:val="clear" w:color="auto" w:fill="FFFFFF"/>
            <w:vAlign w:val="bottom"/>
          </w:tcPr>
          <w:p w:rsidR="00CB53E6" w:rsidRPr="00893575" w:rsidRDefault="00CB53E6" w:rsidP="001205C8">
            <w:pPr>
              <w:keepNext/>
              <w:autoSpaceDE w:val="0"/>
              <w:autoSpaceDN w:val="0"/>
              <w:adjustRightInd w:val="0"/>
              <w:spacing w:after="0" w:line="240" w:lineRule="auto"/>
              <w:jc w:val="right"/>
              <w:rPr>
                <w:rFonts w:ascii="Arial" w:hAnsi="Arial" w:cs="Arial"/>
                <w:color w:val="000000"/>
                <w:sz w:val="16"/>
                <w:szCs w:val="16"/>
              </w:rPr>
            </w:pPr>
          </w:p>
        </w:tc>
        <w:tc>
          <w:tcPr>
            <w:tcW w:w="907" w:type="dxa"/>
            <w:tcBorders>
              <w:bottom w:val="nil"/>
            </w:tcBorders>
            <w:shd w:val="clear" w:color="auto" w:fill="D9D9D9"/>
            <w:vAlign w:val="bottom"/>
          </w:tcPr>
          <w:p w:rsidR="00CB53E6" w:rsidRPr="00893575" w:rsidRDefault="00CB53E6" w:rsidP="001205C8">
            <w:pPr>
              <w:keepNext/>
              <w:autoSpaceDE w:val="0"/>
              <w:autoSpaceDN w:val="0"/>
              <w:adjustRightInd w:val="0"/>
              <w:spacing w:after="0" w:line="240" w:lineRule="auto"/>
              <w:jc w:val="right"/>
              <w:rPr>
                <w:rFonts w:ascii="Arial" w:hAnsi="Arial" w:cs="Arial"/>
                <w:color w:val="000000"/>
                <w:sz w:val="16"/>
                <w:szCs w:val="16"/>
              </w:rPr>
            </w:pPr>
          </w:p>
        </w:tc>
        <w:tc>
          <w:tcPr>
            <w:tcW w:w="907" w:type="dxa"/>
            <w:tcBorders>
              <w:bottom w:val="nil"/>
            </w:tcBorders>
            <w:vAlign w:val="bottom"/>
          </w:tcPr>
          <w:p w:rsidR="00CB53E6" w:rsidRPr="00893575" w:rsidRDefault="00CB53E6" w:rsidP="001205C8">
            <w:pPr>
              <w:keepNext/>
              <w:autoSpaceDE w:val="0"/>
              <w:autoSpaceDN w:val="0"/>
              <w:adjustRightInd w:val="0"/>
              <w:spacing w:after="0" w:line="240" w:lineRule="auto"/>
              <w:jc w:val="right"/>
              <w:rPr>
                <w:rFonts w:ascii="Arial" w:hAnsi="Arial" w:cs="Arial"/>
                <w:color w:val="000000"/>
                <w:sz w:val="16"/>
                <w:szCs w:val="16"/>
              </w:rPr>
            </w:pPr>
          </w:p>
        </w:tc>
        <w:tc>
          <w:tcPr>
            <w:tcW w:w="907" w:type="dxa"/>
            <w:tcBorders>
              <w:bottom w:val="nil"/>
            </w:tcBorders>
            <w:vAlign w:val="bottom"/>
          </w:tcPr>
          <w:p w:rsidR="00CB53E6" w:rsidRPr="00893575" w:rsidRDefault="00CB53E6" w:rsidP="001205C8">
            <w:pPr>
              <w:keepNext/>
              <w:autoSpaceDE w:val="0"/>
              <w:autoSpaceDN w:val="0"/>
              <w:adjustRightInd w:val="0"/>
              <w:spacing w:after="0" w:line="240" w:lineRule="auto"/>
              <w:jc w:val="right"/>
              <w:rPr>
                <w:rFonts w:ascii="Arial" w:hAnsi="Arial" w:cs="Arial"/>
                <w:color w:val="000000"/>
                <w:sz w:val="16"/>
                <w:szCs w:val="16"/>
              </w:rPr>
            </w:pPr>
          </w:p>
        </w:tc>
        <w:tc>
          <w:tcPr>
            <w:tcW w:w="907" w:type="dxa"/>
            <w:tcBorders>
              <w:bottom w:val="nil"/>
            </w:tcBorders>
            <w:vAlign w:val="bottom"/>
          </w:tcPr>
          <w:p w:rsidR="00CB53E6" w:rsidRPr="00893575" w:rsidRDefault="00CB53E6" w:rsidP="001205C8">
            <w:pPr>
              <w:keepNext/>
              <w:autoSpaceDE w:val="0"/>
              <w:autoSpaceDN w:val="0"/>
              <w:adjustRightInd w:val="0"/>
              <w:spacing w:after="0" w:line="240" w:lineRule="auto"/>
              <w:jc w:val="right"/>
              <w:rPr>
                <w:rFonts w:ascii="Arial" w:hAnsi="Arial" w:cs="Arial"/>
                <w:color w:val="000000"/>
                <w:sz w:val="16"/>
                <w:szCs w:val="16"/>
              </w:rPr>
            </w:pPr>
          </w:p>
        </w:tc>
      </w:tr>
      <w:tr w:rsidR="001A57AE" w:rsidRPr="00893575" w:rsidTr="00483813">
        <w:trPr>
          <w:trHeight w:val="225"/>
        </w:trPr>
        <w:tc>
          <w:tcPr>
            <w:tcW w:w="3107" w:type="dxa"/>
            <w:tcBorders>
              <w:top w:val="nil"/>
            </w:tcBorders>
            <w:vAlign w:val="bottom"/>
          </w:tcPr>
          <w:p w:rsidR="001A57AE" w:rsidRPr="00893575" w:rsidRDefault="001A57AE" w:rsidP="0040773D">
            <w:pPr>
              <w:keepNext/>
              <w:autoSpaceDE w:val="0"/>
              <w:autoSpaceDN w:val="0"/>
              <w:adjustRightInd w:val="0"/>
              <w:spacing w:after="0" w:line="240" w:lineRule="auto"/>
              <w:ind w:left="312" w:hanging="142"/>
              <w:jc w:val="left"/>
              <w:rPr>
                <w:rFonts w:ascii="Arial" w:hAnsi="Arial" w:cs="Arial"/>
                <w:color w:val="000000"/>
                <w:sz w:val="16"/>
                <w:szCs w:val="16"/>
                <w:lang w:eastAsia="en-US"/>
              </w:rPr>
            </w:pPr>
            <w:r>
              <w:rPr>
                <w:rFonts w:ascii="Arial" w:hAnsi="Arial" w:cs="Arial"/>
                <w:color w:val="000000"/>
                <w:sz w:val="16"/>
                <w:szCs w:val="16"/>
              </w:rPr>
              <w:t xml:space="preserve">– Number of clients, </w:t>
            </w:r>
            <w:r w:rsidRPr="0040773D">
              <w:rPr>
                <w:rFonts w:ascii="Arial" w:hAnsi="Arial" w:cs="Arial"/>
                <w:sz w:val="16"/>
                <w:szCs w:val="16"/>
              </w:rPr>
              <w:t>carers</w:t>
            </w:r>
            <w:r>
              <w:rPr>
                <w:rFonts w:ascii="Arial" w:hAnsi="Arial" w:cs="Arial"/>
                <w:color w:val="000000"/>
                <w:sz w:val="16"/>
                <w:szCs w:val="16"/>
              </w:rPr>
              <w:t xml:space="preserve"> or family members whose lives are affected by mental illness accessing support services</w:t>
            </w:r>
          </w:p>
        </w:tc>
        <w:tc>
          <w:tcPr>
            <w:tcW w:w="907" w:type="dxa"/>
            <w:tcBorders>
              <w:top w:val="nil"/>
            </w:tcBorders>
            <w:shd w:val="clear" w:color="auto" w:fill="FFFFFF"/>
            <w:vAlign w:val="bottom"/>
          </w:tcPr>
          <w:p w:rsidR="001A57AE" w:rsidRPr="00893575" w:rsidRDefault="00BF33EF"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63,000</w:t>
            </w:r>
          </w:p>
        </w:tc>
        <w:tc>
          <w:tcPr>
            <w:tcW w:w="907" w:type="dxa"/>
            <w:tcBorders>
              <w:top w:val="nil"/>
            </w:tcBorders>
            <w:shd w:val="clear" w:color="auto" w:fill="D9D9D9"/>
            <w:vAlign w:val="bottom"/>
          </w:tcPr>
          <w:p w:rsidR="001A57AE" w:rsidRPr="00893575" w:rsidRDefault="00BF33EF"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77,000</w:t>
            </w:r>
          </w:p>
        </w:tc>
        <w:tc>
          <w:tcPr>
            <w:tcW w:w="907" w:type="dxa"/>
            <w:tcBorders>
              <w:top w:val="nil"/>
            </w:tcBorders>
            <w:vAlign w:val="bottom"/>
          </w:tcPr>
          <w:p w:rsidR="001A57AE" w:rsidRPr="00893575" w:rsidRDefault="00BF33EF"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80,000</w:t>
            </w:r>
          </w:p>
        </w:tc>
        <w:tc>
          <w:tcPr>
            <w:tcW w:w="907" w:type="dxa"/>
            <w:tcBorders>
              <w:top w:val="nil"/>
            </w:tcBorders>
            <w:vAlign w:val="bottom"/>
          </w:tcPr>
          <w:p w:rsidR="001A57AE" w:rsidRPr="00893575" w:rsidRDefault="005E6D7F"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81,000</w:t>
            </w:r>
          </w:p>
        </w:tc>
        <w:tc>
          <w:tcPr>
            <w:tcW w:w="907" w:type="dxa"/>
            <w:tcBorders>
              <w:top w:val="nil"/>
            </w:tcBorders>
            <w:vAlign w:val="bottom"/>
          </w:tcPr>
          <w:p w:rsidR="001A57AE" w:rsidRPr="00893575" w:rsidRDefault="005E6D7F"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81,000</w:t>
            </w:r>
          </w:p>
        </w:tc>
      </w:tr>
    </w:tbl>
    <w:p w:rsidR="009B6D35" w:rsidRPr="009B6D35" w:rsidRDefault="009B6D35" w:rsidP="005854BA">
      <w:pPr>
        <w:autoSpaceDE w:val="0"/>
        <w:autoSpaceDN w:val="0"/>
        <w:adjustRightInd w:val="0"/>
        <w:spacing w:after="0" w:line="220" w:lineRule="exact"/>
        <w:jc w:val="left"/>
        <w:rPr>
          <w:rFonts w:ascii="Arial" w:hAnsi="Arial" w:cs="Arial"/>
          <w:color w:val="000000"/>
          <w:sz w:val="16"/>
          <w:szCs w:val="16"/>
        </w:rPr>
      </w:pPr>
      <w:r w:rsidRPr="009B6D35">
        <w:rPr>
          <w:rFonts w:ascii="Arial" w:hAnsi="Arial" w:cs="Arial"/>
          <w:color w:val="000000"/>
          <w:sz w:val="16"/>
          <w:szCs w:val="16"/>
        </w:rPr>
        <w:t>Note:</w:t>
      </w:r>
      <w:r w:rsidR="00CB53E6">
        <w:rPr>
          <w:rFonts w:ascii="Arial" w:hAnsi="Arial" w:cs="Arial"/>
          <w:color w:val="000000"/>
          <w:sz w:val="16"/>
          <w:szCs w:val="16"/>
        </w:rPr>
        <w:t xml:space="preserve"> The 2013–14 budget target and forward year targets have been increased in l</w:t>
      </w:r>
      <w:r w:rsidR="0045251F">
        <w:rPr>
          <w:rFonts w:ascii="Arial" w:hAnsi="Arial" w:cs="Arial"/>
          <w:color w:val="000000"/>
          <w:sz w:val="16"/>
          <w:szCs w:val="16"/>
        </w:rPr>
        <w:t xml:space="preserve">ine with higher than expected </w:t>
      </w:r>
      <w:r w:rsidR="00CB53E6">
        <w:rPr>
          <w:rFonts w:ascii="Arial" w:hAnsi="Arial" w:cs="Arial"/>
          <w:color w:val="000000"/>
          <w:sz w:val="16"/>
          <w:szCs w:val="16"/>
        </w:rPr>
        <w:t>take</w:t>
      </w:r>
      <w:r w:rsidR="0045251F">
        <w:rPr>
          <w:rFonts w:ascii="Arial" w:hAnsi="Arial" w:cs="Arial"/>
          <w:color w:val="000000"/>
          <w:sz w:val="16"/>
          <w:szCs w:val="16"/>
        </w:rPr>
        <w:t>-up</w:t>
      </w:r>
      <w:r w:rsidR="00CB53E6">
        <w:rPr>
          <w:rFonts w:ascii="Arial" w:hAnsi="Arial" w:cs="Arial"/>
          <w:color w:val="000000"/>
          <w:sz w:val="16"/>
          <w:szCs w:val="16"/>
        </w:rPr>
        <w:t xml:space="preserve"> of services and delivery of community activities.</w:t>
      </w:r>
    </w:p>
    <w:p w:rsidR="005E6D7F" w:rsidRDefault="005E6D7F" w:rsidP="00984352"/>
    <w:p w:rsidR="007452AA" w:rsidRDefault="007452AA" w:rsidP="000E646C">
      <w:pPr>
        <w:pStyle w:val="Heading7"/>
      </w:pPr>
      <w:r w:rsidRPr="007C212F">
        <w:t xml:space="preserve">Program </w:t>
      </w:r>
      <w:r w:rsidR="003C0FAF">
        <w:t xml:space="preserve">5.1 </w:t>
      </w:r>
      <w:r w:rsidR="004C20A3">
        <w:t>key performance i</w:t>
      </w:r>
      <w:r w:rsidR="004C20A3" w:rsidRPr="007C212F">
        <w:t xml:space="preserve">ndicators </w:t>
      </w:r>
    </w:p>
    <w:p w:rsidR="005E6D7F" w:rsidRDefault="005E6D7F" w:rsidP="005E6D7F">
      <w:pPr>
        <w:pStyle w:val="BulletBox"/>
      </w:pPr>
      <w:r>
        <w:t>Percentage and number of participants maintaining progress against relevant goals</w:t>
      </w:r>
    </w:p>
    <w:p w:rsidR="005E6D7F" w:rsidRDefault="005E6D7F" w:rsidP="005E6D7F">
      <w:pPr>
        <w:pStyle w:val="BulletBox"/>
      </w:pPr>
      <w:r>
        <w:t xml:space="preserve">Percentage and number of </w:t>
      </w:r>
      <w:r w:rsidR="001F6201">
        <w:t>participants</w:t>
      </w:r>
      <w:r>
        <w:t xml:space="preserve"> who report that they are satisfied that the service they received was appropriate to their needs</w:t>
      </w:r>
    </w:p>
    <w:p w:rsidR="005E6D7F" w:rsidRDefault="005E6D7F" w:rsidP="005E6D7F">
      <w:pPr>
        <w:pStyle w:val="BulletBox"/>
      </w:pPr>
      <w:r>
        <w:t xml:space="preserve">Percentage and number of </w:t>
      </w:r>
      <w:r w:rsidR="001F6201">
        <w:t>participants</w:t>
      </w:r>
      <w:r>
        <w:t xml:space="preserve"> from Indigenous backgrounds</w:t>
      </w:r>
    </w:p>
    <w:p w:rsidR="005E6D7F" w:rsidRPr="005E6D7F" w:rsidRDefault="005E6D7F" w:rsidP="005E6D7F">
      <w:pPr>
        <w:pStyle w:val="BulletBox"/>
      </w:pPr>
      <w:r>
        <w:t xml:space="preserve">Percentage and number of </w:t>
      </w:r>
      <w:r w:rsidR="001F6201">
        <w:t>participants</w:t>
      </w:r>
      <w:r>
        <w:t xml:space="preserve"> from culturally and linguistically diverse backgrounds</w:t>
      </w:r>
    </w:p>
    <w:p w:rsidR="005E6D7F" w:rsidRDefault="005E6D7F" w:rsidP="005E6D7F">
      <w:pPr>
        <w:pStyle w:val="TableHeading"/>
        <w:rPr>
          <w:lang w:val="en-GB"/>
        </w:rPr>
      </w:pPr>
      <w:r>
        <w:rPr>
          <w:lang w:val="en-GB"/>
        </w:rPr>
        <w:t xml:space="preserve">Mental Health </w:t>
      </w:r>
      <w:r w:rsidR="004C20A3">
        <w:rPr>
          <w:lang w:val="en-GB"/>
        </w:rPr>
        <w:t>key performance indicators</w:t>
      </w:r>
    </w:p>
    <w:tbl>
      <w:tblPr>
        <w:tblW w:w="7655" w:type="dxa"/>
        <w:tblInd w:w="28" w:type="dxa"/>
        <w:tblBorders>
          <w:top w:val="single" w:sz="2" w:space="0" w:color="auto"/>
          <w:bottom w:val="single" w:sz="2" w:space="0" w:color="auto"/>
          <w:insideH w:val="single" w:sz="2" w:space="0" w:color="auto"/>
        </w:tblBorders>
        <w:tblCellMar>
          <w:top w:w="57" w:type="dxa"/>
          <w:left w:w="30" w:type="dxa"/>
          <w:bottom w:w="57" w:type="dxa"/>
          <w:right w:w="30" w:type="dxa"/>
        </w:tblCellMar>
        <w:tblLook w:val="0000" w:firstRow="0" w:lastRow="0" w:firstColumn="0" w:lastColumn="0" w:noHBand="0" w:noVBand="0"/>
        <w:tblDescription w:val="Mental Health key performance indicators"/>
      </w:tblPr>
      <w:tblGrid>
        <w:gridCol w:w="3111"/>
        <w:gridCol w:w="908"/>
        <w:gridCol w:w="909"/>
        <w:gridCol w:w="909"/>
        <w:gridCol w:w="909"/>
        <w:gridCol w:w="909"/>
      </w:tblGrid>
      <w:tr w:rsidR="00483813" w:rsidRPr="00893575" w:rsidTr="00483813">
        <w:trPr>
          <w:trHeight w:val="225"/>
        </w:trPr>
        <w:tc>
          <w:tcPr>
            <w:tcW w:w="3107" w:type="dxa"/>
            <w:tcBorders>
              <w:bottom w:val="single" w:sz="2" w:space="0" w:color="auto"/>
            </w:tcBorders>
          </w:tcPr>
          <w:p w:rsidR="00483813" w:rsidRPr="00893575" w:rsidRDefault="00483813" w:rsidP="00CB53E6">
            <w:pPr>
              <w:keepNext/>
              <w:autoSpaceDE w:val="0"/>
              <w:autoSpaceDN w:val="0"/>
              <w:adjustRightInd w:val="0"/>
              <w:spacing w:after="0" w:line="240" w:lineRule="auto"/>
              <w:jc w:val="right"/>
              <w:rPr>
                <w:rFonts w:ascii="Arial" w:hAnsi="Arial" w:cs="Arial"/>
                <w:color w:val="000000"/>
                <w:sz w:val="16"/>
                <w:szCs w:val="16"/>
              </w:rPr>
            </w:pPr>
          </w:p>
        </w:tc>
        <w:tc>
          <w:tcPr>
            <w:tcW w:w="907" w:type="dxa"/>
            <w:tcBorders>
              <w:bottom w:val="single" w:sz="2" w:space="0" w:color="auto"/>
            </w:tcBorders>
            <w:shd w:val="clear" w:color="auto" w:fill="auto"/>
          </w:tcPr>
          <w:p w:rsidR="00483813" w:rsidRPr="00893575" w:rsidRDefault="00483813" w:rsidP="00CB53E6">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2012</w:t>
            </w:r>
            <w:r w:rsidRPr="00893575">
              <w:rPr>
                <w:rFonts w:ascii="Arial" w:hAnsi="Arial" w:cs="Arial"/>
                <w:color w:val="000000"/>
                <w:sz w:val="16"/>
                <w:szCs w:val="16"/>
              </w:rPr>
              <w:t>–1</w:t>
            </w:r>
            <w:r>
              <w:rPr>
                <w:rFonts w:ascii="Arial" w:hAnsi="Arial" w:cs="Arial"/>
                <w:color w:val="000000"/>
                <w:sz w:val="16"/>
                <w:szCs w:val="16"/>
              </w:rPr>
              <w:t>3</w:t>
            </w:r>
          </w:p>
          <w:p w:rsidR="00483813" w:rsidRPr="00893575" w:rsidRDefault="00483813" w:rsidP="00336CF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Revised budget</w:t>
            </w:r>
          </w:p>
        </w:tc>
        <w:tc>
          <w:tcPr>
            <w:tcW w:w="907" w:type="dxa"/>
            <w:tcBorders>
              <w:bottom w:val="single" w:sz="2" w:space="0" w:color="auto"/>
            </w:tcBorders>
            <w:shd w:val="clear" w:color="auto" w:fill="D9D9D9"/>
          </w:tcPr>
          <w:p w:rsidR="00483813" w:rsidRPr="00893575" w:rsidRDefault="00483813" w:rsidP="00EC6CD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2013</w:t>
            </w:r>
            <w:r>
              <w:rPr>
                <w:rFonts w:ascii="Arial" w:hAnsi="Arial" w:cs="Arial"/>
                <w:color w:val="000000"/>
                <w:sz w:val="16"/>
                <w:szCs w:val="16"/>
              </w:rPr>
              <w:t>–14</w:t>
            </w:r>
          </w:p>
          <w:p w:rsidR="00483813" w:rsidRPr="00893575" w:rsidRDefault="00483813" w:rsidP="00003143">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7" w:type="dxa"/>
            <w:tcBorders>
              <w:bottom w:val="single" w:sz="2" w:space="0" w:color="auto"/>
            </w:tcBorders>
          </w:tcPr>
          <w:p w:rsidR="00483813" w:rsidRPr="00893575" w:rsidRDefault="00483813" w:rsidP="005E6D7F">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7" w:type="dxa"/>
            <w:tcBorders>
              <w:bottom w:val="single" w:sz="2" w:space="0" w:color="auto"/>
            </w:tcBorders>
          </w:tcPr>
          <w:p w:rsidR="00483813" w:rsidRPr="00893575" w:rsidRDefault="00483813" w:rsidP="00EC6CD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483813" w:rsidRPr="00893575" w:rsidRDefault="00483813" w:rsidP="00EC6CD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483813" w:rsidRPr="00893575" w:rsidRDefault="00483813" w:rsidP="00583000">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2</w:t>
            </w:r>
          </w:p>
        </w:tc>
        <w:tc>
          <w:tcPr>
            <w:tcW w:w="907" w:type="dxa"/>
            <w:tcBorders>
              <w:bottom w:val="single" w:sz="2" w:space="0" w:color="auto"/>
            </w:tcBorders>
          </w:tcPr>
          <w:p w:rsidR="00483813" w:rsidRPr="00893575" w:rsidRDefault="00483813" w:rsidP="00EC6CD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w:t>
            </w:r>
            <w:r w:rsidRPr="00893575">
              <w:rPr>
                <w:rFonts w:ascii="Arial" w:hAnsi="Arial" w:cs="Arial"/>
                <w:color w:val="000000"/>
                <w:sz w:val="16"/>
                <w:szCs w:val="16"/>
              </w:rPr>
              <w:t>1</w:t>
            </w:r>
            <w:r>
              <w:rPr>
                <w:rFonts w:ascii="Arial" w:hAnsi="Arial" w:cs="Arial"/>
                <w:color w:val="000000"/>
                <w:sz w:val="16"/>
                <w:szCs w:val="16"/>
              </w:rPr>
              <w:t>6–17</w:t>
            </w:r>
          </w:p>
          <w:p w:rsidR="00483813" w:rsidRPr="00893575" w:rsidRDefault="00483813" w:rsidP="00EC6CD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483813" w:rsidRPr="00893575" w:rsidRDefault="00483813" w:rsidP="00583000">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3</w:t>
            </w:r>
          </w:p>
        </w:tc>
      </w:tr>
      <w:tr w:rsidR="00EC6CD9" w:rsidRPr="00893575" w:rsidTr="00483813">
        <w:trPr>
          <w:trHeight w:val="225"/>
        </w:trPr>
        <w:tc>
          <w:tcPr>
            <w:tcW w:w="3107" w:type="dxa"/>
            <w:tcBorders>
              <w:bottom w:val="nil"/>
            </w:tcBorders>
            <w:vAlign w:val="bottom"/>
          </w:tcPr>
          <w:p w:rsidR="00EC6CD9" w:rsidRPr="00893575" w:rsidRDefault="00EC6CD9" w:rsidP="00502B14">
            <w:pPr>
              <w:keepNext/>
              <w:autoSpaceDE w:val="0"/>
              <w:autoSpaceDN w:val="0"/>
              <w:adjustRightInd w:val="0"/>
              <w:spacing w:before="120" w:after="0" w:line="240" w:lineRule="auto"/>
              <w:jc w:val="left"/>
              <w:rPr>
                <w:rFonts w:ascii="Arial" w:hAnsi="Arial" w:cs="Arial"/>
                <w:color w:val="000000"/>
                <w:sz w:val="16"/>
                <w:szCs w:val="16"/>
              </w:rPr>
            </w:pPr>
            <w:r>
              <w:rPr>
                <w:rFonts w:ascii="Arial" w:hAnsi="Arial" w:cs="Arial"/>
                <w:color w:val="000000"/>
                <w:sz w:val="16"/>
                <w:szCs w:val="16"/>
              </w:rPr>
              <w:t>Percentage and number of participants maintaining progress against relevant goals</w:t>
            </w:r>
          </w:p>
        </w:tc>
        <w:tc>
          <w:tcPr>
            <w:tcW w:w="907" w:type="dxa"/>
            <w:tcBorders>
              <w:bottom w:val="nil"/>
            </w:tcBorders>
            <w:shd w:val="clear" w:color="auto" w:fill="auto"/>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37,800</w:t>
            </w:r>
          </w:p>
        </w:tc>
        <w:tc>
          <w:tcPr>
            <w:tcW w:w="907" w:type="dxa"/>
            <w:tcBorders>
              <w:bottom w:val="nil"/>
            </w:tcBorders>
            <w:shd w:val="clear" w:color="auto" w:fill="D9D9D9"/>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61,600</w:t>
            </w:r>
          </w:p>
        </w:tc>
        <w:tc>
          <w:tcPr>
            <w:tcW w:w="907" w:type="dxa"/>
            <w:tcBorders>
              <w:bottom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64,000</w:t>
            </w:r>
          </w:p>
        </w:tc>
        <w:tc>
          <w:tcPr>
            <w:tcW w:w="907" w:type="dxa"/>
            <w:tcBorders>
              <w:bottom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64,800</w:t>
            </w:r>
          </w:p>
        </w:tc>
        <w:tc>
          <w:tcPr>
            <w:tcW w:w="907" w:type="dxa"/>
            <w:tcBorders>
              <w:bottom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64,800</w:t>
            </w:r>
          </w:p>
        </w:tc>
      </w:tr>
      <w:tr w:rsidR="00EC6CD9" w:rsidRPr="00893575" w:rsidTr="00483813">
        <w:trPr>
          <w:trHeight w:val="225"/>
        </w:trPr>
        <w:tc>
          <w:tcPr>
            <w:tcW w:w="3107" w:type="dxa"/>
            <w:tcBorders>
              <w:top w:val="nil"/>
              <w:bottom w:val="nil"/>
            </w:tcBorders>
            <w:vAlign w:val="bottom"/>
          </w:tcPr>
          <w:p w:rsidR="00EC6CD9" w:rsidRPr="00893575" w:rsidRDefault="00EC6CD9" w:rsidP="00502B14">
            <w:pPr>
              <w:keepNext/>
              <w:autoSpaceDE w:val="0"/>
              <w:autoSpaceDN w:val="0"/>
              <w:adjustRightInd w:val="0"/>
              <w:spacing w:before="120" w:after="0" w:line="240" w:lineRule="auto"/>
              <w:jc w:val="left"/>
              <w:rPr>
                <w:rFonts w:ascii="Arial" w:hAnsi="Arial" w:cs="Arial"/>
                <w:color w:val="000000"/>
                <w:sz w:val="16"/>
                <w:szCs w:val="16"/>
              </w:rPr>
            </w:pPr>
            <w:r>
              <w:rPr>
                <w:rFonts w:ascii="Arial" w:hAnsi="Arial" w:cs="Arial"/>
                <w:color w:val="000000"/>
                <w:sz w:val="16"/>
                <w:szCs w:val="16"/>
              </w:rPr>
              <w:t xml:space="preserve">Percentage and number of </w:t>
            </w:r>
            <w:r w:rsidR="00E75894">
              <w:rPr>
                <w:rFonts w:ascii="Arial" w:hAnsi="Arial" w:cs="Arial"/>
                <w:color w:val="000000"/>
                <w:sz w:val="16"/>
                <w:szCs w:val="16"/>
              </w:rPr>
              <w:t xml:space="preserve">participants </w:t>
            </w:r>
            <w:r>
              <w:rPr>
                <w:rFonts w:ascii="Arial" w:hAnsi="Arial" w:cs="Arial"/>
                <w:color w:val="000000"/>
                <w:sz w:val="16"/>
                <w:szCs w:val="16"/>
              </w:rPr>
              <w:t>who report that they are satisfied that the service they received was appropriate to their needs</w:t>
            </w:r>
          </w:p>
        </w:tc>
        <w:tc>
          <w:tcPr>
            <w:tcW w:w="907" w:type="dxa"/>
            <w:tcBorders>
              <w:top w:val="nil"/>
              <w:bottom w:val="nil"/>
            </w:tcBorders>
            <w:shd w:val="clear" w:color="auto" w:fill="auto"/>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50,400</w:t>
            </w:r>
          </w:p>
        </w:tc>
        <w:tc>
          <w:tcPr>
            <w:tcW w:w="907" w:type="dxa"/>
            <w:tcBorders>
              <w:top w:val="nil"/>
              <w:bottom w:val="nil"/>
            </w:tcBorders>
            <w:shd w:val="clear" w:color="auto" w:fill="D9D9D9"/>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61,600</w:t>
            </w:r>
          </w:p>
        </w:tc>
        <w:tc>
          <w:tcPr>
            <w:tcW w:w="907" w:type="dxa"/>
            <w:tcBorders>
              <w:top w:val="nil"/>
              <w:bottom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64,000</w:t>
            </w:r>
          </w:p>
        </w:tc>
        <w:tc>
          <w:tcPr>
            <w:tcW w:w="907" w:type="dxa"/>
            <w:tcBorders>
              <w:top w:val="nil"/>
              <w:bottom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64,800</w:t>
            </w:r>
          </w:p>
        </w:tc>
        <w:tc>
          <w:tcPr>
            <w:tcW w:w="907" w:type="dxa"/>
            <w:tcBorders>
              <w:top w:val="nil"/>
              <w:bottom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64,800</w:t>
            </w:r>
          </w:p>
        </w:tc>
      </w:tr>
      <w:tr w:rsidR="00EC6CD9" w:rsidRPr="00893575" w:rsidTr="00483813">
        <w:trPr>
          <w:trHeight w:val="225"/>
        </w:trPr>
        <w:tc>
          <w:tcPr>
            <w:tcW w:w="3107" w:type="dxa"/>
            <w:tcBorders>
              <w:top w:val="nil"/>
              <w:bottom w:val="nil"/>
            </w:tcBorders>
            <w:vAlign w:val="bottom"/>
          </w:tcPr>
          <w:p w:rsidR="00EC6CD9" w:rsidRDefault="00EC6CD9" w:rsidP="00502B14">
            <w:pPr>
              <w:keepNext/>
              <w:autoSpaceDE w:val="0"/>
              <w:autoSpaceDN w:val="0"/>
              <w:adjustRightInd w:val="0"/>
              <w:spacing w:before="120" w:after="0" w:line="240" w:lineRule="auto"/>
              <w:jc w:val="left"/>
              <w:rPr>
                <w:rFonts w:ascii="Arial" w:hAnsi="Arial" w:cs="Arial"/>
                <w:color w:val="000000"/>
                <w:sz w:val="16"/>
                <w:szCs w:val="16"/>
              </w:rPr>
            </w:pPr>
            <w:r>
              <w:rPr>
                <w:rFonts w:ascii="Arial" w:hAnsi="Arial" w:cs="Arial"/>
                <w:color w:val="000000"/>
                <w:sz w:val="16"/>
                <w:szCs w:val="16"/>
              </w:rPr>
              <w:t xml:space="preserve">Percentage and number of </w:t>
            </w:r>
            <w:r w:rsidR="00E75894">
              <w:rPr>
                <w:rFonts w:ascii="Arial" w:hAnsi="Arial" w:cs="Arial"/>
                <w:color w:val="000000"/>
                <w:sz w:val="16"/>
                <w:szCs w:val="16"/>
              </w:rPr>
              <w:t xml:space="preserve">participants </w:t>
            </w:r>
            <w:r>
              <w:rPr>
                <w:rFonts w:ascii="Arial" w:hAnsi="Arial" w:cs="Arial"/>
                <w:color w:val="000000"/>
                <w:sz w:val="16"/>
                <w:szCs w:val="16"/>
              </w:rPr>
              <w:t>from Indigenous backgrounds</w:t>
            </w:r>
          </w:p>
        </w:tc>
        <w:tc>
          <w:tcPr>
            <w:tcW w:w="907" w:type="dxa"/>
            <w:tcBorders>
              <w:top w:val="nil"/>
              <w:bottom w:val="nil"/>
            </w:tcBorders>
            <w:shd w:val="clear" w:color="auto" w:fill="auto"/>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4,000</w:t>
            </w:r>
          </w:p>
        </w:tc>
        <w:tc>
          <w:tcPr>
            <w:tcW w:w="907" w:type="dxa"/>
            <w:tcBorders>
              <w:top w:val="nil"/>
              <w:bottom w:val="nil"/>
            </w:tcBorders>
            <w:shd w:val="clear" w:color="auto" w:fill="D9D9D9"/>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5,400</w:t>
            </w:r>
          </w:p>
        </w:tc>
        <w:tc>
          <w:tcPr>
            <w:tcW w:w="907" w:type="dxa"/>
            <w:tcBorders>
              <w:top w:val="nil"/>
              <w:bottom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5,600</w:t>
            </w:r>
          </w:p>
        </w:tc>
        <w:tc>
          <w:tcPr>
            <w:tcW w:w="907" w:type="dxa"/>
            <w:tcBorders>
              <w:top w:val="nil"/>
              <w:bottom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5,700</w:t>
            </w:r>
          </w:p>
        </w:tc>
        <w:tc>
          <w:tcPr>
            <w:tcW w:w="907" w:type="dxa"/>
            <w:tcBorders>
              <w:top w:val="nil"/>
              <w:bottom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5,700</w:t>
            </w:r>
          </w:p>
        </w:tc>
      </w:tr>
      <w:tr w:rsidR="00EC6CD9" w:rsidRPr="00893575" w:rsidTr="00483813">
        <w:trPr>
          <w:trHeight w:val="225"/>
        </w:trPr>
        <w:tc>
          <w:tcPr>
            <w:tcW w:w="3107" w:type="dxa"/>
            <w:tcBorders>
              <w:top w:val="nil"/>
            </w:tcBorders>
            <w:vAlign w:val="bottom"/>
          </w:tcPr>
          <w:p w:rsidR="00EC6CD9" w:rsidRDefault="00EC6CD9" w:rsidP="00502B14">
            <w:pPr>
              <w:keepNext/>
              <w:autoSpaceDE w:val="0"/>
              <w:autoSpaceDN w:val="0"/>
              <w:adjustRightInd w:val="0"/>
              <w:spacing w:before="120" w:after="0" w:line="240" w:lineRule="auto"/>
              <w:jc w:val="left"/>
              <w:rPr>
                <w:rFonts w:ascii="Arial" w:hAnsi="Arial" w:cs="Arial"/>
                <w:color w:val="000000"/>
                <w:sz w:val="16"/>
                <w:szCs w:val="16"/>
              </w:rPr>
            </w:pPr>
            <w:r>
              <w:rPr>
                <w:rFonts w:ascii="Arial" w:hAnsi="Arial" w:cs="Arial"/>
                <w:color w:val="000000"/>
                <w:sz w:val="16"/>
                <w:szCs w:val="16"/>
              </w:rPr>
              <w:t xml:space="preserve">Percentage and number of </w:t>
            </w:r>
            <w:r w:rsidR="00E75894">
              <w:rPr>
                <w:rFonts w:ascii="Arial" w:hAnsi="Arial" w:cs="Arial"/>
                <w:color w:val="000000"/>
                <w:sz w:val="16"/>
                <w:szCs w:val="16"/>
              </w:rPr>
              <w:t xml:space="preserve">participants </w:t>
            </w:r>
            <w:r>
              <w:rPr>
                <w:rFonts w:ascii="Arial" w:hAnsi="Arial" w:cs="Arial"/>
                <w:color w:val="000000"/>
                <w:sz w:val="16"/>
                <w:szCs w:val="16"/>
              </w:rPr>
              <w:t>from culturally and linguistically diverse backgrounds</w:t>
            </w:r>
          </w:p>
        </w:tc>
        <w:tc>
          <w:tcPr>
            <w:tcW w:w="907" w:type="dxa"/>
            <w:tcBorders>
              <w:top w:val="nil"/>
            </w:tcBorders>
            <w:shd w:val="clear" w:color="auto" w:fill="auto"/>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10,000</w:t>
            </w:r>
          </w:p>
        </w:tc>
        <w:tc>
          <w:tcPr>
            <w:tcW w:w="907" w:type="dxa"/>
            <w:tcBorders>
              <w:top w:val="nil"/>
            </w:tcBorders>
            <w:shd w:val="clear" w:color="auto" w:fill="D9D9D9"/>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12,300</w:t>
            </w:r>
          </w:p>
        </w:tc>
        <w:tc>
          <w:tcPr>
            <w:tcW w:w="907" w:type="dxa"/>
            <w:tcBorders>
              <w:top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12,800</w:t>
            </w:r>
          </w:p>
        </w:tc>
        <w:tc>
          <w:tcPr>
            <w:tcW w:w="907" w:type="dxa"/>
            <w:tcBorders>
              <w:top w:val="nil"/>
            </w:tcBorders>
            <w:vAlign w:val="bottom"/>
          </w:tcPr>
          <w:p w:rsidR="005E6D7F"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w:t>
            </w:r>
          </w:p>
          <w:p w:rsidR="00EC6CD9" w:rsidRPr="00893575" w:rsidRDefault="005E6D7F"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13,000</w:t>
            </w:r>
          </w:p>
        </w:tc>
        <w:tc>
          <w:tcPr>
            <w:tcW w:w="907" w:type="dxa"/>
            <w:tcBorders>
              <w:top w:val="nil"/>
            </w:tcBorders>
            <w:vAlign w:val="bottom"/>
          </w:tcPr>
          <w:p w:rsidR="003B7078" w:rsidRDefault="003B7078"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w:t>
            </w:r>
          </w:p>
          <w:p w:rsidR="00EC6CD9" w:rsidRPr="00893575" w:rsidRDefault="003B7078" w:rsidP="00502B1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13,000</w:t>
            </w:r>
          </w:p>
        </w:tc>
      </w:tr>
    </w:tbl>
    <w:p w:rsidR="007452AA" w:rsidRPr="00B06D93" w:rsidRDefault="007452AA" w:rsidP="00984352">
      <w:pPr>
        <w:rPr>
          <w:highlight w:val="yellow"/>
        </w:rPr>
      </w:pPr>
    </w:p>
    <w:p w:rsidR="007452AA" w:rsidRPr="009A68CC" w:rsidRDefault="007452AA" w:rsidP="000E646C">
      <w:pPr>
        <w:pStyle w:val="Heading6"/>
      </w:pPr>
      <w:r w:rsidRPr="00F116EF">
        <w:lastRenderedPageBreak/>
        <w:t xml:space="preserve">Program 5.2: </w:t>
      </w:r>
      <w:r w:rsidR="00A110B8" w:rsidRPr="00F116EF">
        <w:t xml:space="preserve">Income </w:t>
      </w:r>
      <w:r w:rsidR="00B87743" w:rsidRPr="00F116EF">
        <w:t>Support for People with Disability</w:t>
      </w:r>
    </w:p>
    <w:p w:rsidR="003B7078" w:rsidRDefault="003B7078" w:rsidP="005703E9">
      <w:pPr>
        <w:pStyle w:val="SinglePara"/>
        <w:rPr>
          <w:lang w:val="en-GB"/>
        </w:rPr>
      </w:pPr>
    </w:p>
    <w:p w:rsidR="003B7078" w:rsidRDefault="003B7078" w:rsidP="000E646C">
      <w:pPr>
        <w:pStyle w:val="Heading7"/>
      </w:pPr>
      <w:r>
        <w:t xml:space="preserve">Program 5.2 </w:t>
      </w:r>
      <w:r w:rsidR="004C20A3">
        <w:t>o</w:t>
      </w:r>
      <w:r>
        <w:t>bjective</w:t>
      </w:r>
    </w:p>
    <w:p w:rsidR="003B7078" w:rsidRDefault="003B7078" w:rsidP="003B7078">
      <w:pPr>
        <w:pStyle w:val="NormalBox"/>
        <w:pBdr>
          <w:between w:val="single" w:sz="2" w:space="3" w:color="auto"/>
        </w:pBdr>
      </w:pPr>
      <w:r>
        <w:t>To make payments to eligible people with disability who are unable to support themselves to achieve financial independence.</w:t>
      </w:r>
    </w:p>
    <w:p w:rsidR="003B7078" w:rsidRPr="003B7078" w:rsidRDefault="003B7078" w:rsidP="003B7078">
      <w:pPr>
        <w:pStyle w:val="NormalBox"/>
        <w:pBdr>
          <w:between w:val="single" w:sz="2" w:space="3" w:color="auto"/>
        </w:pBdr>
      </w:pPr>
      <w:proofErr w:type="gramStart"/>
      <w:r>
        <w:t>Linked to: Personal benefits payments under this program are delivered by DHS.</w:t>
      </w:r>
      <w:proofErr w:type="gramEnd"/>
      <w:r w:rsidR="00385969">
        <w:t xml:space="preserve"> </w:t>
      </w:r>
      <w:r>
        <w:t>For more information refer to DHS’s 2013</w:t>
      </w:r>
      <w:r w:rsidR="003549DF">
        <w:t>–</w:t>
      </w:r>
      <w:r>
        <w:t>14 PB Statements.</w:t>
      </w:r>
    </w:p>
    <w:p w:rsidR="003B7078" w:rsidRDefault="003B7078" w:rsidP="00984352">
      <w:pPr>
        <w:pStyle w:val="SinglePara"/>
        <w:rPr>
          <w:lang w:val="en-GB"/>
        </w:rPr>
      </w:pPr>
    </w:p>
    <w:p w:rsidR="007452AA" w:rsidRDefault="003B7078" w:rsidP="000E646C">
      <w:pPr>
        <w:pStyle w:val="Heading7"/>
      </w:pPr>
      <w:r>
        <w:t xml:space="preserve">Program 5.2 </w:t>
      </w:r>
      <w:r w:rsidR="004C20A3">
        <w:t>e</w:t>
      </w:r>
      <w:r>
        <w:t>xpenses</w:t>
      </w:r>
    </w:p>
    <w:p w:rsidR="00906BA2" w:rsidRDefault="00906BA2" w:rsidP="00906BA2">
      <w:pPr>
        <w:pStyle w:val="NormalBox"/>
      </w:pPr>
      <w:r>
        <w:t>The increase in program expenses across the forward years reflects projected changes in the economy, indexation parameters and the impact of policy initiatives.</w:t>
      </w:r>
    </w:p>
    <w:p w:rsidR="00293295" w:rsidRPr="00704365" w:rsidRDefault="00906BA2" w:rsidP="00906BA2">
      <w:pPr>
        <w:pStyle w:val="NormalBox"/>
      </w:pPr>
      <w:r>
        <w:t>The impact of policy initiatives includes the Household Assistance Package</w:t>
      </w:r>
      <w:r w:rsidR="00900888">
        <w:t>, which assists households to</w:t>
      </w:r>
      <w:r>
        <w:t xml:space="preserve"> meet additional costs under a carbon price.</w:t>
      </w:r>
    </w:p>
    <w:p w:rsidR="00F65D7B" w:rsidRDefault="009B64C9" w:rsidP="00EE4C07">
      <w:pPr>
        <w:pStyle w:val="TableHeading"/>
        <w:rPr>
          <w:lang w:val="en-GB"/>
        </w:rPr>
      </w:pPr>
      <w:r>
        <w:rPr>
          <w:lang w:val="en-GB"/>
        </w:rPr>
        <w:t>Table 2.</w:t>
      </w:r>
      <w:r w:rsidR="007452AA">
        <w:rPr>
          <w:lang w:val="en-GB"/>
        </w:rPr>
        <w:t xml:space="preserve">5.2: </w:t>
      </w:r>
      <w:r w:rsidR="004B5D66">
        <w:rPr>
          <w:lang w:val="en-GB"/>
        </w:rPr>
        <w:t xml:space="preserve">Budgeted </w:t>
      </w:r>
      <w:r w:rsidR="004C20A3">
        <w:rPr>
          <w:lang w:val="en-GB"/>
        </w:rPr>
        <w:t>e</w:t>
      </w:r>
      <w:r w:rsidR="00F65D7B">
        <w:rPr>
          <w:lang w:val="en-GB"/>
        </w:rPr>
        <w:t>xpenses</w:t>
      </w:r>
      <w:r w:rsidR="004B5D66">
        <w:rPr>
          <w:lang w:val="en-GB"/>
        </w:rPr>
        <w:t xml:space="preserve"> for Income Support for People with Disability</w:t>
      </w:r>
    </w:p>
    <w:p w:rsidR="00EE4C07" w:rsidRDefault="005A4CCD" w:rsidP="00EE4C07">
      <w:pPr>
        <w:pStyle w:val="TableGraphic"/>
        <w:rPr>
          <w:lang w:val="en-GB"/>
        </w:rPr>
      </w:pPr>
      <w:r>
        <w:rPr>
          <w:noProof/>
        </w:rPr>
        <w:drawing>
          <wp:inline distT="0" distB="0" distL="0" distR="0" wp14:anchorId="0F9086C4" wp14:editId="368EBFA1">
            <wp:extent cx="4878705" cy="2704088"/>
            <wp:effectExtent l="0" t="0" r="0" b="1270"/>
            <wp:docPr id="164" name="Picture 164" descr="Table 2.5.2: Budgeted expenses for Income Support for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78705" cy="2704088"/>
                    </a:xfrm>
                    <a:prstGeom prst="rect">
                      <a:avLst/>
                    </a:prstGeom>
                    <a:noFill/>
                    <a:ln>
                      <a:noFill/>
                    </a:ln>
                  </pic:spPr>
                </pic:pic>
              </a:graphicData>
            </a:graphic>
          </wp:inline>
        </w:drawing>
      </w:r>
    </w:p>
    <w:p w:rsidR="000E646C" w:rsidRDefault="000E646C" w:rsidP="000E646C">
      <w:pPr>
        <w:rPr>
          <w:lang w:val="en-GB"/>
        </w:rPr>
      </w:pPr>
    </w:p>
    <w:p w:rsidR="007452AA" w:rsidRDefault="000E646C" w:rsidP="000E646C">
      <w:pPr>
        <w:pStyle w:val="Heading7"/>
      </w:pPr>
      <w:r>
        <w:br w:type="page"/>
      </w:r>
      <w:r w:rsidR="007452AA" w:rsidRPr="009A68CC">
        <w:lastRenderedPageBreak/>
        <w:t xml:space="preserve">Program </w:t>
      </w:r>
      <w:r w:rsidR="003C0FAF">
        <w:t xml:space="preserve">5.2 </w:t>
      </w:r>
      <w:r w:rsidR="00AF2A49" w:rsidRPr="00C6620B">
        <w:t>d</w:t>
      </w:r>
      <w:r w:rsidR="003C0FAF" w:rsidRPr="009A68CC">
        <w:t xml:space="preserve">eliverables </w:t>
      </w:r>
    </w:p>
    <w:p w:rsidR="003B7078" w:rsidRPr="003B7078" w:rsidRDefault="003B7078" w:rsidP="003B7078">
      <w:pPr>
        <w:pStyle w:val="BulletBox"/>
      </w:pPr>
      <w:r>
        <w:t>Payments are made through DHS to eligible claimants under the provisions of social security law</w:t>
      </w:r>
    </w:p>
    <w:p w:rsidR="003B7078" w:rsidRDefault="003B7078" w:rsidP="00984352">
      <w:pPr>
        <w:pStyle w:val="SinglePara"/>
      </w:pPr>
    </w:p>
    <w:p w:rsidR="007452AA" w:rsidRDefault="007452AA" w:rsidP="000E646C">
      <w:pPr>
        <w:pStyle w:val="Heading7"/>
      </w:pPr>
      <w:r w:rsidRPr="009A68CC">
        <w:t xml:space="preserve">Program </w:t>
      </w:r>
      <w:r w:rsidR="003C0FAF">
        <w:t xml:space="preserve">5.2 </w:t>
      </w:r>
      <w:r w:rsidR="004C20A3">
        <w:t>key performance i</w:t>
      </w:r>
      <w:r w:rsidR="004C20A3" w:rsidRPr="009A68CC">
        <w:t>ndicators</w:t>
      </w:r>
    </w:p>
    <w:p w:rsidR="003B7078" w:rsidRPr="0093504A" w:rsidRDefault="003B7078" w:rsidP="000E646C">
      <w:pPr>
        <w:pStyle w:val="Heading8"/>
      </w:pPr>
      <w:r w:rsidRPr="0093504A">
        <w:t>Disability Support Pension (DSP)</w:t>
      </w:r>
    </w:p>
    <w:p w:rsidR="003B7078" w:rsidRDefault="003B7078" w:rsidP="003B7078">
      <w:pPr>
        <w:pStyle w:val="BulletBox"/>
      </w:pPr>
      <w:r>
        <w:t>Duration on payment</w:t>
      </w:r>
    </w:p>
    <w:p w:rsidR="003B7078" w:rsidRDefault="003B7078" w:rsidP="003B7078">
      <w:pPr>
        <w:pStyle w:val="BulletBox"/>
      </w:pPr>
      <w:r>
        <w:t>Percentage and number of recipients reporting employment income</w:t>
      </w:r>
    </w:p>
    <w:p w:rsidR="003B7078" w:rsidRDefault="003B7078" w:rsidP="003B7078">
      <w:pPr>
        <w:pStyle w:val="BulletBox"/>
      </w:pPr>
      <w:r>
        <w:t xml:space="preserve">Percentage and number of recipients on part rate due to the means test </w:t>
      </w:r>
    </w:p>
    <w:p w:rsidR="003B7078" w:rsidRDefault="003B7078" w:rsidP="003B7078">
      <w:pPr>
        <w:pStyle w:val="BulletBox"/>
      </w:pPr>
      <w:r>
        <w:t>Number of recipients</w:t>
      </w:r>
    </w:p>
    <w:p w:rsidR="003B7078" w:rsidRDefault="003B7078" w:rsidP="003B7078">
      <w:pPr>
        <w:pStyle w:val="BulletBox"/>
      </w:pPr>
      <w:r>
        <w:t>Administered outlays</w:t>
      </w:r>
    </w:p>
    <w:p w:rsidR="003B7078" w:rsidRDefault="003B7078" w:rsidP="003B7078">
      <w:pPr>
        <w:pStyle w:val="BulletBox"/>
      </w:pPr>
      <w:r>
        <w:t>Payment accuracy</w:t>
      </w:r>
    </w:p>
    <w:p w:rsidR="003B7078" w:rsidRDefault="003B7078" w:rsidP="003B7078">
      <w:pPr>
        <w:pStyle w:val="BulletBox"/>
      </w:pPr>
      <w:r w:rsidRPr="00C6620B">
        <w:t>Agreements are in place</w:t>
      </w:r>
      <w:r>
        <w:t xml:space="preserve"> with all service delivery agencies</w:t>
      </w:r>
    </w:p>
    <w:p w:rsidR="003B7078" w:rsidRDefault="003B7078" w:rsidP="003B7078">
      <w:pPr>
        <w:pStyle w:val="BulletBox"/>
      </w:pPr>
      <w:r>
        <w:t>Strategies are in place to ensure that requirements are fulfilled under agreements with service delivery agencies</w:t>
      </w:r>
    </w:p>
    <w:p w:rsidR="003B7078" w:rsidRDefault="003B7078" w:rsidP="003B7078">
      <w:pPr>
        <w:pStyle w:val="BulletBox"/>
      </w:pPr>
      <w:r>
        <w:t>Percentage and number of estimated population of people with disability who receive payment</w:t>
      </w:r>
      <w:r w:rsidR="00E7673E">
        <w:rPr>
          <w:rStyle w:val="FootnoteReference"/>
        </w:rPr>
        <w:footnoteReference w:id="18"/>
      </w:r>
      <w:r>
        <w:t xml:space="preserve"> </w:t>
      </w:r>
    </w:p>
    <w:p w:rsidR="003B7078" w:rsidRDefault="003B7078" w:rsidP="003B7078">
      <w:pPr>
        <w:pStyle w:val="BulletBox"/>
      </w:pPr>
      <w:r>
        <w:t>Percentage and number of DSP population as a proportion of the total Australian working-age population</w:t>
      </w:r>
      <w:r w:rsidR="00A75F5D">
        <w:rPr>
          <w:rStyle w:val="FootnoteReference"/>
        </w:rPr>
        <w:footnoteReference w:id="19"/>
      </w:r>
    </w:p>
    <w:p w:rsidR="005703E9" w:rsidRDefault="005703E9" w:rsidP="005703E9"/>
    <w:p w:rsidR="007452AA" w:rsidRDefault="000E646C" w:rsidP="000E646C">
      <w:pPr>
        <w:pStyle w:val="Heading6"/>
      </w:pPr>
      <w:r>
        <w:br w:type="page"/>
      </w:r>
      <w:r w:rsidR="007452AA" w:rsidRPr="00F62A3A">
        <w:lastRenderedPageBreak/>
        <w:t>Program 5.3: Income Support for Carers</w:t>
      </w:r>
    </w:p>
    <w:p w:rsidR="005703E9" w:rsidRPr="005703E9" w:rsidRDefault="005703E9" w:rsidP="005703E9">
      <w:pPr>
        <w:pStyle w:val="SinglePara"/>
      </w:pPr>
    </w:p>
    <w:p w:rsidR="00C761B1" w:rsidRDefault="00C761B1" w:rsidP="000E646C">
      <w:pPr>
        <w:pStyle w:val="Heading7"/>
      </w:pPr>
      <w:r>
        <w:t xml:space="preserve">Program 5.3 </w:t>
      </w:r>
      <w:r w:rsidR="004C20A3">
        <w:t>o</w:t>
      </w:r>
      <w:r>
        <w:t>bjective</w:t>
      </w:r>
    </w:p>
    <w:p w:rsidR="00C761B1" w:rsidRDefault="00C761B1" w:rsidP="00C761B1">
      <w:pPr>
        <w:pStyle w:val="NormalBox"/>
      </w:pPr>
      <w:r>
        <w:t>To make payments and allowances to financially assist eligible carers of people with disability or a severe medical condition or of people who are frail aged.</w:t>
      </w:r>
    </w:p>
    <w:p w:rsidR="00C761B1" w:rsidRDefault="00C761B1" w:rsidP="000E646C">
      <w:pPr>
        <w:pStyle w:val="Heading7"/>
      </w:pPr>
      <w:r>
        <w:t xml:space="preserve">Program </w:t>
      </w:r>
      <w:r w:rsidR="004C20A3">
        <w:t>component objectives</w:t>
      </w:r>
    </w:p>
    <w:p w:rsidR="00C761B1" w:rsidRDefault="00C761B1" w:rsidP="000E646C">
      <w:pPr>
        <w:pStyle w:val="Heading8"/>
      </w:pPr>
      <w:r>
        <w:t>Carer Adjustment Payment – Ex</w:t>
      </w:r>
      <w:r w:rsidR="00532B08">
        <w:t>-</w:t>
      </w:r>
      <w:r>
        <w:t>gratia payments to unsuccessful applicants of Carer Payment (Child)</w:t>
      </w:r>
    </w:p>
    <w:p w:rsidR="00C761B1" w:rsidRDefault="00C761B1" w:rsidP="00C761B1">
      <w:pPr>
        <w:pStyle w:val="NormalBox"/>
      </w:pPr>
      <w:r>
        <w:t>To make one-off payments to families not eligible for income support where, following a catastrophic event</w:t>
      </w:r>
      <w:r w:rsidR="00EC0845">
        <w:t>,</w:t>
      </w:r>
      <w:r>
        <w:t xml:space="preserve"> a child under </w:t>
      </w:r>
      <w:r w:rsidR="004C20A3">
        <w:t xml:space="preserve">age </w:t>
      </w:r>
      <w:r>
        <w:t>seven</w:t>
      </w:r>
      <w:r w:rsidR="008A2397">
        <w:t xml:space="preserve"> is diagnosed with a severe disability or severe </w:t>
      </w:r>
      <w:r w:rsidR="008F50DA">
        <w:t xml:space="preserve">medical </w:t>
      </w:r>
      <w:r w:rsidR="008A2397">
        <w:t>condition</w:t>
      </w:r>
      <w:r>
        <w:t xml:space="preserve">, the family is going through a period of significant adjustment </w:t>
      </w:r>
      <w:r w:rsidR="008A2397">
        <w:t xml:space="preserve">and financial hardship </w:t>
      </w:r>
      <w:r>
        <w:t xml:space="preserve">as a result of the care needs of the child. </w:t>
      </w:r>
    </w:p>
    <w:p w:rsidR="00C761B1" w:rsidRDefault="00C761B1" w:rsidP="0080198B">
      <w:pPr>
        <w:pStyle w:val="Heading8"/>
      </w:pPr>
      <w:r>
        <w:t>Carer Payment</w:t>
      </w:r>
    </w:p>
    <w:p w:rsidR="00C761B1" w:rsidRDefault="00C761B1" w:rsidP="00C761B1">
      <w:pPr>
        <w:pStyle w:val="NormalBox"/>
      </w:pPr>
      <w:r>
        <w:t>To make payments to financially assist carers whose caring responsibilities for people with disability, frailty because of age</w:t>
      </w:r>
      <w:r w:rsidR="00AF2A49">
        <w:t>,</w:t>
      </w:r>
      <w:r>
        <w:t xml:space="preserve"> or a severe medical condition severely restrict their ability to undertake paid employment.</w:t>
      </w:r>
    </w:p>
    <w:p w:rsidR="00C761B1" w:rsidRDefault="00C761B1" w:rsidP="00C761B1">
      <w:pPr>
        <w:pStyle w:val="NormalBox"/>
      </w:pPr>
      <w:r>
        <w:t>The carer must personally provide constant care in the home of the care receiver, and meet an income and assets test. A person cannot receive Carer Payment and another income support payment at the same time.</w:t>
      </w:r>
    </w:p>
    <w:p w:rsidR="00C761B1" w:rsidRDefault="00C761B1" w:rsidP="00C761B1">
      <w:pPr>
        <w:pStyle w:val="NormalBox"/>
      </w:pPr>
      <w:r>
        <w:t>Care receivers are subject to a separate income and assets test.</w:t>
      </w:r>
    </w:p>
    <w:p w:rsidR="00C761B1" w:rsidRDefault="00C761B1" w:rsidP="0080198B">
      <w:pPr>
        <w:pStyle w:val="Heading8"/>
      </w:pPr>
      <w:r>
        <w:t>Carer Allowance (Adult)</w:t>
      </w:r>
    </w:p>
    <w:p w:rsidR="00C761B1" w:rsidRDefault="00C761B1" w:rsidP="00C761B1">
      <w:pPr>
        <w:pStyle w:val="NormalBox"/>
      </w:pPr>
      <w:r>
        <w:t>To make payments to financially assist carers who provide daily care and attention in a private home to a person with a disability or severe medical condition.</w:t>
      </w:r>
    </w:p>
    <w:p w:rsidR="00C761B1" w:rsidRDefault="00C761B1" w:rsidP="0080198B">
      <w:pPr>
        <w:pStyle w:val="Heading8"/>
      </w:pPr>
      <w:r>
        <w:t>Carer Allowance (Child)</w:t>
      </w:r>
    </w:p>
    <w:p w:rsidR="00C761B1" w:rsidRDefault="00C761B1" w:rsidP="00C761B1">
      <w:pPr>
        <w:pStyle w:val="NormalBox"/>
      </w:pPr>
      <w:r>
        <w:t>To make payments to financially assist carers who provide daily care and attention in a private home to a child under age 16 with disability or a severe medical condition.</w:t>
      </w:r>
    </w:p>
    <w:p w:rsidR="00C761B1" w:rsidRDefault="00C761B1" w:rsidP="00C761B1">
      <w:pPr>
        <w:pStyle w:val="NormalBox"/>
      </w:pPr>
      <w:r>
        <w:t>Carer Allowance is not taxable or income and assets tested, and it can be paid in addition to a social security income support payment. A carer who qualifies for Carer Payment (Child) automatically qualifies for Carer Allowance (Child).</w:t>
      </w:r>
    </w:p>
    <w:p w:rsidR="00C761B1" w:rsidRDefault="00C761B1" w:rsidP="0080198B">
      <w:pPr>
        <w:pStyle w:val="Heading8"/>
      </w:pPr>
      <w:r>
        <w:t>Carer Supplement</w:t>
      </w:r>
    </w:p>
    <w:p w:rsidR="00C761B1" w:rsidRDefault="00C761B1" w:rsidP="00C761B1">
      <w:pPr>
        <w:pStyle w:val="NormalBox"/>
      </w:pPr>
      <w:proofErr w:type="gramStart"/>
      <w:r>
        <w:t>To make payments annually to eligible carers to provide additional financial security and alleviate financial pressures.</w:t>
      </w:r>
      <w:proofErr w:type="gramEnd"/>
    </w:p>
    <w:p w:rsidR="00C761B1" w:rsidRDefault="00C761B1" w:rsidP="00C761B1">
      <w:pPr>
        <w:pStyle w:val="NormalBox"/>
      </w:pPr>
      <w:r>
        <w:t>A carer is qualified for the Carer Supplement if they receive a qualifying payment in respect of a period that includes 1 July.</w:t>
      </w:r>
    </w:p>
    <w:p w:rsidR="00C761B1" w:rsidRPr="00DA6CAC" w:rsidRDefault="00C761B1" w:rsidP="0080198B">
      <w:pPr>
        <w:pStyle w:val="Heading7"/>
      </w:pPr>
      <w:r w:rsidRPr="00DA6CAC">
        <w:lastRenderedPageBreak/>
        <w:t xml:space="preserve">Program </w:t>
      </w:r>
      <w:r w:rsidR="004C20A3">
        <w:t>component o</w:t>
      </w:r>
      <w:r>
        <w:t>bjectives</w:t>
      </w:r>
      <w:r w:rsidRPr="00DA6CAC">
        <w:t xml:space="preserve"> (continued)</w:t>
      </w:r>
    </w:p>
    <w:p w:rsidR="00C761B1" w:rsidRPr="00892501" w:rsidRDefault="00C761B1" w:rsidP="0080198B">
      <w:pPr>
        <w:pStyle w:val="Heading8"/>
      </w:pPr>
      <w:r w:rsidRPr="00892501">
        <w:t>Child Disability Assistance Payment</w:t>
      </w:r>
    </w:p>
    <w:p w:rsidR="00C761B1" w:rsidRPr="00892501" w:rsidRDefault="00C761B1" w:rsidP="00C761B1">
      <w:pPr>
        <w:pStyle w:val="NormalBox"/>
      </w:pPr>
      <w:proofErr w:type="gramStart"/>
      <w:r w:rsidRPr="00892501">
        <w:t>To make payments annually to Carer Allowance (</w:t>
      </w:r>
      <w:r>
        <w:t>C</w:t>
      </w:r>
      <w:r w:rsidRPr="00892501">
        <w:t>hild) recipients to help them purchase appropriate assistance for their family.</w:t>
      </w:r>
      <w:proofErr w:type="gramEnd"/>
      <w:r w:rsidRPr="00892501">
        <w:t xml:space="preserve"> A carer is qualified for the Child Disability Assistance Payment if they receive a qualifying payment in respect of a period that includes 1 July.</w:t>
      </w:r>
    </w:p>
    <w:p w:rsidR="00C761B1" w:rsidRPr="00892501" w:rsidRDefault="00C761B1" w:rsidP="0080198B">
      <w:pPr>
        <w:pStyle w:val="Heading8"/>
      </w:pPr>
      <w:r w:rsidRPr="00892501">
        <w:t>Wife Pension (DSP)</w:t>
      </w:r>
    </w:p>
    <w:p w:rsidR="00C761B1" w:rsidRDefault="00C761B1" w:rsidP="00AE60FD">
      <w:pPr>
        <w:pStyle w:val="NormalBox"/>
        <w:pBdr>
          <w:between w:val="single" w:sz="2" w:space="3" w:color="auto"/>
        </w:pBdr>
      </w:pPr>
      <w:proofErr w:type="gramStart"/>
      <w:r w:rsidRPr="00892501">
        <w:t>To make payments to female partners of DSP recipients to assist them financially.</w:t>
      </w:r>
      <w:proofErr w:type="gramEnd"/>
      <w:r w:rsidRPr="00892501">
        <w:t xml:space="preserve"> </w:t>
      </w:r>
      <w:r w:rsidR="00664B21" w:rsidRPr="00892501">
        <w:t>This</w:t>
      </w:r>
      <w:r w:rsidR="00664B21">
        <w:t> </w:t>
      </w:r>
      <w:r w:rsidRPr="00892501">
        <w:t>payment was closed to new entrants from 1 July 1995.</w:t>
      </w:r>
    </w:p>
    <w:p w:rsidR="00C761B1" w:rsidRPr="00C761B1" w:rsidRDefault="00C761B1" w:rsidP="00AE60FD">
      <w:pPr>
        <w:pStyle w:val="NormalBox"/>
        <w:pBdr>
          <w:between w:val="single" w:sz="2" w:space="3" w:color="auto"/>
        </w:pBdr>
      </w:pPr>
      <w:proofErr w:type="gramStart"/>
      <w:r>
        <w:t xml:space="preserve">Linked to: </w:t>
      </w:r>
      <w:r w:rsidRPr="00C761B1">
        <w:t>Personal benefits payments under this program are delivered by DHS.</w:t>
      </w:r>
      <w:proofErr w:type="gramEnd"/>
      <w:r w:rsidRPr="00C761B1">
        <w:t xml:space="preserve"> </w:t>
      </w:r>
      <w:r w:rsidR="00664B21" w:rsidRPr="00C761B1">
        <w:t>For</w:t>
      </w:r>
      <w:r w:rsidR="00664B21">
        <w:t> </w:t>
      </w:r>
      <w:r w:rsidRPr="00C761B1">
        <w:t>more information refer to DHS’s 2013</w:t>
      </w:r>
      <w:r w:rsidR="003549DF">
        <w:t>–</w:t>
      </w:r>
      <w:r w:rsidR="001D489D">
        <w:t>14</w:t>
      </w:r>
      <w:r w:rsidRPr="00C761B1">
        <w:t xml:space="preserve"> PB Statements.</w:t>
      </w:r>
    </w:p>
    <w:p w:rsidR="00C761B1" w:rsidRDefault="00C761B1" w:rsidP="00984352">
      <w:pPr>
        <w:pStyle w:val="SinglePara"/>
        <w:rPr>
          <w:lang w:val="en-GB"/>
        </w:rPr>
      </w:pPr>
    </w:p>
    <w:p w:rsidR="00C761B1" w:rsidRDefault="00C761B1" w:rsidP="0080198B">
      <w:pPr>
        <w:pStyle w:val="Heading7"/>
      </w:pPr>
      <w:r>
        <w:t xml:space="preserve">Program 5.3 </w:t>
      </w:r>
      <w:r w:rsidR="004C20A3">
        <w:t>e</w:t>
      </w:r>
      <w:r>
        <w:t>xpenses</w:t>
      </w:r>
    </w:p>
    <w:p w:rsidR="00603D17" w:rsidRDefault="00603D17" w:rsidP="00603D17">
      <w:pPr>
        <w:pStyle w:val="NormalBox"/>
      </w:pPr>
      <w:r>
        <w:t xml:space="preserve">The increase in program expenses across the forward years reflects projected changes in the economy, customer trends, indexation parameters and the impact of policy and program initiatives. </w:t>
      </w:r>
    </w:p>
    <w:p w:rsidR="00603D17" w:rsidRDefault="00603D17" w:rsidP="00603D17">
      <w:pPr>
        <w:pStyle w:val="NormalBox"/>
      </w:pPr>
      <w:r>
        <w:t>Wife Pension (DSP) is a closed payment with no new grants since 1 July 1995. Customers may, instead, qualify for other income support payments.</w:t>
      </w:r>
    </w:p>
    <w:p w:rsidR="00293295" w:rsidRPr="00704365" w:rsidRDefault="00603D17" w:rsidP="00603D17">
      <w:pPr>
        <w:pStyle w:val="NormalBox"/>
      </w:pPr>
      <w:r>
        <w:t>The impact of policy initiatives includes the Household Assistance Package</w:t>
      </w:r>
      <w:r w:rsidR="00900888">
        <w:t>, which assists households to</w:t>
      </w:r>
      <w:r>
        <w:t xml:space="preserve"> meet additional costs under a carbon price.</w:t>
      </w:r>
    </w:p>
    <w:p w:rsidR="007452AA" w:rsidRDefault="003072EF" w:rsidP="000616CD">
      <w:pPr>
        <w:pStyle w:val="TableHeading"/>
        <w:rPr>
          <w:lang w:val="en-GB"/>
        </w:rPr>
      </w:pPr>
      <w:r>
        <w:rPr>
          <w:lang w:val="en-GB"/>
        </w:rPr>
        <w:br w:type="page"/>
      </w:r>
      <w:r w:rsidR="009B64C9">
        <w:rPr>
          <w:lang w:val="en-GB"/>
        </w:rPr>
        <w:lastRenderedPageBreak/>
        <w:t>Table 2.</w:t>
      </w:r>
      <w:r w:rsidR="007452AA">
        <w:rPr>
          <w:lang w:val="en-GB"/>
        </w:rPr>
        <w:t xml:space="preserve">5.3: </w:t>
      </w:r>
      <w:r w:rsidR="004B5D66">
        <w:rPr>
          <w:lang w:val="en-GB"/>
        </w:rPr>
        <w:t xml:space="preserve">Budgeted </w:t>
      </w:r>
      <w:r w:rsidR="004C20A3">
        <w:rPr>
          <w:lang w:val="en-GB"/>
        </w:rPr>
        <w:t>e</w:t>
      </w:r>
      <w:r w:rsidR="00A672D0">
        <w:rPr>
          <w:lang w:val="en-GB"/>
        </w:rPr>
        <w:t>xpenses</w:t>
      </w:r>
      <w:r w:rsidR="004B5D66">
        <w:rPr>
          <w:lang w:val="en-GB"/>
        </w:rPr>
        <w:t xml:space="preserve"> for Income Support for Carers</w:t>
      </w:r>
    </w:p>
    <w:p w:rsidR="00EE4C07" w:rsidRPr="00EE4C07" w:rsidRDefault="005A4CCD" w:rsidP="005A4CCD">
      <w:pPr>
        <w:pStyle w:val="TableGraphic"/>
        <w:rPr>
          <w:lang w:val="en-GB"/>
        </w:rPr>
      </w:pPr>
      <w:r>
        <w:rPr>
          <w:noProof/>
        </w:rPr>
        <w:drawing>
          <wp:inline distT="0" distB="0" distL="0" distR="0" wp14:anchorId="1D5A66B2" wp14:editId="30228106">
            <wp:extent cx="4878705" cy="3952129"/>
            <wp:effectExtent l="0" t="0" r="0" b="0"/>
            <wp:docPr id="167" name="Picture 167" descr="Table 2.5.3: Budgeted expenses for Income Support for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8705" cy="3952129"/>
                    </a:xfrm>
                    <a:prstGeom prst="rect">
                      <a:avLst/>
                    </a:prstGeom>
                    <a:noFill/>
                    <a:ln>
                      <a:noFill/>
                    </a:ln>
                  </pic:spPr>
                </pic:pic>
              </a:graphicData>
            </a:graphic>
          </wp:inline>
        </w:drawing>
      </w:r>
    </w:p>
    <w:p w:rsidR="007452AA" w:rsidRDefault="00984352" w:rsidP="0080198B">
      <w:pPr>
        <w:pStyle w:val="Heading7"/>
      </w:pPr>
      <w:r>
        <w:br w:type="page"/>
      </w:r>
      <w:r w:rsidR="007452AA" w:rsidRPr="00AC6337">
        <w:lastRenderedPageBreak/>
        <w:t xml:space="preserve">Program </w:t>
      </w:r>
      <w:r w:rsidR="003C0FAF">
        <w:t xml:space="preserve">5.3 </w:t>
      </w:r>
      <w:r w:rsidR="004C20A3">
        <w:t>d</w:t>
      </w:r>
      <w:r w:rsidR="003C0FAF" w:rsidRPr="00AC6337">
        <w:t xml:space="preserve">eliverables </w:t>
      </w:r>
    </w:p>
    <w:p w:rsidR="00C761B1" w:rsidRDefault="008C1CA1" w:rsidP="00C761B1">
      <w:pPr>
        <w:pStyle w:val="BulletBox"/>
      </w:pPr>
      <w:r>
        <w:t>Ex-</w:t>
      </w:r>
      <w:r w:rsidR="00C761B1">
        <w:t xml:space="preserve">gratia payments to unsuccessful applicants for Carer Payment (Child) (Carer Adjustment Payment) are paid under the provisions of the FMA Act </w:t>
      </w:r>
    </w:p>
    <w:p w:rsidR="00C761B1" w:rsidRPr="00C761B1" w:rsidRDefault="00C761B1" w:rsidP="00C761B1">
      <w:pPr>
        <w:pStyle w:val="BulletBox"/>
      </w:pPr>
      <w:r>
        <w:t>Payments are made through DHS to eligible claimants under the provisions of social security law</w:t>
      </w:r>
    </w:p>
    <w:p w:rsidR="00C761B1" w:rsidRDefault="00C761B1" w:rsidP="00984352">
      <w:pPr>
        <w:pStyle w:val="SinglePara"/>
      </w:pPr>
    </w:p>
    <w:p w:rsidR="007452AA" w:rsidRDefault="007452AA" w:rsidP="0080198B">
      <w:pPr>
        <w:pStyle w:val="Heading7"/>
      </w:pPr>
      <w:r w:rsidRPr="00AC6337">
        <w:t xml:space="preserve">Program </w:t>
      </w:r>
      <w:r w:rsidR="003C0FAF">
        <w:t xml:space="preserve">5.3 </w:t>
      </w:r>
      <w:r w:rsidR="004C20A3">
        <w:t>key performance i</w:t>
      </w:r>
      <w:r w:rsidR="008C1CA1">
        <w:t>ndicators</w:t>
      </w:r>
    </w:p>
    <w:p w:rsidR="00C761B1" w:rsidRPr="0093504A" w:rsidRDefault="00C761B1" w:rsidP="0080198B">
      <w:pPr>
        <w:pStyle w:val="Heading8"/>
      </w:pPr>
      <w:r w:rsidRPr="0093504A">
        <w:t>Carer Allowa</w:t>
      </w:r>
      <w:r w:rsidRPr="0080198B">
        <w:t>n</w:t>
      </w:r>
      <w:r w:rsidRPr="0093504A">
        <w:t>ce (Adult and Child)</w:t>
      </w:r>
    </w:p>
    <w:p w:rsidR="00C761B1" w:rsidRDefault="00C761B1" w:rsidP="00C5520A">
      <w:pPr>
        <w:pStyle w:val="BulletBox"/>
      </w:pPr>
      <w:r>
        <w:t>Number of recipients</w:t>
      </w:r>
    </w:p>
    <w:p w:rsidR="00C761B1" w:rsidRDefault="00C761B1" w:rsidP="00C5520A">
      <w:pPr>
        <w:pStyle w:val="BulletBox"/>
      </w:pPr>
      <w:r>
        <w:t>Administered outlays</w:t>
      </w:r>
    </w:p>
    <w:p w:rsidR="00C761B1" w:rsidRDefault="00C761B1" w:rsidP="00C5520A">
      <w:pPr>
        <w:pStyle w:val="BulletBox"/>
      </w:pPr>
      <w:r>
        <w:t>Payment accuracy</w:t>
      </w:r>
    </w:p>
    <w:p w:rsidR="00C761B1" w:rsidRDefault="00C761B1" w:rsidP="00C5520A">
      <w:pPr>
        <w:pStyle w:val="BulletBox"/>
      </w:pPr>
      <w:r w:rsidRPr="00C6620B">
        <w:t>Agreements are in place</w:t>
      </w:r>
      <w:r>
        <w:t xml:space="preserve"> with all service delivery agencies</w:t>
      </w:r>
    </w:p>
    <w:p w:rsidR="00C761B1" w:rsidRDefault="00C761B1" w:rsidP="00C5520A">
      <w:pPr>
        <w:pStyle w:val="BulletBox"/>
      </w:pPr>
      <w:r>
        <w:t>Strategies are in place to ensure that the requirements are fulfilled under agreements with service delivery agencies</w:t>
      </w:r>
    </w:p>
    <w:p w:rsidR="00C761B1" w:rsidRDefault="00C761B1" w:rsidP="00C5520A">
      <w:pPr>
        <w:pStyle w:val="BulletBox"/>
      </w:pPr>
      <w:r>
        <w:t>Percentage and number of primary carers who are receiving payment</w:t>
      </w:r>
      <w:r w:rsidR="00FD3FD5">
        <w:rPr>
          <w:rStyle w:val="FootnoteReference"/>
        </w:rPr>
        <w:footnoteReference w:id="20"/>
      </w:r>
      <w:r>
        <w:t xml:space="preserve"> </w:t>
      </w:r>
    </w:p>
    <w:p w:rsidR="00C761B1" w:rsidRPr="0093504A" w:rsidRDefault="00C761B1" w:rsidP="0080198B">
      <w:pPr>
        <w:pStyle w:val="Heading8"/>
      </w:pPr>
      <w:r w:rsidRPr="0093504A">
        <w:t>Carer Payment</w:t>
      </w:r>
    </w:p>
    <w:p w:rsidR="00C761B1" w:rsidRDefault="00C761B1" w:rsidP="00C5520A">
      <w:pPr>
        <w:pStyle w:val="BulletBox"/>
      </w:pPr>
      <w:r>
        <w:t>Number of recipients</w:t>
      </w:r>
    </w:p>
    <w:p w:rsidR="00C761B1" w:rsidRDefault="00C761B1" w:rsidP="00C5520A">
      <w:pPr>
        <w:pStyle w:val="BulletBox"/>
      </w:pPr>
      <w:r>
        <w:t>Administered outlays</w:t>
      </w:r>
    </w:p>
    <w:p w:rsidR="00C761B1" w:rsidRDefault="00C761B1" w:rsidP="00C5520A">
      <w:pPr>
        <w:pStyle w:val="BulletBox"/>
      </w:pPr>
      <w:r>
        <w:t>Payment accuracy</w:t>
      </w:r>
    </w:p>
    <w:p w:rsidR="00C761B1" w:rsidRDefault="00C761B1" w:rsidP="00C5520A">
      <w:pPr>
        <w:pStyle w:val="BulletBox"/>
      </w:pPr>
      <w:r w:rsidRPr="00C6620B">
        <w:t>Agreements are in place</w:t>
      </w:r>
      <w:r>
        <w:t xml:space="preserve"> with all service delivery agencies</w:t>
      </w:r>
    </w:p>
    <w:p w:rsidR="00C761B1" w:rsidRDefault="00C761B1" w:rsidP="00C5520A">
      <w:pPr>
        <w:pStyle w:val="BulletBox"/>
      </w:pPr>
      <w:r>
        <w:t>Strategies are in place to ensure that the requirements are fulfilled under agreements with service delivery agencies</w:t>
      </w:r>
    </w:p>
    <w:p w:rsidR="00C761B1" w:rsidRDefault="00C761B1" w:rsidP="00C5520A">
      <w:pPr>
        <w:pStyle w:val="BulletBox"/>
      </w:pPr>
      <w:r>
        <w:t>Percentage and number of primary ca</w:t>
      </w:r>
      <w:r w:rsidR="00FD3FD5">
        <w:t>rers who are receiving payment</w:t>
      </w:r>
      <w:r w:rsidR="00FD3FD5">
        <w:rPr>
          <w:rStyle w:val="FootnoteReference"/>
        </w:rPr>
        <w:footnoteReference w:id="21"/>
      </w:r>
    </w:p>
    <w:p w:rsidR="00C761B1" w:rsidRDefault="00C761B1" w:rsidP="00C5520A">
      <w:pPr>
        <w:pStyle w:val="BulletBox"/>
      </w:pPr>
      <w:r>
        <w:t>Percentage and number of recipients reporting employment income</w:t>
      </w:r>
    </w:p>
    <w:p w:rsidR="00C761B1" w:rsidRDefault="00C761B1" w:rsidP="00C5520A">
      <w:pPr>
        <w:pStyle w:val="BulletBox"/>
      </w:pPr>
      <w:r>
        <w:t xml:space="preserve">Percentage and number of recipients on part rate due to the means test </w:t>
      </w:r>
    </w:p>
    <w:p w:rsidR="00C761B1" w:rsidRPr="0093504A" w:rsidRDefault="00C761B1" w:rsidP="0080198B">
      <w:pPr>
        <w:pStyle w:val="Heading8"/>
      </w:pPr>
      <w:r w:rsidRPr="0093504A">
        <w:t>Child Disability Assistance Payment</w:t>
      </w:r>
    </w:p>
    <w:p w:rsidR="00C761B1" w:rsidRDefault="00C761B1" w:rsidP="00C5520A">
      <w:pPr>
        <w:pStyle w:val="BulletBox"/>
      </w:pPr>
      <w:r>
        <w:t>Number of recipients</w:t>
      </w:r>
    </w:p>
    <w:p w:rsidR="00C761B1" w:rsidRDefault="00C761B1" w:rsidP="00C5520A">
      <w:pPr>
        <w:pStyle w:val="BulletBox"/>
      </w:pPr>
      <w:r>
        <w:t>Administered outlays</w:t>
      </w:r>
    </w:p>
    <w:p w:rsidR="00984352" w:rsidRDefault="00984352" w:rsidP="0080198B">
      <w:pPr>
        <w:pStyle w:val="Heading7"/>
      </w:pPr>
      <w:r>
        <w:br w:type="page"/>
      </w:r>
      <w:r w:rsidRPr="00984352">
        <w:lastRenderedPageBreak/>
        <w:t>Program 5.3 key performance indicators (continued)</w:t>
      </w:r>
    </w:p>
    <w:p w:rsidR="00C761B1" w:rsidRPr="0093504A" w:rsidRDefault="00C761B1" w:rsidP="0080198B">
      <w:pPr>
        <w:pStyle w:val="Heading8"/>
      </w:pPr>
      <w:r w:rsidRPr="0093504A">
        <w:t>Wife Pension (DSP)</w:t>
      </w:r>
    </w:p>
    <w:p w:rsidR="00C761B1" w:rsidRDefault="00C761B1" w:rsidP="00C5520A">
      <w:pPr>
        <w:pStyle w:val="BulletBox"/>
      </w:pPr>
      <w:r>
        <w:t>Number of recipients</w:t>
      </w:r>
    </w:p>
    <w:p w:rsidR="00C761B1" w:rsidRDefault="00C761B1" w:rsidP="00C5520A">
      <w:pPr>
        <w:pStyle w:val="BulletBox"/>
      </w:pPr>
      <w:r>
        <w:t>Administered outlays</w:t>
      </w:r>
    </w:p>
    <w:p w:rsidR="00C761B1" w:rsidRDefault="00C761B1" w:rsidP="00C5520A">
      <w:pPr>
        <w:pStyle w:val="BulletBox"/>
      </w:pPr>
      <w:r>
        <w:t>Percentage and number of recipients reporting employment income</w:t>
      </w:r>
    </w:p>
    <w:p w:rsidR="00C761B1" w:rsidRDefault="00C761B1" w:rsidP="00C5520A">
      <w:pPr>
        <w:pStyle w:val="BulletBox"/>
      </w:pPr>
      <w:r>
        <w:t>Percentage and number of recipients on part rate due to the means test</w:t>
      </w:r>
    </w:p>
    <w:p w:rsidR="0045251F" w:rsidRDefault="0045251F" w:rsidP="00C5520A">
      <w:pPr>
        <w:pStyle w:val="BulletBox"/>
      </w:pPr>
      <w:r>
        <w:t>Ratio of current number of Wife Pension (DSP) recipients to the number of Wife Pension (DSP) recipients at 1 July 1995</w:t>
      </w:r>
    </w:p>
    <w:p w:rsidR="00C761B1" w:rsidRPr="0093504A" w:rsidRDefault="00C761B1" w:rsidP="0080198B">
      <w:pPr>
        <w:pStyle w:val="Heading8"/>
      </w:pPr>
      <w:r w:rsidRPr="0093504A">
        <w:t>Carer Supplement</w:t>
      </w:r>
    </w:p>
    <w:p w:rsidR="00C761B1" w:rsidRDefault="00C761B1" w:rsidP="00C5520A">
      <w:pPr>
        <w:pStyle w:val="BulletBox"/>
      </w:pPr>
      <w:r>
        <w:t>Number of recipients</w:t>
      </w:r>
    </w:p>
    <w:p w:rsidR="00C761B1" w:rsidRPr="00C761B1" w:rsidRDefault="00C761B1" w:rsidP="00C5520A">
      <w:pPr>
        <w:pStyle w:val="BulletBox"/>
      </w:pPr>
      <w:r>
        <w:t>Administered outlays</w:t>
      </w:r>
    </w:p>
    <w:p w:rsidR="007452AA" w:rsidRPr="00AC6337" w:rsidRDefault="0080198B" w:rsidP="0080198B">
      <w:pPr>
        <w:pStyle w:val="Heading6"/>
      </w:pPr>
      <w:r>
        <w:rPr>
          <w:i/>
          <w:highlight w:val="yellow"/>
        </w:rPr>
        <w:br w:type="page"/>
      </w:r>
      <w:r w:rsidR="007452AA" w:rsidRPr="00F62A3A">
        <w:lastRenderedPageBreak/>
        <w:t>Program 5.4: Services and Support for People with Disability</w:t>
      </w:r>
      <w:r w:rsidR="007452AA" w:rsidRPr="00AC6337">
        <w:t xml:space="preserve"> </w:t>
      </w:r>
    </w:p>
    <w:p w:rsidR="00FD3FD5" w:rsidRDefault="00FD3FD5" w:rsidP="005703E9">
      <w:pPr>
        <w:pStyle w:val="SinglePara"/>
        <w:rPr>
          <w:lang w:val="en-GB"/>
        </w:rPr>
      </w:pPr>
    </w:p>
    <w:p w:rsidR="00FD3FD5" w:rsidRDefault="00FD3FD5" w:rsidP="0080198B">
      <w:pPr>
        <w:pStyle w:val="Heading7"/>
      </w:pPr>
      <w:r>
        <w:t xml:space="preserve">Program 5.4 </w:t>
      </w:r>
      <w:r w:rsidR="008F7C10">
        <w:t>o</w:t>
      </w:r>
      <w:r>
        <w:t>bjective</w:t>
      </w:r>
    </w:p>
    <w:p w:rsidR="00FD3FD5" w:rsidRDefault="00FD3FD5" w:rsidP="00FD3FD5">
      <w:pPr>
        <w:pStyle w:val="NormalBox"/>
      </w:pPr>
      <w:r>
        <w:t>To provide supported employment and improve access to information, advocacy and services for people with disability so they can develop their capabilities and actively participate in community and economic life.</w:t>
      </w:r>
    </w:p>
    <w:p w:rsidR="00FD3FD5" w:rsidRDefault="00FD3FD5" w:rsidP="0080198B">
      <w:pPr>
        <w:pStyle w:val="Heading7"/>
      </w:pPr>
      <w:r>
        <w:t xml:space="preserve">Program </w:t>
      </w:r>
      <w:r w:rsidR="008F7C10">
        <w:t>component objectives</w:t>
      </w:r>
    </w:p>
    <w:p w:rsidR="00FD3FD5" w:rsidRDefault="00FD3FD5" w:rsidP="0080198B">
      <w:pPr>
        <w:pStyle w:val="Heading8"/>
      </w:pPr>
      <w:r>
        <w:t>Services for People with Disability</w:t>
      </w:r>
    </w:p>
    <w:p w:rsidR="00FD3FD5" w:rsidRDefault="00FD3FD5" w:rsidP="00AE60FD">
      <w:pPr>
        <w:pStyle w:val="NormalBox"/>
        <w:pBdr>
          <w:between w:val="single" w:sz="2" w:space="3" w:color="auto"/>
        </w:pBdr>
      </w:pPr>
      <w:proofErr w:type="gramStart"/>
      <w:r>
        <w:t xml:space="preserve">To provide social support and community-based care for people with disability, their </w:t>
      </w:r>
      <w:proofErr w:type="spellStart"/>
      <w:r>
        <w:t>carers</w:t>
      </w:r>
      <w:proofErr w:type="spellEnd"/>
      <w:r>
        <w:t xml:space="preserve"> and their families, to promote independence, </w:t>
      </w:r>
      <w:r w:rsidR="00EC0845">
        <w:t>self-</w:t>
      </w:r>
      <w:r>
        <w:t>reliance and particip</w:t>
      </w:r>
      <w:r w:rsidR="007A6D3C">
        <w:t>ation in the community.</w:t>
      </w:r>
      <w:proofErr w:type="gramEnd"/>
    </w:p>
    <w:p w:rsidR="00AE60FD" w:rsidRDefault="00AE60FD" w:rsidP="007A6D3C">
      <w:pPr>
        <w:pStyle w:val="NormalBox"/>
      </w:pPr>
      <w:proofErr w:type="gramStart"/>
      <w:r>
        <w:t>Linked to: Disability employment services</w:t>
      </w:r>
      <w:r w:rsidR="007A6D3C">
        <w:t xml:space="preserve"> are managed</w:t>
      </w:r>
      <w:r>
        <w:t xml:space="preserve"> by DEEWR.</w:t>
      </w:r>
      <w:proofErr w:type="gramEnd"/>
      <w:r>
        <w:t xml:space="preserve"> For more information refer to DEEWR’s 2013</w:t>
      </w:r>
      <w:r w:rsidR="003549DF">
        <w:t>–</w:t>
      </w:r>
      <w:r w:rsidR="001D489D">
        <w:t>14</w:t>
      </w:r>
      <w:r>
        <w:t xml:space="preserve"> PB Statements.</w:t>
      </w:r>
    </w:p>
    <w:p w:rsidR="00483338" w:rsidRPr="004C2E7F" w:rsidRDefault="004C2E7F" w:rsidP="007A6D3C">
      <w:pPr>
        <w:pStyle w:val="NormalBox"/>
      </w:pPr>
      <w:r>
        <w:t>Also linked to: Program 5.6: National Disability Insurance Scheme.</w:t>
      </w:r>
    </w:p>
    <w:p w:rsidR="00AE60FD" w:rsidRDefault="0080198B" w:rsidP="0080198B">
      <w:pPr>
        <w:pStyle w:val="Heading7"/>
      </w:pPr>
      <w:r>
        <w:br w:type="page"/>
      </w:r>
      <w:r w:rsidR="00AE60FD">
        <w:lastRenderedPageBreak/>
        <w:t xml:space="preserve">Program 5.4 </w:t>
      </w:r>
      <w:r w:rsidR="008F7C10">
        <w:t>e</w:t>
      </w:r>
      <w:r w:rsidR="00AE60FD">
        <w:t>xpenses</w:t>
      </w:r>
    </w:p>
    <w:p w:rsidR="00603D17" w:rsidRDefault="00603D17" w:rsidP="00603D17">
      <w:pPr>
        <w:pStyle w:val="NormalBox"/>
      </w:pPr>
      <w:r>
        <w:t xml:space="preserve">The changes in program expenses across the forward years reflect projected changes in indexation parameters and the impact of policy initiatives. </w:t>
      </w:r>
    </w:p>
    <w:p w:rsidR="00293295" w:rsidRPr="00704365" w:rsidRDefault="00603D17" w:rsidP="00603D17">
      <w:pPr>
        <w:pStyle w:val="NormalBox"/>
      </w:pPr>
      <w:r>
        <w:t>These initiatives include a 2010 election commitment that provides $60 million over four years to June 2014 for capital grants to community and other organisations for the construction of 150 new supported accommodation and respite places for people with disability.</w:t>
      </w:r>
    </w:p>
    <w:p w:rsidR="007452AA" w:rsidRDefault="009B64C9" w:rsidP="000616CD">
      <w:pPr>
        <w:pStyle w:val="TableHeading"/>
        <w:rPr>
          <w:lang w:val="en-GB"/>
        </w:rPr>
      </w:pPr>
      <w:r>
        <w:rPr>
          <w:lang w:val="en-GB"/>
        </w:rPr>
        <w:t>Table 2.</w:t>
      </w:r>
      <w:r w:rsidR="007452AA">
        <w:rPr>
          <w:lang w:val="en-GB"/>
        </w:rPr>
        <w:t xml:space="preserve">5.4: </w:t>
      </w:r>
      <w:r w:rsidR="004B5D66">
        <w:rPr>
          <w:lang w:val="en-GB"/>
        </w:rPr>
        <w:t xml:space="preserve">Budgeted </w:t>
      </w:r>
      <w:r w:rsidR="008F7C10">
        <w:rPr>
          <w:lang w:val="en-GB"/>
        </w:rPr>
        <w:t>e</w:t>
      </w:r>
      <w:r w:rsidR="003C0FAF">
        <w:rPr>
          <w:lang w:val="en-GB"/>
        </w:rPr>
        <w:t xml:space="preserve">xpenses </w:t>
      </w:r>
      <w:r w:rsidR="004B5D66">
        <w:rPr>
          <w:lang w:val="en-GB"/>
        </w:rPr>
        <w:t>for Services and Support for People with Disability</w:t>
      </w:r>
    </w:p>
    <w:p w:rsidR="008C1F44" w:rsidRDefault="005A4CCD" w:rsidP="008C1F44">
      <w:pPr>
        <w:pStyle w:val="TableGraphic"/>
        <w:rPr>
          <w:lang w:val="en-GB"/>
        </w:rPr>
      </w:pPr>
      <w:r>
        <w:rPr>
          <w:noProof/>
        </w:rPr>
        <w:drawing>
          <wp:inline distT="0" distB="0" distL="0" distR="0" wp14:anchorId="36BC8C29" wp14:editId="7A59D795">
            <wp:extent cx="4878705" cy="3261980"/>
            <wp:effectExtent l="0" t="0" r="0" b="0"/>
            <wp:docPr id="168" name="Picture 168" descr="Table 2.5.4: Budgeted expenses for Services and Support for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78705" cy="3261980"/>
                    </a:xfrm>
                    <a:prstGeom prst="rect">
                      <a:avLst/>
                    </a:prstGeom>
                    <a:noFill/>
                    <a:ln>
                      <a:noFill/>
                    </a:ln>
                  </pic:spPr>
                </pic:pic>
              </a:graphicData>
            </a:graphic>
          </wp:inline>
        </w:drawing>
      </w:r>
    </w:p>
    <w:p w:rsidR="007452AA" w:rsidRDefault="0080198B" w:rsidP="0080198B">
      <w:pPr>
        <w:pStyle w:val="Heading7"/>
      </w:pPr>
      <w:r>
        <w:br w:type="page"/>
      </w:r>
      <w:r w:rsidR="007452AA" w:rsidRPr="00AC6337">
        <w:lastRenderedPageBreak/>
        <w:t xml:space="preserve">Program </w:t>
      </w:r>
      <w:r w:rsidR="003C0FAF">
        <w:t xml:space="preserve">5.4 </w:t>
      </w:r>
      <w:r w:rsidR="008F7C10">
        <w:t>d</w:t>
      </w:r>
      <w:r w:rsidR="003C0FAF" w:rsidRPr="00AC6337">
        <w:t xml:space="preserve">eliverables </w:t>
      </w:r>
    </w:p>
    <w:p w:rsidR="00AE60FD" w:rsidRDefault="00AE60FD" w:rsidP="00AE60FD">
      <w:pPr>
        <w:pStyle w:val="BulletBox"/>
      </w:pPr>
      <w:r>
        <w:t>Number of supported employees assisted by supported employment services</w:t>
      </w:r>
    </w:p>
    <w:p w:rsidR="00AE60FD" w:rsidRDefault="00AE60FD" w:rsidP="00AE60FD">
      <w:pPr>
        <w:pStyle w:val="BulletBox"/>
      </w:pPr>
      <w:r>
        <w:t>Number of carers of people with severe or profound disability assisted with short-term or immediate respite</w:t>
      </w:r>
    </w:p>
    <w:p w:rsidR="00AE60FD" w:rsidRDefault="00AE60FD" w:rsidP="00AE60FD">
      <w:pPr>
        <w:pStyle w:val="BulletBox"/>
      </w:pPr>
      <w:r>
        <w:t>Number of clients receiving Outside School Hours Care for Teenagers with Disability services</w:t>
      </w:r>
    </w:p>
    <w:p w:rsidR="00AE60FD" w:rsidRDefault="00AE60FD" w:rsidP="00AE60FD">
      <w:pPr>
        <w:pStyle w:val="BulletBox"/>
      </w:pPr>
      <w:r>
        <w:t>Number of people with disability provided with direct advocacy support</w:t>
      </w:r>
    </w:p>
    <w:p w:rsidR="00AE60FD" w:rsidRPr="00AE60FD" w:rsidRDefault="00AE60FD" w:rsidP="00AE60FD">
      <w:pPr>
        <w:pStyle w:val="BulletBox"/>
      </w:pPr>
      <w:r>
        <w:t>Number of new supported accommodation and respite places</w:t>
      </w:r>
    </w:p>
    <w:p w:rsidR="00AE60FD" w:rsidRDefault="00E32839" w:rsidP="00E32839">
      <w:pPr>
        <w:pStyle w:val="TableHeading"/>
      </w:pPr>
      <w:r>
        <w:t xml:space="preserve">Services and Support for People with Disability </w:t>
      </w:r>
      <w:r w:rsidR="008F7C10">
        <w:t>deliverables targets</w:t>
      </w:r>
      <w:r w:rsidR="006A008A" w:rsidRPr="0040773D">
        <w:rPr>
          <w:rStyle w:val="FootnoteReference"/>
          <w:b w:val="0"/>
        </w:rPr>
        <w:footnoteReference w:id="22"/>
      </w:r>
    </w:p>
    <w:tbl>
      <w:tblPr>
        <w:tblW w:w="7642" w:type="dxa"/>
        <w:tblInd w:w="28" w:type="dxa"/>
        <w:tblCellMar>
          <w:top w:w="17" w:type="dxa"/>
          <w:left w:w="28" w:type="dxa"/>
          <w:bottom w:w="17" w:type="dxa"/>
          <w:right w:w="28" w:type="dxa"/>
        </w:tblCellMar>
        <w:tblLook w:val="00A0" w:firstRow="1" w:lastRow="0" w:firstColumn="1" w:lastColumn="0" w:noHBand="0" w:noVBand="0"/>
        <w:tblDescription w:val="Services and Support for People with Disability deliverables targets "/>
      </w:tblPr>
      <w:tblGrid>
        <w:gridCol w:w="3107"/>
        <w:gridCol w:w="907"/>
        <w:gridCol w:w="907"/>
        <w:gridCol w:w="907"/>
        <w:gridCol w:w="907"/>
        <w:gridCol w:w="907"/>
      </w:tblGrid>
      <w:tr w:rsidR="00E32839" w:rsidRPr="00AE60FD" w:rsidTr="00483813">
        <w:tc>
          <w:tcPr>
            <w:tcW w:w="3107" w:type="dxa"/>
            <w:tcBorders>
              <w:top w:val="single" w:sz="4" w:space="0" w:color="auto"/>
              <w:left w:val="nil"/>
              <w:bottom w:val="single" w:sz="4" w:space="0" w:color="auto"/>
              <w:right w:val="nil"/>
            </w:tcBorders>
            <w:vAlign w:val="center"/>
          </w:tcPr>
          <w:p w:rsidR="00E32839" w:rsidRPr="006D2B67" w:rsidRDefault="00E32839" w:rsidP="006D2B67">
            <w:pPr>
              <w:spacing w:beforeLines="60" w:before="144" w:after="60" w:line="240" w:lineRule="auto"/>
              <w:jc w:val="left"/>
              <w:rPr>
                <w:rFonts w:ascii="Arial" w:hAnsi="Arial" w:cs="Arial"/>
                <w:b/>
                <w:bCs/>
                <w:sz w:val="16"/>
                <w:szCs w:val="16"/>
              </w:rPr>
            </w:pPr>
          </w:p>
        </w:tc>
        <w:tc>
          <w:tcPr>
            <w:tcW w:w="907" w:type="dxa"/>
            <w:tcBorders>
              <w:top w:val="single" w:sz="4" w:space="0" w:color="auto"/>
              <w:left w:val="nil"/>
              <w:bottom w:val="single" w:sz="4" w:space="0" w:color="auto"/>
              <w:right w:val="nil"/>
            </w:tcBorders>
            <w:shd w:val="clear" w:color="000000" w:fill="FFFFFF"/>
            <w:noWrap/>
            <w:vAlign w:val="bottom"/>
          </w:tcPr>
          <w:p w:rsidR="00E32839" w:rsidRPr="00AE60FD" w:rsidRDefault="00E32839" w:rsidP="006D2B67">
            <w:pPr>
              <w:spacing w:before="60" w:after="60" w:line="240" w:lineRule="auto"/>
              <w:jc w:val="right"/>
              <w:rPr>
                <w:rFonts w:ascii="Arial" w:hAnsi="Arial" w:cs="Arial"/>
                <w:sz w:val="16"/>
                <w:szCs w:val="16"/>
              </w:rPr>
            </w:pPr>
            <w:r w:rsidRPr="00AE60FD">
              <w:rPr>
                <w:rFonts w:ascii="Arial" w:hAnsi="Arial" w:cs="Arial"/>
                <w:sz w:val="16"/>
                <w:szCs w:val="16"/>
              </w:rPr>
              <w:t>2012</w:t>
            </w:r>
            <w:r>
              <w:rPr>
                <w:rFonts w:ascii="Arial" w:hAnsi="Arial" w:cs="Arial"/>
                <w:sz w:val="16"/>
                <w:szCs w:val="16"/>
              </w:rPr>
              <w:t>–13</w:t>
            </w:r>
            <w:r w:rsidRPr="00AE60FD">
              <w:rPr>
                <w:rFonts w:ascii="Arial" w:hAnsi="Arial" w:cs="Arial"/>
                <w:sz w:val="16"/>
                <w:szCs w:val="16"/>
              </w:rPr>
              <w:t xml:space="preserve"> Revised Budget</w:t>
            </w:r>
          </w:p>
        </w:tc>
        <w:tc>
          <w:tcPr>
            <w:tcW w:w="907" w:type="dxa"/>
            <w:tcBorders>
              <w:top w:val="single" w:sz="4" w:space="0" w:color="auto"/>
              <w:left w:val="nil"/>
              <w:bottom w:val="single" w:sz="4" w:space="0" w:color="auto"/>
              <w:right w:val="nil"/>
            </w:tcBorders>
            <w:shd w:val="clear" w:color="000000" w:fill="E6E6E6"/>
            <w:noWrap/>
          </w:tcPr>
          <w:p w:rsidR="00E32839" w:rsidRPr="00AE60FD" w:rsidRDefault="00E32839" w:rsidP="006D2B67">
            <w:pPr>
              <w:spacing w:before="60" w:after="60" w:line="240" w:lineRule="auto"/>
              <w:jc w:val="right"/>
              <w:rPr>
                <w:rFonts w:ascii="Arial" w:hAnsi="Arial" w:cs="Arial"/>
                <w:sz w:val="16"/>
                <w:szCs w:val="16"/>
              </w:rPr>
            </w:pPr>
            <w:r w:rsidRPr="00AE60FD">
              <w:rPr>
                <w:rFonts w:ascii="Arial" w:hAnsi="Arial" w:cs="Arial"/>
                <w:sz w:val="16"/>
                <w:szCs w:val="16"/>
              </w:rPr>
              <w:t>2013</w:t>
            </w:r>
            <w:r>
              <w:rPr>
                <w:rFonts w:ascii="Arial" w:hAnsi="Arial" w:cs="Arial"/>
                <w:sz w:val="16"/>
                <w:szCs w:val="16"/>
              </w:rPr>
              <w:t>–14</w:t>
            </w:r>
            <w:r w:rsidRPr="00AE60FD">
              <w:rPr>
                <w:rFonts w:ascii="Arial" w:hAnsi="Arial" w:cs="Arial"/>
                <w:sz w:val="16"/>
                <w:szCs w:val="16"/>
              </w:rPr>
              <w:t xml:space="preserve"> Budget</w:t>
            </w:r>
          </w:p>
        </w:tc>
        <w:tc>
          <w:tcPr>
            <w:tcW w:w="907" w:type="dxa"/>
            <w:tcBorders>
              <w:top w:val="single" w:sz="4" w:space="0" w:color="auto"/>
              <w:left w:val="nil"/>
              <w:bottom w:val="single" w:sz="4" w:space="0" w:color="auto"/>
              <w:right w:val="nil"/>
            </w:tcBorders>
            <w:shd w:val="clear" w:color="000000" w:fill="FFFFFF"/>
            <w:noWrap/>
            <w:vAlign w:val="bottom"/>
          </w:tcPr>
          <w:p w:rsidR="00E32839" w:rsidRPr="00AE60FD" w:rsidRDefault="00E32839" w:rsidP="006D2B67">
            <w:pPr>
              <w:spacing w:before="60" w:after="60" w:line="240" w:lineRule="auto"/>
              <w:jc w:val="right"/>
              <w:rPr>
                <w:rFonts w:ascii="Arial" w:hAnsi="Arial" w:cs="Arial"/>
                <w:sz w:val="16"/>
                <w:szCs w:val="16"/>
              </w:rPr>
            </w:pPr>
            <w:r w:rsidRPr="00AE60FD">
              <w:rPr>
                <w:rFonts w:ascii="Arial" w:hAnsi="Arial" w:cs="Arial"/>
                <w:sz w:val="16"/>
                <w:szCs w:val="16"/>
              </w:rPr>
              <w:t>2014</w:t>
            </w:r>
            <w:r>
              <w:rPr>
                <w:rFonts w:ascii="Arial" w:hAnsi="Arial" w:cs="Arial"/>
                <w:sz w:val="16"/>
                <w:szCs w:val="16"/>
              </w:rPr>
              <w:t>–15</w:t>
            </w:r>
            <w:r w:rsidRPr="00AE60FD">
              <w:rPr>
                <w:rFonts w:ascii="Arial" w:hAnsi="Arial" w:cs="Arial"/>
                <w:sz w:val="16"/>
                <w:szCs w:val="16"/>
              </w:rPr>
              <w:t xml:space="preserve"> Forward year 1</w:t>
            </w:r>
          </w:p>
        </w:tc>
        <w:tc>
          <w:tcPr>
            <w:tcW w:w="907" w:type="dxa"/>
            <w:tcBorders>
              <w:top w:val="single" w:sz="4" w:space="0" w:color="auto"/>
              <w:left w:val="nil"/>
              <w:bottom w:val="single" w:sz="4" w:space="0" w:color="auto"/>
              <w:right w:val="nil"/>
            </w:tcBorders>
            <w:shd w:val="clear" w:color="000000" w:fill="FFFFFF"/>
            <w:noWrap/>
            <w:vAlign w:val="bottom"/>
          </w:tcPr>
          <w:p w:rsidR="00E32839" w:rsidRPr="00AE60FD" w:rsidRDefault="00E32839" w:rsidP="006D2B67">
            <w:pPr>
              <w:spacing w:before="60" w:after="60" w:line="240" w:lineRule="auto"/>
              <w:jc w:val="right"/>
              <w:rPr>
                <w:rFonts w:ascii="Arial" w:hAnsi="Arial" w:cs="Arial"/>
                <w:sz w:val="16"/>
                <w:szCs w:val="16"/>
              </w:rPr>
            </w:pPr>
            <w:r w:rsidRPr="00AE60FD">
              <w:rPr>
                <w:rFonts w:ascii="Arial" w:hAnsi="Arial" w:cs="Arial"/>
                <w:sz w:val="16"/>
                <w:szCs w:val="16"/>
              </w:rPr>
              <w:t>2015</w:t>
            </w:r>
            <w:r>
              <w:rPr>
                <w:rFonts w:ascii="Arial" w:hAnsi="Arial" w:cs="Arial"/>
                <w:sz w:val="16"/>
                <w:szCs w:val="16"/>
              </w:rPr>
              <w:t>–16</w:t>
            </w:r>
            <w:r w:rsidRPr="00AE60FD">
              <w:rPr>
                <w:rFonts w:ascii="Arial" w:hAnsi="Arial" w:cs="Arial"/>
                <w:sz w:val="16"/>
                <w:szCs w:val="16"/>
              </w:rPr>
              <w:t xml:space="preserve"> Forward year 2</w:t>
            </w:r>
          </w:p>
        </w:tc>
        <w:tc>
          <w:tcPr>
            <w:tcW w:w="907" w:type="dxa"/>
            <w:tcBorders>
              <w:top w:val="single" w:sz="4" w:space="0" w:color="auto"/>
              <w:left w:val="nil"/>
              <w:bottom w:val="single" w:sz="4" w:space="0" w:color="auto"/>
              <w:right w:val="nil"/>
            </w:tcBorders>
            <w:shd w:val="clear" w:color="000000" w:fill="FFFFFF"/>
            <w:noWrap/>
            <w:vAlign w:val="bottom"/>
          </w:tcPr>
          <w:p w:rsidR="00E32839" w:rsidRPr="00AE60FD" w:rsidRDefault="00E32839" w:rsidP="006D2B67">
            <w:pPr>
              <w:spacing w:before="60" w:after="60" w:line="240" w:lineRule="auto"/>
              <w:jc w:val="right"/>
              <w:rPr>
                <w:rFonts w:ascii="Arial" w:hAnsi="Arial" w:cs="Arial"/>
                <w:sz w:val="16"/>
                <w:szCs w:val="16"/>
              </w:rPr>
            </w:pPr>
            <w:r w:rsidRPr="00AE60FD">
              <w:rPr>
                <w:rFonts w:ascii="Arial" w:hAnsi="Arial" w:cs="Arial"/>
                <w:sz w:val="16"/>
                <w:szCs w:val="16"/>
              </w:rPr>
              <w:t>2016</w:t>
            </w:r>
            <w:r>
              <w:rPr>
                <w:rFonts w:ascii="Arial" w:hAnsi="Arial" w:cs="Arial"/>
                <w:sz w:val="16"/>
                <w:szCs w:val="16"/>
              </w:rPr>
              <w:t>–17</w:t>
            </w:r>
            <w:r w:rsidRPr="00AE60FD">
              <w:rPr>
                <w:rFonts w:ascii="Arial" w:hAnsi="Arial" w:cs="Arial"/>
                <w:sz w:val="16"/>
                <w:szCs w:val="16"/>
              </w:rPr>
              <w:t xml:space="preserve"> Forward year 3</w:t>
            </w:r>
          </w:p>
        </w:tc>
      </w:tr>
      <w:tr w:rsidR="00E32839" w:rsidRPr="00AE60FD" w:rsidTr="00385969">
        <w:trPr>
          <w:trHeight w:val="223"/>
        </w:trPr>
        <w:tc>
          <w:tcPr>
            <w:tcW w:w="3107" w:type="dxa"/>
            <w:tcBorders>
              <w:top w:val="nil"/>
              <w:left w:val="nil"/>
              <w:bottom w:val="nil"/>
              <w:right w:val="nil"/>
            </w:tcBorders>
          </w:tcPr>
          <w:p w:rsidR="00E32839" w:rsidRPr="00AE60FD" w:rsidRDefault="00E32839" w:rsidP="001205C8">
            <w:pPr>
              <w:spacing w:before="60" w:after="0" w:line="240" w:lineRule="auto"/>
              <w:jc w:val="left"/>
              <w:rPr>
                <w:rFonts w:ascii="Arial" w:hAnsi="Arial" w:cs="Arial"/>
                <w:sz w:val="16"/>
                <w:szCs w:val="16"/>
              </w:rPr>
            </w:pPr>
            <w:r w:rsidRPr="00AE60FD">
              <w:rPr>
                <w:rFonts w:ascii="Arial" w:hAnsi="Arial" w:cs="Arial"/>
                <w:sz w:val="16"/>
                <w:szCs w:val="16"/>
              </w:rPr>
              <w:t>Number of supported employees assisted by supported employment services</w:t>
            </w:r>
            <w:r>
              <w:rPr>
                <w:rStyle w:val="FootnoteReference"/>
                <w:rFonts w:ascii="Arial" w:hAnsi="Arial" w:cs="Arial"/>
                <w:sz w:val="16"/>
                <w:szCs w:val="16"/>
              </w:rPr>
              <w:footnoteReference w:id="23"/>
            </w:r>
          </w:p>
        </w:tc>
        <w:tc>
          <w:tcPr>
            <w:tcW w:w="907" w:type="dxa"/>
            <w:tcBorders>
              <w:top w:val="nil"/>
              <w:left w:val="nil"/>
              <w:bottom w:val="nil"/>
              <w:right w:val="nil"/>
            </w:tcBorders>
            <w:vAlign w:val="bottom"/>
          </w:tcPr>
          <w:p w:rsidR="00E32839" w:rsidRPr="00AE60FD" w:rsidRDefault="00E32839" w:rsidP="001205C8">
            <w:pPr>
              <w:spacing w:before="60" w:after="0" w:line="240" w:lineRule="auto"/>
              <w:jc w:val="right"/>
              <w:rPr>
                <w:rFonts w:ascii="Arial" w:hAnsi="Arial" w:cs="Arial"/>
                <w:sz w:val="16"/>
                <w:szCs w:val="16"/>
              </w:rPr>
            </w:pPr>
            <w:r w:rsidRPr="00AE60FD">
              <w:rPr>
                <w:rFonts w:ascii="Arial" w:hAnsi="Arial" w:cs="Arial"/>
                <w:sz w:val="16"/>
                <w:szCs w:val="16"/>
              </w:rPr>
              <w:t>22,500</w:t>
            </w:r>
          </w:p>
        </w:tc>
        <w:tc>
          <w:tcPr>
            <w:tcW w:w="907" w:type="dxa"/>
            <w:tcBorders>
              <w:top w:val="nil"/>
              <w:left w:val="nil"/>
              <w:bottom w:val="nil"/>
              <w:right w:val="nil"/>
            </w:tcBorders>
            <w:shd w:val="clear" w:color="000000" w:fill="E6E6E6"/>
            <w:vAlign w:val="bottom"/>
          </w:tcPr>
          <w:p w:rsidR="00E32839" w:rsidRPr="00AE60FD" w:rsidRDefault="00E32839" w:rsidP="001205C8">
            <w:pPr>
              <w:spacing w:before="60" w:after="0" w:line="240" w:lineRule="auto"/>
              <w:jc w:val="right"/>
              <w:rPr>
                <w:rFonts w:ascii="Arial" w:hAnsi="Arial" w:cs="Arial"/>
                <w:sz w:val="16"/>
                <w:szCs w:val="16"/>
              </w:rPr>
            </w:pPr>
            <w:r w:rsidRPr="00AE60FD">
              <w:rPr>
                <w:rFonts w:ascii="Arial" w:hAnsi="Arial" w:cs="Arial"/>
                <w:sz w:val="16"/>
                <w:szCs w:val="16"/>
              </w:rPr>
              <w:t>2</w:t>
            </w:r>
            <w:r w:rsidR="008A2397">
              <w:rPr>
                <w:rFonts w:ascii="Arial" w:hAnsi="Arial" w:cs="Arial"/>
                <w:sz w:val="16"/>
                <w:szCs w:val="16"/>
              </w:rPr>
              <w:t>1</w:t>
            </w:r>
            <w:r w:rsidRPr="00AE60FD">
              <w:rPr>
                <w:rFonts w:ascii="Arial" w:hAnsi="Arial" w:cs="Arial"/>
                <w:sz w:val="16"/>
                <w:szCs w:val="16"/>
              </w:rPr>
              <w:t>,</w:t>
            </w:r>
            <w:r>
              <w:rPr>
                <w:rFonts w:ascii="Arial" w:hAnsi="Arial" w:cs="Arial"/>
                <w:sz w:val="16"/>
                <w:szCs w:val="16"/>
              </w:rPr>
              <w:t>0</w:t>
            </w:r>
            <w:r w:rsidRPr="00AE60FD">
              <w:rPr>
                <w:rFonts w:ascii="Arial" w:hAnsi="Arial" w:cs="Arial"/>
                <w:sz w:val="16"/>
                <w:szCs w:val="16"/>
              </w:rPr>
              <w:t>00</w:t>
            </w:r>
          </w:p>
        </w:tc>
        <w:tc>
          <w:tcPr>
            <w:tcW w:w="907" w:type="dxa"/>
            <w:tcBorders>
              <w:top w:val="nil"/>
              <w:left w:val="nil"/>
              <w:bottom w:val="nil"/>
              <w:right w:val="nil"/>
            </w:tcBorders>
            <w:vAlign w:val="bottom"/>
          </w:tcPr>
          <w:p w:rsidR="00E32839" w:rsidRPr="00AE60FD" w:rsidRDefault="00E32839" w:rsidP="001205C8">
            <w:pPr>
              <w:spacing w:before="60" w:after="0" w:line="240" w:lineRule="auto"/>
              <w:jc w:val="right"/>
              <w:rPr>
                <w:rFonts w:ascii="Arial" w:hAnsi="Arial" w:cs="Arial"/>
                <w:sz w:val="16"/>
                <w:szCs w:val="16"/>
              </w:rPr>
            </w:pPr>
            <w:r w:rsidRPr="00AE60FD">
              <w:rPr>
                <w:rFonts w:ascii="Arial" w:hAnsi="Arial" w:cs="Arial"/>
                <w:sz w:val="16"/>
                <w:szCs w:val="16"/>
              </w:rPr>
              <w:t>2</w:t>
            </w:r>
            <w:r w:rsidR="008A2397">
              <w:rPr>
                <w:rFonts w:ascii="Arial" w:hAnsi="Arial" w:cs="Arial"/>
                <w:sz w:val="16"/>
                <w:szCs w:val="16"/>
              </w:rPr>
              <w:t>1</w:t>
            </w:r>
            <w:r w:rsidRPr="00AE60FD">
              <w:rPr>
                <w:rFonts w:ascii="Arial" w:hAnsi="Arial" w:cs="Arial"/>
                <w:sz w:val="16"/>
                <w:szCs w:val="16"/>
              </w:rPr>
              <w:t>,</w:t>
            </w:r>
            <w:r>
              <w:rPr>
                <w:rFonts w:ascii="Arial" w:hAnsi="Arial" w:cs="Arial"/>
                <w:sz w:val="16"/>
                <w:szCs w:val="16"/>
              </w:rPr>
              <w:t>0</w:t>
            </w:r>
            <w:r w:rsidRPr="00AE60FD">
              <w:rPr>
                <w:rFonts w:ascii="Arial" w:hAnsi="Arial" w:cs="Arial"/>
                <w:sz w:val="16"/>
                <w:szCs w:val="16"/>
              </w:rPr>
              <w:t>00</w:t>
            </w:r>
          </w:p>
        </w:tc>
        <w:tc>
          <w:tcPr>
            <w:tcW w:w="907" w:type="dxa"/>
            <w:tcBorders>
              <w:top w:val="nil"/>
              <w:left w:val="nil"/>
              <w:bottom w:val="nil"/>
              <w:right w:val="nil"/>
            </w:tcBorders>
            <w:vAlign w:val="bottom"/>
          </w:tcPr>
          <w:p w:rsidR="00E32839" w:rsidRPr="00AE60FD" w:rsidRDefault="008A2397" w:rsidP="001205C8">
            <w:pPr>
              <w:spacing w:before="60" w:after="0" w:line="240" w:lineRule="auto"/>
              <w:jc w:val="right"/>
              <w:rPr>
                <w:rFonts w:ascii="Arial" w:hAnsi="Arial" w:cs="Arial"/>
                <w:sz w:val="16"/>
                <w:szCs w:val="16"/>
              </w:rPr>
            </w:pPr>
            <w:r w:rsidRPr="00AE60FD">
              <w:rPr>
                <w:rFonts w:ascii="Arial" w:hAnsi="Arial" w:cs="Arial"/>
                <w:sz w:val="16"/>
                <w:szCs w:val="16"/>
              </w:rPr>
              <w:t>2</w:t>
            </w:r>
            <w:r>
              <w:rPr>
                <w:rFonts w:ascii="Arial" w:hAnsi="Arial" w:cs="Arial"/>
                <w:sz w:val="16"/>
                <w:szCs w:val="16"/>
              </w:rPr>
              <w:t>1</w:t>
            </w:r>
            <w:r w:rsidRPr="00AE60FD">
              <w:rPr>
                <w:rFonts w:ascii="Arial" w:hAnsi="Arial" w:cs="Arial"/>
                <w:sz w:val="16"/>
                <w:szCs w:val="16"/>
              </w:rPr>
              <w:t>,</w:t>
            </w:r>
            <w:r>
              <w:rPr>
                <w:rFonts w:ascii="Arial" w:hAnsi="Arial" w:cs="Arial"/>
                <w:sz w:val="16"/>
                <w:szCs w:val="16"/>
              </w:rPr>
              <w:t>0</w:t>
            </w:r>
            <w:r w:rsidRPr="00AE60FD">
              <w:rPr>
                <w:rFonts w:ascii="Arial" w:hAnsi="Arial" w:cs="Arial"/>
                <w:sz w:val="16"/>
                <w:szCs w:val="16"/>
              </w:rPr>
              <w:t>00</w:t>
            </w:r>
          </w:p>
        </w:tc>
        <w:tc>
          <w:tcPr>
            <w:tcW w:w="907" w:type="dxa"/>
            <w:tcBorders>
              <w:top w:val="nil"/>
              <w:left w:val="nil"/>
              <w:bottom w:val="nil"/>
              <w:right w:val="nil"/>
            </w:tcBorders>
            <w:vAlign w:val="bottom"/>
          </w:tcPr>
          <w:p w:rsidR="00E32839" w:rsidRPr="00AE60FD" w:rsidRDefault="008A2397" w:rsidP="001205C8">
            <w:pPr>
              <w:spacing w:before="60" w:after="0" w:line="240" w:lineRule="auto"/>
              <w:jc w:val="right"/>
              <w:rPr>
                <w:rFonts w:ascii="Arial" w:hAnsi="Arial" w:cs="Arial"/>
                <w:sz w:val="16"/>
                <w:szCs w:val="16"/>
              </w:rPr>
            </w:pPr>
            <w:r w:rsidRPr="00AE60FD">
              <w:rPr>
                <w:rFonts w:ascii="Arial" w:hAnsi="Arial" w:cs="Arial"/>
                <w:sz w:val="16"/>
                <w:szCs w:val="16"/>
              </w:rPr>
              <w:t>2</w:t>
            </w:r>
            <w:r>
              <w:rPr>
                <w:rFonts w:ascii="Arial" w:hAnsi="Arial" w:cs="Arial"/>
                <w:sz w:val="16"/>
                <w:szCs w:val="16"/>
              </w:rPr>
              <w:t>1</w:t>
            </w:r>
            <w:r w:rsidRPr="00AE60FD">
              <w:rPr>
                <w:rFonts w:ascii="Arial" w:hAnsi="Arial" w:cs="Arial"/>
                <w:sz w:val="16"/>
                <w:szCs w:val="16"/>
              </w:rPr>
              <w:t>,</w:t>
            </w:r>
            <w:r>
              <w:rPr>
                <w:rFonts w:ascii="Arial" w:hAnsi="Arial" w:cs="Arial"/>
                <w:sz w:val="16"/>
                <w:szCs w:val="16"/>
              </w:rPr>
              <w:t>0</w:t>
            </w:r>
            <w:r w:rsidRPr="00AE60FD">
              <w:rPr>
                <w:rFonts w:ascii="Arial" w:hAnsi="Arial" w:cs="Arial"/>
                <w:sz w:val="16"/>
                <w:szCs w:val="16"/>
              </w:rPr>
              <w:t>00</w:t>
            </w:r>
          </w:p>
        </w:tc>
      </w:tr>
      <w:tr w:rsidR="00E32839" w:rsidRPr="00AE60FD" w:rsidTr="00385969">
        <w:trPr>
          <w:trHeight w:val="223"/>
        </w:trPr>
        <w:tc>
          <w:tcPr>
            <w:tcW w:w="3107" w:type="dxa"/>
            <w:tcBorders>
              <w:top w:val="nil"/>
              <w:left w:val="nil"/>
              <w:bottom w:val="nil"/>
              <w:right w:val="nil"/>
            </w:tcBorders>
          </w:tcPr>
          <w:p w:rsidR="00E32839" w:rsidRPr="00AE60FD" w:rsidRDefault="00E32839" w:rsidP="001205C8">
            <w:pPr>
              <w:spacing w:before="60" w:after="0" w:line="240" w:lineRule="auto"/>
              <w:jc w:val="left"/>
              <w:rPr>
                <w:rFonts w:ascii="Arial" w:hAnsi="Arial" w:cs="Arial"/>
                <w:i/>
                <w:iCs/>
                <w:sz w:val="16"/>
                <w:szCs w:val="16"/>
              </w:rPr>
            </w:pPr>
            <w:r w:rsidRPr="00AE60FD">
              <w:rPr>
                <w:rFonts w:ascii="Arial" w:hAnsi="Arial" w:cs="Arial"/>
                <w:sz w:val="16"/>
                <w:szCs w:val="16"/>
              </w:rPr>
              <w:t xml:space="preserve">Number of carers of people with severe or profound disability assisted with short-term or immediate respite </w:t>
            </w:r>
          </w:p>
        </w:tc>
        <w:tc>
          <w:tcPr>
            <w:tcW w:w="907" w:type="dxa"/>
            <w:tcBorders>
              <w:top w:val="nil"/>
              <w:left w:val="nil"/>
              <w:bottom w:val="nil"/>
              <w:right w:val="nil"/>
            </w:tcBorders>
            <w:vAlign w:val="bottom"/>
          </w:tcPr>
          <w:p w:rsidR="00E32839" w:rsidRPr="00AE60FD" w:rsidRDefault="00E32839" w:rsidP="001205C8">
            <w:pPr>
              <w:spacing w:before="60" w:after="0" w:line="240" w:lineRule="auto"/>
              <w:jc w:val="right"/>
              <w:rPr>
                <w:rFonts w:ascii="Arial" w:hAnsi="Arial" w:cs="Arial"/>
                <w:sz w:val="16"/>
                <w:szCs w:val="16"/>
              </w:rPr>
            </w:pPr>
            <w:r w:rsidRPr="00AE60FD">
              <w:rPr>
                <w:rFonts w:ascii="Arial" w:hAnsi="Arial" w:cs="Arial"/>
                <w:sz w:val="16"/>
                <w:szCs w:val="16"/>
              </w:rPr>
              <w:t>5,500</w:t>
            </w:r>
          </w:p>
        </w:tc>
        <w:tc>
          <w:tcPr>
            <w:tcW w:w="907" w:type="dxa"/>
            <w:tcBorders>
              <w:top w:val="nil"/>
              <w:left w:val="nil"/>
              <w:bottom w:val="nil"/>
              <w:right w:val="nil"/>
            </w:tcBorders>
            <w:shd w:val="clear" w:color="000000" w:fill="E6E6E6"/>
            <w:vAlign w:val="bottom"/>
          </w:tcPr>
          <w:p w:rsidR="00E32839" w:rsidRPr="00AE60FD" w:rsidRDefault="00E32839" w:rsidP="001205C8">
            <w:pPr>
              <w:spacing w:before="60" w:after="0" w:line="240" w:lineRule="auto"/>
              <w:jc w:val="right"/>
              <w:rPr>
                <w:rFonts w:ascii="Arial" w:hAnsi="Arial" w:cs="Arial"/>
                <w:sz w:val="16"/>
                <w:szCs w:val="16"/>
              </w:rPr>
            </w:pPr>
            <w:r w:rsidRPr="00AE60FD">
              <w:rPr>
                <w:rFonts w:ascii="Arial" w:hAnsi="Arial" w:cs="Arial"/>
                <w:sz w:val="16"/>
                <w:szCs w:val="16"/>
              </w:rPr>
              <w:t>5,500</w:t>
            </w:r>
          </w:p>
        </w:tc>
        <w:tc>
          <w:tcPr>
            <w:tcW w:w="907" w:type="dxa"/>
            <w:tcBorders>
              <w:top w:val="nil"/>
              <w:left w:val="nil"/>
              <w:bottom w:val="nil"/>
              <w:right w:val="nil"/>
            </w:tcBorders>
            <w:vAlign w:val="bottom"/>
          </w:tcPr>
          <w:p w:rsidR="00E32839" w:rsidRPr="00AE60FD" w:rsidRDefault="00E32839" w:rsidP="001205C8">
            <w:pPr>
              <w:spacing w:before="60" w:after="0" w:line="240" w:lineRule="auto"/>
              <w:jc w:val="right"/>
              <w:rPr>
                <w:rFonts w:ascii="Arial" w:hAnsi="Arial" w:cs="Arial"/>
                <w:sz w:val="16"/>
                <w:szCs w:val="16"/>
              </w:rPr>
            </w:pPr>
            <w:r w:rsidRPr="00AE60FD">
              <w:rPr>
                <w:rFonts w:ascii="Arial" w:hAnsi="Arial" w:cs="Arial"/>
                <w:sz w:val="16"/>
                <w:szCs w:val="16"/>
              </w:rPr>
              <w:t>5,500</w:t>
            </w:r>
          </w:p>
        </w:tc>
        <w:tc>
          <w:tcPr>
            <w:tcW w:w="907" w:type="dxa"/>
            <w:tcBorders>
              <w:top w:val="nil"/>
              <w:left w:val="nil"/>
              <w:bottom w:val="nil"/>
              <w:right w:val="nil"/>
            </w:tcBorders>
            <w:vAlign w:val="bottom"/>
          </w:tcPr>
          <w:p w:rsidR="00E32839" w:rsidRPr="00AE60FD" w:rsidRDefault="008A2397" w:rsidP="001205C8">
            <w:pPr>
              <w:spacing w:before="60" w:after="0" w:line="240" w:lineRule="auto"/>
              <w:jc w:val="right"/>
              <w:rPr>
                <w:rFonts w:ascii="Arial" w:hAnsi="Arial" w:cs="Arial"/>
                <w:sz w:val="16"/>
                <w:szCs w:val="16"/>
              </w:rPr>
            </w:pPr>
            <w:r w:rsidRPr="00AE60FD">
              <w:rPr>
                <w:rFonts w:ascii="Arial" w:hAnsi="Arial" w:cs="Arial"/>
                <w:sz w:val="16"/>
                <w:szCs w:val="16"/>
              </w:rPr>
              <w:t>5,500</w:t>
            </w:r>
          </w:p>
        </w:tc>
        <w:tc>
          <w:tcPr>
            <w:tcW w:w="907" w:type="dxa"/>
            <w:tcBorders>
              <w:top w:val="nil"/>
              <w:left w:val="nil"/>
              <w:bottom w:val="nil"/>
              <w:right w:val="nil"/>
            </w:tcBorders>
            <w:vAlign w:val="bottom"/>
          </w:tcPr>
          <w:p w:rsidR="00E32839" w:rsidRPr="00AE60FD" w:rsidRDefault="008A2397" w:rsidP="001205C8">
            <w:pPr>
              <w:spacing w:before="60" w:after="0" w:line="240" w:lineRule="auto"/>
              <w:jc w:val="right"/>
              <w:rPr>
                <w:rFonts w:ascii="Arial" w:hAnsi="Arial" w:cs="Arial"/>
                <w:sz w:val="16"/>
                <w:szCs w:val="16"/>
              </w:rPr>
            </w:pPr>
            <w:r w:rsidRPr="00AE60FD">
              <w:rPr>
                <w:rFonts w:ascii="Arial" w:hAnsi="Arial" w:cs="Arial"/>
                <w:sz w:val="16"/>
                <w:szCs w:val="16"/>
              </w:rPr>
              <w:t>5,500</w:t>
            </w:r>
          </w:p>
        </w:tc>
      </w:tr>
      <w:tr w:rsidR="00E32839" w:rsidRPr="00AE60FD" w:rsidTr="00385969">
        <w:trPr>
          <w:trHeight w:val="223"/>
        </w:trPr>
        <w:tc>
          <w:tcPr>
            <w:tcW w:w="3107" w:type="dxa"/>
            <w:tcBorders>
              <w:top w:val="nil"/>
              <w:left w:val="nil"/>
              <w:bottom w:val="nil"/>
              <w:right w:val="nil"/>
            </w:tcBorders>
            <w:noWrap/>
            <w:vAlign w:val="bottom"/>
          </w:tcPr>
          <w:p w:rsidR="00E32839" w:rsidRPr="00AE60FD" w:rsidRDefault="00E32839" w:rsidP="001205C8">
            <w:pPr>
              <w:spacing w:before="60" w:after="0" w:line="240" w:lineRule="auto"/>
              <w:jc w:val="left"/>
              <w:rPr>
                <w:rFonts w:ascii="Arial" w:hAnsi="Arial" w:cs="Arial"/>
                <w:b/>
                <w:bCs/>
                <w:sz w:val="16"/>
                <w:szCs w:val="16"/>
              </w:rPr>
            </w:pPr>
            <w:r w:rsidRPr="00AE60FD">
              <w:rPr>
                <w:rFonts w:ascii="Arial" w:hAnsi="Arial" w:cs="Arial"/>
                <w:sz w:val="16"/>
                <w:szCs w:val="16"/>
              </w:rPr>
              <w:t>Number of clients receiving Outside School Hours Care for Teenagers with Disability services</w:t>
            </w:r>
          </w:p>
        </w:tc>
        <w:tc>
          <w:tcPr>
            <w:tcW w:w="907" w:type="dxa"/>
            <w:tcBorders>
              <w:top w:val="nil"/>
              <w:left w:val="nil"/>
              <w:bottom w:val="nil"/>
              <w:right w:val="nil"/>
            </w:tcBorders>
            <w:noWrap/>
            <w:vAlign w:val="bottom"/>
          </w:tcPr>
          <w:p w:rsidR="00E32839" w:rsidRPr="00AE60FD" w:rsidRDefault="00E32839" w:rsidP="001205C8">
            <w:pPr>
              <w:spacing w:before="60" w:after="0" w:line="240" w:lineRule="auto"/>
              <w:jc w:val="right"/>
              <w:rPr>
                <w:rFonts w:ascii="Arial" w:hAnsi="Arial" w:cs="Arial"/>
                <w:bCs/>
                <w:sz w:val="16"/>
                <w:szCs w:val="16"/>
              </w:rPr>
            </w:pPr>
            <w:r w:rsidRPr="00AE60FD">
              <w:rPr>
                <w:rFonts w:ascii="Arial" w:hAnsi="Arial" w:cs="Arial"/>
                <w:bCs/>
                <w:sz w:val="16"/>
                <w:szCs w:val="16"/>
              </w:rPr>
              <w:t>1,800</w:t>
            </w:r>
          </w:p>
        </w:tc>
        <w:tc>
          <w:tcPr>
            <w:tcW w:w="907" w:type="dxa"/>
            <w:tcBorders>
              <w:top w:val="nil"/>
              <w:left w:val="nil"/>
              <w:bottom w:val="nil"/>
              <w:right w:val="nil"/>
            </w:tcBorders>
            <w:shd w:val="clear" w:color="000000" w:fill="E6E6E6"/>
            <w:noWrap/>
            <w:vAlign w:val="bottom"/>
          </w:tcPr>
          <w:p w:rsidR="00E32839" w:rsidRPr="00AE60FD" w:rsidRDefault="00E32839" w:rsidP="001205C8">
            <w:pPr>
              <w:spacing w:before="60" w:after="0" w:line="240" w:lineRule="auto"/>
              <w:jc w:val="right"/>
              <w:rPr>
                <w:rFonts w:ascii="Arial" w:hAnsi="Arial" w:cs="Arial"/>
                <w:bCs/>
                <w:sz w:val="16"/>
                <w:szCs w:val="16"/>
              </w:rPr>
            </w:pPr>
            <w:r w:rsidRPr="00AE60FD">
              <w:rPr>
                <w:rFonts w:ascii="Arial" w:hAnsi="Arial" w:cs="Arial"/>
                <w:bCs/>
                <w:sz w:val="16"/>
                <w:szCs w:val="16"/>
              </w:rPr>
              <w:t>1,800</w:t>
            </w:r>
          </w:p>
        </w:tc>
        <w:tc>
          <w:tcPr>
            <w:tcW w:w="907" w:type="dxa"/>
            <w:tcBorders>
              <w:top w:val="nil"/>
              <w:left w:val="nil"/>
              <w:bottom w:val="nil"/>
              <w:right w:val="nil"/>
            </w:tcBorders>
            <w:noWrap/>
            <w:vAlign w:val="bottom"/>
          </w:tcPr>
          <w:p w:rsidR="00E32839" w:rsidRPr="00AE60FD" w:rsidRDefault="00E32839" w:rsidP="001205C8">
            <w:pPr>
              <w:spacing w:before="60" w:after="0" w:line="240" w:lineRule="auto"/>
              <w:jc w:val="right"/>
              <w:rPr>
                <w:rFonts w:ascii="Arial" w:hAnsi="Arial" w:cs="Arial"/>
                <w:bCs/>
                <w:sz w:val="16"/>
                <w:szCs w:val="16"/>
              </w:rPr>
            </w:pPr>
            <w:r w:rsidRPr="00AE60FD">
              <w:rPr>
                <w:rFonts w:ascii="Arial" w:hAnsi="Arial" w:cs="Arial"/>
                <w:bCs/>
                <w:sz w:val="16"/>
                <w:szCs w:val="16"/>
              </w:rPr>
              <w:t>1,800</w:t>
            </w:r>
          </w:p>
        </w:tc>
        <w:tc>
          <w:tcPr>
            <w:tcW w:w="907" w:type="dxa"/>
            <w:tcBorders>
              <w:top w:val="nil"/>
              <w:left w:val="nil"/>
              <w:bottom w:val="nil"/>
              <w:right w:val="nil"/>
            </w:tcBorders>
            <w:noWrap/>
            <w:vAlign w:val="bottom"/>
          </w:tcPr>
          <w:p w:rsidR="00E32839" w:rsidRPr="00AE60FD" w:rsidRDefault="008A2397" w:rsidP="001205C8">
            <w:pPr>
              <w:spacing w:before="60" w:after="0" w:line="240" w:lineRule="auto"/>
              <w:jc w:val="right"/>
              <w:rPr>
                <w:rFonts w:ascii="Arial" w:hAnsi="Arial" w:cs="Arial"/>
                <w:bCs/>
                <w:sz w:val="16"/>
                <w:szCs w:val="16"/>
              </w:rPr>
            </w:pPr>
            <w:r w:rsidRPr="00AE60FD">
              <w:rPr>
                <w:rFonts w:ascii="Arial" w:hAnsi="Arial" w:cs="Arial"/>
                <w:bCs/>
                <w:sz w:val="16"/>
                <w:szCs w:val="16"/>
              </w:rPr>
              <w:t>1,800</w:t>
            </w:r>
          </w:p>
        </w:tc>
        <w:tc>
          <w:tcPr>
            <w:tcW w:w="907" w:type="dxa"/>
            <w:tcBorders>
              <w:top w:val="nil"/>
              <w:left w:val="nil"/>
              <w:bottom w:val="nil"/>
              <w:right w:val="nil"/>
            </w:tcBorders>
            <w:noWrap/>
            <w:vAlign w:val="bottom"/>
          </w:tcPr>
          <w:p w:rsidR="00E32839" w:rsidRPr="00AE60FD" w:rsidRDefault="008A2397" w:rsidP="001205C8">
            <w:pPr>
              <w:spacing w:before="60" w:after="0" w:line="240" w:lineRule="auto"/>
              <w:jc w:val="right"/>
              <w:rPr>
                <w:rFonts w:ascii="Arial" w:hAnsi="Arial" w:cs="Arial"/>
                <w:bCs/>
                <w:sz w:val="16"/>
                <w:szCs w:val="16"/>
              </w:rPr>
            </w:pPr>
            <w:r w:rsidRPr="00AE60FD">
              <w:rPr>
                <w:rFonts w:ascii="Arial" w:hAnsi="Arial" w:cs="Arial"/>
                <w:bCs/>
                <w:sz w:val="16"/>
                <w:szCs w:val="16"/>
              </w:rPr>
              <w:t>1,800</w:t>
            </w:r>
          </w:p>
        </w:tc>
      </w:tr>
      <w:tr w:rsidR="00E32839" w:rsidRPr="00AE60FD" w:rsidTr="00385969">
        <w:trPr>
          <w:trHeight w:val="223"/>
        </w:trPr>
        <w:tc>
          <w:tcPr>
            <w:tcW w:w="3107" w:type="dxa"/>
            <w:tcBorders>
              <w:top w:val="nil"/>
              <w:left w:val="nil"/>
              <w:right w:val="nil"/>
            </w:tcBorders>
            <w:noWrap/>
            <w:vAlign w:val="bottom"/>
          </w:tcPr>
          <w:p w:rsidR="00E32839" w:rsidRPr="00AE60FD" w:rsidRDefault="00E32839" w:rsidP="001205C8">
            <w:pPr>
              <w:spacing w:before="60" w:after="0" w:line="240" w:lineRule="auto"/>
              <w:jc w:val="left"/>
              <w:rPr>
                <w:rFonts w:ascii="Arial" w:hAnsi="Arial" w:cs="Arial"/>
                <w:b/>
                <w:bCs/>
                <w:sz w:val="16"/>
                <w:szCs w:val="16"/>
              </w:rPr>
            </w:pPr>
            <w:r w:rsidRPr="00AE60FD">
              <w:rPr>
                <w:rFonts w:ascii="Arial" w:hAnsi="Arial" w:cs="Arial"/>
                <w:sz w:val="16"/>
                <w:szCs w:val="16"/>
              </w:rPr>
              <w:t>Number of people with disability provided with direct advocacy support</w:t>
            </w:r>
            <w:r w:rsidR="008A2397">
              <w:rPr>
                <w:rStyle w:val="FootnoteReference"/>
                <w:rFonts w:ascii="Arial" w:hAnsi="Arial" w:cs="Arial"/>
                <w:sz w:val="16"/>
                <w:szCs w:val="16"/>
              </w:rPr>
              <w:footnoteReference w:id="24"/>
            </w:r>
          </w:p>
        </w:tc>
        <w:tc>
          <w:tcPr>
            <w:tcW w:w="907" w:type="dxa"/>
            <w:tcBorders>
              <w:top w:val="nil"/>
              <w:left w:val="nil"/>
              <w:right w:val="nil"/>
            </w:tcBorders>
            <w:noWrap/>
            <w:vAlign w:val="bottom"/>
          </w:tcPr>
          <w:p w:rsidR="00E32839" w:rsidRPr="00AE60FD" w:rsidRDefault="00E32839" w:rsidP="001205C8">
            <w:pPr>
              <w:spacing w:before="60" w:after="0" w:line="240" w:lineRule="auto"/>
              <w:jc w:val="right"/>
              <w:rPr>
                <w:rFonts w:ascii="Arial" w:hAnsi="Arial" w:cs="Arial"/>
                <w:bCs/>
                <w:sz w:val="16"/>
                <w:szCs w:val="16"/>
              </w:rPr>
            </w:pPr>
            <w:r w:rsidRPr="00AE60FD">
              <w:rPr>
                <w:rFonts w:ascii="Arial" w:hAnsi="Arial" w:cs="Arial"/>
                <w:bCs/>
                <w:sz w:val="16"/>
                <w:szCs w:val="16"/>
              </w:rPr>
              <w:t>10,800</w:t>
            </w:r>
          </w:p>
        </w:tc>
        <w:tc>
          <w:tcPr>
            <w:tcW w:w="907" w:type="dxa"/>
            <w:tcBorders>
              <w:top w:val="nil"/>
              <w:left w:val="nil"/>
              <w:right w:val="nil"/>
            </w:tcBorders>
            <w:shd w:val="clear" w:color="000000" w:fill="E6E6E6"/>
            <w:noWrap/>
            <w:vAlign w:val="bottom"/>
          </w:tcPr>
          <w:p w:rsidR="00E32839" w:rsidRPr="00AE60FD" w:rsidRDefault="00E32839" w:rsidP="001205C8">
            <w:pPr>
              <w:spacing w:before="60" w:after="0" w:line="240" w:lineRule="auto"/>
              <w:jc w:val="right"/>
              <w:rPr>
                <w:rFonts w:ascii="Arial" w:hAnsi="Arial" w:cs="Arial"/>
                <w:bCs/>
                <w:sz w:val="16"/>
                <w:szCs w:val="16"/>
              </w:rPr>
            </w:pPr>
            <w:r w:rsidRPr="00AE60FD">
              <w:rPr>
                <w:rFonts w:ascii="Arial" w:hAnsi="Arial" w:cs="Arial"/>
                <w:bCs/>
                <w:sz w:val="16"/>
                <w:szCs w:val="16"/>
              </w:rPr>
              <w:t>10,800</w:t>
            </w:r>
          </w:p>
        </w:tc>
        <w:tc>
          <w:tcPr>
            <w:tcW w:w="907" w:type="dxa"/>
            <w:tcBorders>
              <w:top w:val="nil"/>
              <w:left w:val="nil"/>
              <w:right w:val="nil"/>
            </w:tcBorders>
            <w:noWrap/>
            <w:vAlign w:val="bottom"/>
          </w:tcPr>
          <w:p w:rsidR="00E32839" w:rsidRPr="00AE60FD" w:rsidRDefault="008A2397" w:rsidP="001205C8">
            <w:pPr>
              <w:spacing w:before="60" w:after="0" w:line="240" w:lineRule="auto"/>
              <w:jc w:val="right"/>
              <w:rPr>
                <w:rFonts w:ascii="Arial" w:hAnsi="Arial" w:cs="Arial"/>
                <w:bCs/>
                <w:sz w:val="16"/>
                <w:szCs w:val="16"/>
              </w:rPr>
            </w:pPr>
            <w:r>
              <w:rPr>
                <w:rFonts w:ascii="Arial" w:hAnsi="Arial" w:cs="Arial"/>
                <w:bCs/>
                <w:sz w:val="16"/>
                <w:szCs w:val="16"/>
              </w:rPr>
              <w:t>11,620</w:t>
            </w:r>
          </w:p>
        </w:tc>
        <w:tc>
          <w:tcPr>
            <w:tcW w:w="907" w:type="dxa"/>
            <w:tcBorders>
              <w:top w:val="nil"/>
              <w:left w:val="nil"/>
              <w:right w:val="nil"/>
            </w:tcBorders>
            <w:noWrap/>
            <w:vAlign w:val="bottom"/>
          </w:tcPr>
          <w:p w:rsidR="00E32839" w:rsidRPr="00AE60FD" w:rsidRDefault="008A2397" w:rsidP="001205C8">
            <w:pPr>
              <w:spacing w:before="60" w:after="0" w:line="240" w:lineRule="auto"/>
              <w:jc w:val="right"/>
              <w:rPr>
                <w:rFonts w:ascii="Arial" w:hAnsi="Arial" w:cs="Arial"/>
                <w:bCs/>
                <w:sz w:val="16"/>
                <w:szCs w:val="16"/>
              </w:rPr>
            </w:pPr>
            <w:r>
              <w:rPr>
                <w:rFonts w:ascii="Arial" w:hAnsi="Arial" w:cs="Arial"/>
                <w:bCs/>
                <w:sz w:val="16"/>
                <w:szCs w:val="16"/>
              </w:rPr>
              <w:t>11,620</w:t>
            </w:r>
          </w:p>
        </w:tc>
        <w:tc>
          <w:tcPr>
            <w:tcW w:w="907" w:type="dxa"/>
            <w:tcBorders>
              <w:top w:val="nil"/>
              <w:left w:val="nil"/>
              <w:right w:val="nil"/>
            </w:tcBorders>
            <w:noWrap/>
            <w:vAlign w:val="bottom"/>
          </w:tcPr>
          <w:p w:rsidR="00E32839" w:rsidRPr="00AE60FD" w:rsidRDefault="008A2397" w:rsidP="001205C8">
            <w:pPr>
              <w:spacing w:before="60" w:after="0" w:line="240" w:lineRule="auto"/>
              <w:jc w:val="right"/>
              <w:rPr>
                <w:rFonts w:ascii="Arial" w:hAnsi="Arial" w:cs="Arial"/>
                <w:bCs/>
                <w:sz w:val="16"/>
                <w:szCs w:val="16"/>
              </w:rPr>
            </w:pPr>
            <w:r>
              <w:rPr>
                <w:rFonts w:ascii="Arial" w:hAnsi="Arial" w:cs="Arial"/>
                <w:bCs/>
                <w:sz w:val="16"/>
                <w:szCs w:val="16"/>
              </w:rPr>
              <w:t>11,620</w:t>
            </w:r>
          </w:p>
        </w:tc>
      </w:tr>
      <w:tr w:rsidR="00E32839" w:rsidRPr="00AE60FD" w:rsidTr="00385969">
        <w:trPr>
          <w:trHeight w:val="223"/>
        </w:trPr>
        <w:tc>
          <w:tcPr>
            <w:tcW w:w="3107" w:type="dxa"/>
            <w:tcBorders>
              <w:left w:val="nil"/>
              <w:bottom w:val="single" w:sz="4" w:space="0" w:color="auto"/>
              <w:right w:val="nil"/>
            </w:tcBorders>
            <w:noWrap/>
            <w:vAlign w:val="bottom"/>
          </w:tcPr>
          <w:p w:rsidR="00E32839" w:rsidRPr="00AE60FD" w:rsidRDefault="00385969" w:rsidP="001205C8">
            <w:pPr>
              <w:spacing w:before="60" w:after="0" w:line="240" w:lineRule="auto"/>
              <w:jc w:val="left"/>
              <w:rPr>
                <w:rFonts w:ascii="Arial" w:hAnsi="Arial" w:cs="Arial"/>
                <w:sz w:val="16"/>
                <w:szCs w:val="16"/>
              </w:rPr>
            </w:pPr>
            <w:r>
              <w:rPr>
                <w:rFonts w:ascii="Arial" w:hAnsi="Arial" w:cs="Arial"/>
                <w:sz w:val="16"/>
                <w:szCs w:val="16"/>
              </w:rPr>
              <w:t xml:space="preserve">Number of new supported </w:t>
            </w:r>
            <w:r w:rsidR="00E32839" w:rsidRPr="00AE60FD">
              <w:rPr>
                <w:rFonts w:ascii="Arial" w:hAnsi="Arial" w:cs="Arial"/>
                <w:sz w:val="16"/>
                <w:szCs w:val="16"/>
              </w:rPr>
              <w:t>accommodation and respite places that were delivered</w:t>
            </w:r>
            <w:r w:rsidR="001D489D">
              <w:rPr>
                <w:rStyle w:val="FootnoteReference"/>
                <w:rFonts w:ascii="Arial" w:hAnsi="Arial" w:cs="Arial"/>
                <w:sz w:val="16"/>
                <w:szCs w:val="16"/>
              </w:rPr>
              <w:footnoteReference w:id="25"/>
            </w:r>
          </w:p>
        </w:tc>
        <w:tc>
          <w:tcPr>
            <w:tcW w:w="907" w:type="dxa"/>
            <w:tcBorders>
              <w:left w:val="nil"/>
              <w:bottom w:val="single" w:sz="4" w:space="0" w:color="auto"/>
              <w:right w:val="nil"/>
            </w:tcBorders>
            <w:noWrap/>
            <w:vAlign w:val="bottom"/>
          </w:tcPr>
          <w:p w:rsidR="00E32839" w:rsidRPr="00AE60FD" w:rsidRDefault="00E32839" w:rsidP="001205C8">
            <w:pPr>
              <w:spacing w:before="60" w:after="0" w:line="240" w:lineRule="auto"/>
              <w:jc w:val="right"/>
              <w:rPr>
                <w:rFonts w:ascii="Arial" w:hAnsi="Arial" w:cs="Arial"/>
                <w:bCs/>
                <w:sz w:val="16"/>
                <w:szCs w:val="16"/>
              </w:rPr>
            </w:pPr>
            <w:r>
              <w:rPr>
                <w:rFonts w:ascii="Arial" w:hAnsi="Arial" w:cs="Arial"/>
                <w:bCs/>
                <w:sz w:val="16"/>
                <w:szCs w:val="16"/>
              </w:rPr>
              <w:t>–</w:t>
            </w:r>
          </w:p>
        </w:tc>
        <w:tc>
          <w:tcPr>
            <w:tcW w:w="907" w:type="dxa"/>
            <w:tcBorders>
              <w:left w:val="nil"/>
              <w:bottom w:val="single" w:sz="4" w:space="0" w:color="auto"/>
              <w:right w:val="nil"/>
            </w:tcBorders>
            <w:shd w:val="clear" w:color="000000" w:fill="E6E6E6"/>
            <w:noWrap/>
            <w:vAlign w:val="bottom"/>
          </w:tcPr>
          <w:p w:rsidR="00E32839" w:rsidRPr="00AE60FD" w:rsidRDefault="00E32839" w:rsidP="001205C8">
            <w:pPr>
              <w:spacing w:before="60" w:after="0" w:line="240" w:lineRule="auto"/>
              <w:jc w:val="right"/>
              <w:rPr>
                <w:rFonts w:ascii="Arial" w:hAnsi="Arial" w:cs="Arial"/>
                <w:bCs/>
                <w:sz w:val="16"/>
                <w:szCs w:val="16"/>
              </w:rPr>
            </w:pPr>
            <w:r w:rsidRPr="00AE60FD">
              <w:rPr>
                <w:rFonts w:ascii="Arial" w:hAnsi="Arial" w:cs="Arial"/>
                <w:bCs/>
                <w:sz w:val="16"/>
                <w:szCs w:val="16"/>
              </w:rPr>
              <w:t>150</w:t>
            </w:r>
          </w:p>
        </w:tc>
        <w:tc>
          <w:tcPr>
            <w:tcW w:w="907" w:type="dxa"/>
            <w:tcBorders>
              <w:left w:val="nil"/>
              <w:bottom w:val="single" w:sz="4" w:space="0" w:color="auto"/>
              <w:right w:val="nil"/>
            </w:tcBorders>
            <w:noWrap/>
            <w:vAlign w:val="bottom"/>
          </w:tcPr>
          <w:p w:rsidR="00E32839" w:rsidRPr="00AE60FD" w:rsidRDefault="008A2397" w:rsidP="001205C8">
            <w:pPr>
              <w:spacing w:before="60" w:after="0" w:line="240" w:lineRule="auto"/>
              <w:jc w:val="right"/>
              <w:rPr>
                <w:rFonts w:ascii="Arial" w:hAnsi="Arial" w:cs="Arial"/>
                <w:bCs/>
                <w:sz w:val="16"/>
                <w:szCs w:val="16"/>
              </w:rPr>
            </w:pPr>
            <w:r>
              <w:rPr>
                <w:rFonts w:ascii="Arial" w:hAnsi="Arial" w:cs="Arial"/>
                <w:bCs/>
                <w:sz w:val="16"/>
                <w:szCs w:val="16"/>
              </w:rPr>
              <w:t>–</w:t>
            </w:r>
          </w:p>
        </w:tc>
        <w:tc>
          <w:tcPr>
            <w:tcW w:w="907" w:type="dxa"/>
            <w:tcBorders>
              <w:left w:val="nil"/>
              <w:bottom w:val="single" w:sz="4" w:space="0" w:color="auto"/>
              <w:right w:val="nil"/>
            </w:tcBorders>
            <w:noWrap/>
            <w:vAlign w:val="bottom"/>
          </w:tcPr>
          <w:p w:rsidR="00E32839" w:rsidRPr="00AE60FD" w:rsidRDefault="008A2397" w:rsidP="001205C8">
            <w:pPr>
              <w:spacing w:before="60" w:after="0" w:line="240" w:lineRule="auto"/>
              <w:jc w:val="right"/>
              <w:rPr>
                <w:rFonts w:ascii="Arial" w:hAnsi="Arial" w:cs="Arial"/>
                <w:bCs/>
                <w:sz w:val="16"/>
                <w:szCs w:val="16"/>
              </w:rPr>
            </w:pPr>
            <w:r>
              <w:rPr>
                <w:rFonts w:ascii="Arial" w:hAnsi="Arial" w:cs="Arial"/>
                <w:bCs/>
                <w:sz w:val="16"/>
                <w:szCs w:val="16"/>
              </w:rPr>
              <w:t>–</w:t>
            </w:r>
          </w:p>
        </w:tc>
        <w:tc>
          <w:tcPr>
            <w:tcW w:w="907" w:type="dxa"/>
            <w:tcBorders>
              <w:left w:val="nil"/>
              <w:bottom w:val="single" w:sz="4" w:space="0" w:color="auto"/>
              <w:right w:val="nil"/>
            </w:tcBorders>
            <w:noWrap/>
            <w:vAlign w:val="bottom"/>
          </w:tcPr>
          <w:p w:rsidR="00E32839" w:rsidRPr="00AE60FD" w:rsidRDefault="008A2397" w:rsidP="001205C8">
            <w:pPr>
              <w:spacing w:before="60" w:after="0" w:line="240" w:lineRule="auto"/>
              <w:jc w:val="right"/>
              <w:rPr>
                <w:rFonts w:ascii="Arial" w:hAnsi="Arial" w:cs="Arial"/>
                <w:bCs/>
                <w:sz w:val="16"/>
                <w:szCs w:val="16"/>
              </w:rPr>
            </w:pPr>
            <w:r>
              <w:rPr>
                <w:rFonts w:ascii="Arial" w:hAnsi="Arial" w:cs="Arial"/>
                <w:bCs/>
                <w:sz w:val="16"/>
                <w:szCs w:val="16"/>
              </w:rPr>
              <w:t>–</w:t>
            </w:r>
          </w:p>
        </w:tc>
      </w:tr>
    </w:tbl>
    <w:p w:rsidR="0080198B" w:rsidRDefault="0080198B" w:rsidP="005703E9"/>
    <w:p w:rsidR="007452AA" w:rsidRDefault="0080198B" w:rsidP="0080198B">
      <w:pPr>
        <w:pStyle w:val="Heading7"/>
      </w:pPr>
      <w:r>
        <w:br w:type="page"/>
      </w:r>
      <w:r w:rsidR="007452AA" w:rsidRPr="00AC6337">
        <w:lastRenderedPageBreak/>
        <w:t xml:space="preserve">Program </w:t>
      </w:r>
      <w:r w:rsidR="003C0FAF">
        <w:t xml:space="preserve">5.4 </w:t>
      </w:r>
      <w:r w:rsidR="008F7C10">
        <w:t>key performance i</w:t>
      </w:r>
      <w:r w:rsidR="008F7C10" w:rsidRPr="00AC6337">
        <w:t xml:space="preserve">ndicators </w:t>
      </w:r>
    </w:p>
    <w:p w:rsidR="00AC6251" w:rsidRDefault="00AC6251" w:rsidP="00AC6251">
      <w:pPr>
        <w:pStyle w:val="BulletBox"/>
      </w:pPr>
      <w:r>
        <w:t>Number of supported employees who achieve an employment outcome (at least eight hours per week for at least 13 weeks from commencement in a supported employment place)</w:t>
      </w:r>
    </w:p>
    <w:p w:rsidR="00AC6251" w:rsidRDefault="00AC6251" w:rsidP="00AC6251">
      <w:pPr>
        <w:pStyle w:val="BulletBox"/>
      </w:pPr>
      <w:r>
        <w:t>Percentage and number of individuals, parents and carers who report that they were assisted to access choices and options that enabled them to manage their needs</w:t>
      </w:r>
    </w:p>
    <w:p w:rsidR="00AC6251" w:rsidRDefault="00AC6251" w:rsidP="00AC6251">
      <w:pPr>
        <w:pStyle w:val="BulletBox"/>
      </w:pPr>
      <w:r>
        <w:t>Percentage and number of supported employees/clients likely to have reduced reliance on income support payments (sufficient income to affect DSP)</w:t>
      </w:r>
    </w:p>
    <w:p w:rsidR="00AC6251" w:rsidRDefault="00AC6251" w:rsidP="00AC6251">
      <w:pPr>
        <w:pStyle w:val="BulletBox"/>
      </w:pPr>
      <w:r>
        <w:t>Percentage and number of clients from Indigenous and culturally and linguistically diverse backgrounds</w:t>
      </w:r>
    </w:p>
    <w:p w:rsidR="00AC6251" w:rsidRDefault="00AC6251" w:rsidP="00AC6251">
      <w:pPr>
        <w:pStyle w:val="BulletBox"/>
      </w:pPr>
      <w:r>
        <w:t>Percentage and number of clients reporting that the services received were appropriate to their needs as parents/carers</w:t>
      </w:r>
    </w:p>
    <w:p w:rsidR="00AC6251" w:rsidRDefault="00AC6251" w:rsidP="00AC6251">
      <w:pPr>
        <w:pStyle w:val="BulletBox"/>
      </w:pPr>
      <w:r>
        <w:t>Number of new supported accommodation and respite places that were delivered</w:t>
      </w:r>
    </w:p>
    <w:p w:rsidR="0080198B" w:rsidRDefault="0080198B" w:rsidP="0080198B">
      <w:pPr>
        <w:pStyle w:val="BulletBox"/>
        <w:numPr>
          <w:ilvl w:val="0"/>
          <w:numId w:val="0"/>
        </w:numPr>
        <w:pBdr>
          <w:top w:val="none" w:sz="0" w:space="0" w:color="auto"/>
          <w:left w:val="none" w:sz="0" w:space="0" w:color="auto"/>
          <w:bottom w:val="none" w:sz="0" w:space="0" w:color="auto"/>
          <w:right w:val="none" w:sz="0" w:space="0" w:color="auto"/>
        </w:pBdr>
        <w:ind w:left="284" w:hanging="284"/>
      </w:pPr>
    </w:p>
    <w:p w:rsidR="007452AA" w:rsidRPr="00AC6337" w:rsidRDefault="0080198B" w:rsidP="0080198B">
      <w:pPr>
        <w:pStyle w:val="Heading6"/>
      </w:pPr>
      <w:r>
        <w:br w:type="page"/>
      </w:r>
      <w:r w:rsidR="00E32839">
        <w:lastRenderedPageBreak/>
        <w:t>P</w:t>
      </w:r>
      <w:r w:rsidR="007452AA" w:rsidRPr="00F62A3A">
        <w:t>rogram 5.5: Support for Carers</w:t>
      </w:r>
    </w:p>
    <w:p w:rsidR="00AC6251" w:rsidRDefault="00AC6251" w:rsidP="005703E9">
      <w:pPr>
        <w:pStyle w:val="SinglePara"/>
        <w:rPr>
          <w:lang w:val="en-GB"/>
        </w:rPr>
      </w:pPr>
    </w:p>
    <w:p w:rsidR="00AC6251" w:rsidRDefault="00AC6251" w:rsidP="0080198B">
      <w:pPr>
        <w:pStyle w:val="Heading7"/>
      </w:pPr>
      <w:r>
        <w:t xml:space="preserve">Program 5.5 </w:t>
      </w:r>
      <w:r w:rsidR="008F7C10">
        <w:t>o</w:t>
      </w:r>
      <w:r>
        <w:t>bjective</w:t>
      </w:r>
    </w:p>
    <w:p w:rsidR="00AC6251" w:rsidRDefault="00AC6251" w:rsidP="007A6D3C">
      <w:pPr>
        <w:pStyle w:val="NormalBox"/>
        <w:pBdr>
          <w:between w:val="single" w:sz="2" w:space="3" w:color="auto"/>
        </w:pBdr>
      </w:pPr>
      <w:r>
        <w:t>To provide peer support, respite and information services for carers to help them balance their care responsibilities with social participation and, in the case of young carers, complete their education.</w:t>
      </w:r>
    </w:p>
    <w:p w:rsidR="007A6D3C" w:rsidRPr="007A6D3C" w:rsidRDefault="007A6D3C" w:rsidP="007A6D3C">
      <w:pPr>
        <w:pStyle w:val="NormalBox"/>
        <w:pBdr>
          <w:between w:val="single" w:sz="2" w:space="3" w:color="auto"/>
        </w:pBdr>
      </w:pPr>
      <w:r>
        <w:t>Linked to: Program 5.6: National Disability Insurance Scheme.</w:t>
      </w:r>
    </w:p>
    <w:p w:rsidR="00AC6251" w:rsidRDefault="00AC6251" w:rsidP="003A485D">
      <w:pPr>
        <w:pStyle w:val="SinglePara"/>
        <w:rPr>
          <w:lang w:val="en-GB"/>
        </w:rPr>
      </w:pPr>
    </w:p>
    <w:p w:rsidR="00AC6251" w:rsidRDefault="00AC6251" w:rsidP="0080198B">
      <w:pPr>
        <w:pStyle w:val="Heading7"/>
      </w:pPr>
      <w:r>
        <w:t xml:space="preserve">Program 5.5 </w:t>
      </w:r>
      <w:r w:rsidR="008F7C10">
        <w:t>e</w:t>
      </w:r>
      <w:r>
        <w:t>xpenses</w:t>
      </w:r>
    </w:p>
    <w:p w:rsidR="00293295" w:rsidRPr="00704365" w:rsidRDefault="00603D17" w:rsidP="00293295">
      <w:pPr>
        <w:pStyle w:val="NormalBox"/>
      </w:pPr>
      <w:r w:rsidRPr="00603D17">
        <w:t>The increase in program expenses over the forward estimates reflects projected changes in indexation parameters.</w:t>
      </w:r>
      <w:r w:rsidR="00C425EC">
        <w:t xml:space="preserve"> </w:t>
      </w:r>
      <w:r w:rsidRPr="00603D17">
        <w:t>The reduction in estimates from 2012</w:t>
      </w:r>
      <w:r w:rsidR="00C425EC">
        <w:t>–</w:t>
      </w:r>
      <w:r w:rsidRPr="00603D17">
        <w:t xml:space="preserve">13 </w:t>
      </w:r>
      <w:r w:rsidR="008F7C10">
        <w:t xml:space="preserve">is </w:t>
      </w:r>
      <w:r w:rsidRPr="00603D17">
        <w:t>due to a one-off injection in that year for the National Carer Awareness Campaign.</w:t>
      </w:r>
    </w:p>
    <w:p w:rsidR="007452AA" w:rsidRDefault="009B64C9" w:rsidP="000616CD">
      <w:pPr>
        <w:pStyle w:val="TableHeading"/>
        <w:rPr>
          <w:lang w:val="en-GB"/>
        </w:rPr>
      </w:pPr>
      <w:r>
        <w:rPr>
          <w:lang w:val="en-GB"/>
        </w:rPr>
        <w:t>Table 2.</w:t>
      </w:r>
      <w:r w:rsidR="007452AA">
        <w:rPr>
          <w:lang w:val="en-GB"/>
        </w:rPr>
        <w:t xml:space="preserve">5.5: </w:t>
      </w:r>
      <w:r w:rsidR="004B5D66">
        <w:rPr>
          <w:lang w:val="en-GB"/>
        </w:rPr>
        <w:t xml:space="preserve">Budgeted </w:t>
      </w:r>
      <w:r w:rsidR="00D52A4F">
        <w:rPr>
          <w:lang w:val="en-GB"/>
        </w:rPr>
        <w:t>e</w:t>
      </w:r>
      <w:r w:rsidR="007452AA">
        <w:rPr>
          <w:lang w:val="en-GB"/>
        </w:rPr>
        <w:t xml:space="preserve">xpenses </w:t>
      </w:r>
      <w:r w:rsidR="004B5D66">
        <w:rPr>
          <w:lang w:val="en-GB"/>
        </w:rPr>
        <w:t>for Support for Carers</w:t>
      </w:r>
    </w:p>
    <w:p w:rsidR="008C1F44" w:rsidRDefault="005A4CCD" w:rsidP="008C1F44">
      <w:pPr>
        <w:pStyle w:val="TableGraphic"/>
        <w:rPr>
          <w:lang w:val="en-GB"/>
        </w:rPr>
      </w:pPr>
      <w:r>
        <w:rPr>
          <w:noProof/>
        </w:rPr>
        <w:drawing>
          <wp:inline distT="0" distB="0" distL="0" distR="0" wp14:anchorId="63B07566" wp14:editId="0394B714">
            <wp:extent cx="4878705" cy="2044681"/>
            <wp:effectExtent l="0" t="0" r="0" b="0"/>
            <wp:docPr id="169" name="Picture 169" descr="Table 2.5.5: Budgeted expenses for Support for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78705" cy="2044681"/>
                    </a:xfrm>
                    <a:prstGeom prst="rect">
                      <a:avLst/>
                    </a:prstGeom>
                    <a:noFill/>
                    <a:ln>
                      <a:noFill/>
                    </a:ln>
                  </pic:spPr>
                </pic:pic>
              </a:graphicData>
            </a:graphic>
          </wp:inline>
        </w:drawing>
      </w:r>
    </w:p>
    <w:p w:rsidR="007452AA" w:rsidRDefault="0080198B" w:rsidP="0080198B">
      <w:pPr>
        <w:pStyle w:val="Heading7"/>
      </w:pPr>
      <w:r>
        <w:br w:type="page"/>
      </w:r>
      <w:r w:rsidR="007452AA" w:rsidRPr="007913B0">
        <w:lastRenderedPageBreak/>
        <w:t xml:space="preserve">Program </w:t>
      </w:r>
      <w:r w:rsidR="00AC6251">
        <w:t xml:space="preserve">5.5 </w:t>
      </w:r>
      <w:r w:rsidR="00D52A4F">
        <w:t>d</w:t>
      </w:r>
      <w:r w:rsidR="003C0FAF">
        <w:t>eliverables</w:t>
      </w:r>
    </w:p>
    <w:p w:rsidR="00AC6251" w:rsidRDefault="00AC6251" w:rsidP="00AC6251">
      <w:pPr>
        <w:pStyle w:val="BulletBox"/>
      </w:pPr>
      <w:r>
        <w:t>Number of young carers at risk of not completing secondary education assisted with respite services</w:t>
      </w:r>
    </w:p>
    <w:p w:rsidR="00AC6251" w:rsidRPr="00AC6251" w:rsidRDefault="00AC6251" w:rsidP="00AC6251">
      <w:pPr>
        <w:pStyle w:val="BulletBox"/>
      </w:pPr>
      <w:r>
        <w:t>Number of parents and carers assisted by MyTime peer support groups</w:t>
      </w:r>
    </w:p>
    <w:p w:rsidR="00AC6251" w:rsidRDefault="00AC6251" w:rsidP="00AC6251">
      <w:pPr>
        <w:pStyle w:val="TableHeading"/>
      </w:pPr>
      <w:r>
        <w:t xml:space="preserve">Support for Carers </w:t>
      </w:r>
      <w:r w:rsidR="00D52A4F">
        <w:t>d</w:t>
      </w:r>
      <w:r>
        <w:t xml:space="preserve">eliverables </w:t>
      </w:r>
      <w:r w:rsidR="00D52A4F">
        <w:t>t</w:t>
      </w:r>
      <w:r>
        <w:t>argets</w:t>
      </w:r>
      <w:r w:rsidR="006A008A" w:rsidRPr="0040773D">
        <w:rPr>
          <w:rStyle w:val="FootnoteReference"/>
          <w:b w:val="0"/>
        </w:rPr>
        <w:footnoteReference w:id="26"/>
      </w:r>
    </w:p>
    <w:tbl>
      <w:tblPr>
        <w:tblW w:w="7655" w:type="dxa"/>
        <w:tblInd w:w="28" w:type="dxa"/>
        <w:tblLayout w:type="fixed"/>
        <w:tblCellMar>
          <w:top w:w="17" w:type="dxa"/>
          <w:left w:w="28" w:type="dxa"/>
          <w:bottom w:w="17" w:type="dxa"/>
          <w:right w:w="28" w:type="dxa"/>
        </w:tblCellMar>
        <w:tblLook w:val="00A0" w:firstRow="1" w:lastRow="0" w:firstColumn="1" w:lastColumn="0" w:noHBand="0" w:noVBand="0"/>
        <w:tblDescription w:val="Support for Carers deliverables targets"/>
      </w:tblPr>
      <w:tblGrid>
        <w:gridCol w:w="3151"/>
        <w:gridCol w:w="900"/>
        <w:gridCol w:w="901"/>
        <w:gridCol w:w="901"/>
        <w:gridCol w:w="901"/>
        <w:gridCol w:w="901"/>
      </w:tblGrid>
      <w:tr w:rsidR="00AC6251" w:rsidRPr="00AC6251" w:rsidTr="003A485D">
        <w:trPr>
          <w:trHeight w:val="229"/>
        </w:trPr>
        <w:tc>
          <w:tcPr>
            <w:tcW w:w="3151" w:type="dxa"/>
            <w:tcBorders>
              <w:top w:val="single" w:sz="4" w:space="0" w:color="auto"/>
              <w:left w:val="nil"/>
              <w:bottom w:val="single" w:sz="4" w:space="0" w:color="auto"/>
              <w:right w:val="nil"/>
            </w:tcBorders>
            <w:vAlign w:val="center"/>
          </w:tcPr>
          <w:p w:rsidR="00AC6251" w:rsidRPr="006D2B67" w:rsidRDefault="00AC6251" w:rsidP="006D2B67">
            <w:pPr>
              <w:spacing w:before="60" w:after="0" w:line="240" w:lineRule="auto"/>
              <w:jc w:val="left"/>
              <w:rPr>
                <w:rFonts w:ascii="Arial" w:hAnsi="Arial" w:cs="Arial"/>
                <w:b/>
                <w:bCs/>
                <w:sz w:val="16"/>
                <w:szCs w:val="16"/>
              </w:rPr>
            </w:pPr>
          </w:p>
        </w:tc>
        <w:tc>
          <w:tcPr>
            <w:tcW w:w="900" w:type="dxa"/>
            <w:tcBorders>
              <w:top w:val="single" w:sz="4" w:space="0" w:color="auto"/>
              <w:left w:val="nil"/>
              <w:bottom w:val="single" w:sz="4" w:space="0" w:color="auto"/>
              <w:right w:val="nil"/>
            </w:tcBorders>
            <w:shd w:val="clear" w:color="000000" w:fill="FFFFFF"/>
            <w:noWrap/>
            <w:vAlign w:val="bottom"/>
          </w:tcPr>
          <w:p w:rsidR="00AC6251" w:rsidRPr="00AC6251" w:rsidRDefault="00AC6251" w:rsidP="003C350F">
            <w:pPr>
              <w:spacing w:before="60" w:after="60" w:line="240" w:lineRule="auto"/>
              <w:jc w:val="right"/>
              <w:rPr>
                <w:rFonts w:ascii="Arial" w:hAnsi="Arial" w:cs="Arial"/>
                <w:sz w:val="16"/>
                <w:szCs w:val="16"/>
              </w:rPr>
            </w:pPr>
            <w:r w:rsidRPr="00AC6251">
              <w:rPr>
                <w:rFonts w:ascii="Arial" w:hAnsi="Arial" w:cs="Arial"/>
                <w:sz w:val="16"/>
                <w:szCs w:val="16"/>
              </w:rPr>
              <w:t>2012</w:t>
            </w:r>
            <w:r w:rsidR="003C350F">
              <w:rPr>
                <w:rFonts w:ascii="Arial" w:hAnsi="Arial" w:cs="Arial"/>
                <w:sz w:val="16"/>
                <w:szCs w:val="16"/>
              </w:rPr>
              <w:t>–13</w:t>
            </w:r>
            <w:r w:rsidRPr="00AC6251">
              <w:rPr>
                <w:rFonts w:ascii="Arial" w:hAnsi="Arial" w:cs="Arial"/>
                <w:sz w:val="16"/>
                <w:szCs w:val="16"/>
              </w:rPr>
              <w:t xml:space="preserve"> Revised Budget</w:t>
            </w:r>
          </w:p>
        </w:tc>
        <w:tc>
          <w:tcPr>
            <w:tcW w:w="901" w:type="dxa"/>
            <w:tcBorders>
              <w:top w:val="single" w:sz="4" w:space="0" w:color="auto"/>
              <w:left w:val="nil"/>
              <w:bottom w:val="single" w:sz="4" w:space="0" w:color="auto"/>
              <w:right w:val="nil"/>
            </w:tcBorders>
            <w:shd w:val="clear" w:color="000000" w:fill="E6E6E6"/>
            <w:noWrap/>
          </w:tcPr>
          <w:p w:rsidR="00AC6251" w:rsidRPr="00AC6251" w:rsidRDefault="00AC6251" w:rsidP="003C350F">
            <w:pPr>
              <w:spacing w:before="60" w:after="60" w:line="240" w:lineRule="auto"/>
              <w:jc w:val="right"/>
              <w:rPr>
                <w:rFonts w:ascii="Arial" w:hAnsi="Arial" w:cs="Arial"/>
                <w:sz w:val="16"/>
                <w:szCs w:val="16"/>
              </w:rPr>
            </w:pPr>
            <w:r w:rsidRPr="00AC6251">
              <w:rPr>
                <w:rFonts w:ascii="Arial" w:hAnsi="Arial" w:cs="Arial"/>
                <w:sz w:val="16"/>
                <w:szCs w:val="16"/>
              </w:rPr>
              <w:t>2013</w:t>
            </w:r>
            <w:r w:rsidR="003C350F">
              <w:rPr>
                <w:rFonts w:ascii="Arial" w:hAnsi="Arial" w:cs="Arial"/>
                <w:sz w:val="16"/>
                <w:szCs w:val="16"/>
              </w:rPr>
              <w:t>–14</w:t>
            </w:r>
            <w:r w:rsidRPr="00AC6251">
              <w:rPr>
                <w:rFonts w:ascii="Arial" w:hAnsi="Arial" w:cs="Arial"/>
                <w:sz w:val="16"/>
                <w:szCs w:val="16"/>
              </w:rPr>
              <w:t xml:space="preserve"> Budget</w:t>
            </w:r>
          </w:p>
        </w:tc>
        <w:tc>
          <w:tcPr>
            <w:tcW w:w="901" w:type="dxa"/>
            <w:tcBorders>
              <w:top w:val="single" w:sz="4" w:space="0" w:color="auto"/>
              <w:left w:val="nil"/>
              <w:bottom w:val="single" w:sz="4" w:space="0" w:color="auto"/>
              <w:right w:val="nil"/>
            </w:tcBorders>
            <w:shd w:val="clear" w:color="000000" w:fill="FFFFFF"/>
            <w:noWrap/>
            <w:vAlign w:val="bottom"/>
          </w:tcPr>
          <w:p w:rsidR="00AC6251" w:rsidRPr="00AC6251" w:rsidRDefault="00AC6251" w:rsidP="003C350F">
            <w:pPr>
              <w:spacing w:before="60" w:after="60" w:line="240" w:lineRule="auto"/>
              <w:jc w:val="right"/>
              <w:rPr>
                <w:rFonts w:ascii="Arial" w:hAnsi="Arial" w:cs="Arial"/>
                <w:sz w:val="16"/>
                <w:szCs w:val="16"/>
              </w:rPr>
            </w:pPr>
            <w:r w:rsidRPr="00AC6251">
              <w:rPr>
                <w:rFonts w:ascii="Arial" w:hAnsi="Arial" w:cs="Arial"/>
                <w:sz w:val="16"/>
                <w:szCs w:val="16"/>
              </w:rPr>
              <w:t>2014</w:t>
            </w:r>
            <w:r w:rsidR="003C350F">
              <w:rPr>
                <w:rFonts w:ascii="Arial" w:hAnsi="Arial" w:cs="Arial"/>
                <w:sz w:val="16"/>
                <w:szCs w:val="16"/>
              </w:rPr>
              <w:t>–15</w:t>
            </w:r>
            <w:r w:rsidRPr="00AC6251">
              <w:rPr>
                <w:rFonts w:ascii="Arial" w:hAnsi="Arial" w:cs="Arial"/>
                <w:sz w:val="16"/>
                <w:szCs w:val="16"/>
              </w:rPr>
              <w:t xml:space="preserve"> Forward year 1</w:t>
            </w:r>
          </w:p>
        </w:tc>
        <w:tc>
          <w:tcPr>
            <w:tcW w:w="901" w:type="dxa"/>
            <w:tcBorders>
              <w:top w:val="single" w:sz="4" w:space="0" w:color="auto"/>
              <w:left w:val="nil"/>
              <w:bottom w:val="single" w:sz="4" w:space="0" w:color="auto"/>
              <w:right w:val="nil"/>
            </w:tcBorders>
            <w:shd w:val="clear" w:color="000000" w:fill="FFFFFF"/>
            <w:noWrap/>
            <w:vAlign w:val="bottom"/>
          </w:tcPr>
          <w:p w:rsidR="00AC6251" w:rsidRPr="00AC6251" w:rsidRDefault="00AC6251" w:rsidP="003C350F">
            <w:pPr>
              <w:spacing w:before="60" w:after="60" w:line="240" w:lineRule="auto"/>
              <w:jc w:val="right"/>
              <w:rPr>
                <w:rFonts w:ascii="Arial" w:hAnsi="Arial" w:cs="Arial"/>
                <w:sz w:val="16"/>
                <w:szCs w:val="16"/>
              </w:rPr>
            </w:pPr>
            <w:r w:rsidRPr="00AC6251">
              <w:rPr>
                <w:rFonts w:ascii="Arial" w:hAnsi="Arial" w:cs="Arial"/>
                <w:sz w:val="16"/>
                <w:szCs w:val="16"/>
              </w:rPr>
              <w:t>2015</w:t>
            </w:r>
            <w:r w:rsidR="003C350F">
              <w:rPr>
                <w:rFonts w:ascii="Arial" w:hAnsi="Arial" w:cs="Arial"/>
                <w:sz w:val="16"/>
                <w:szCs w:val="16"/>
              </w:rPr>
              <w:t>–16</w:t>
            </w:r>
            <w:r w:rsidRPr="00AC6251">
              <w:rPr>
                <w:rFonts w:ascii="Arial" w:hAnsi="Arial" w:cs="Arial"/>
                <w:sz w:val="16"/>
                <w:szCs w:val="16"/>
              </w:rPr>
              <w:t xml:space="preserve"> Forward year 2</w:t>
            </w:r>
          </w:p>
        </w:tc>
        <w:tc>
          <w:tcPr>
            <w:tcW w:w="901" w:type="dxa"/>
            <w:tcBorders>
              <w:top w:val="single" w:sz="4" w:space="0" w:color="auto"/>
              <w:left w:val="nil"/>
              <w:bottom w:val="single" w:sz="4" w:space="0" w:color="auto"/>
              <w:right w:val="nil"/>
            </w:tcBorders>
            <w:shd w:val="clear" w:color="000000" w:fill="FFFFFF"/>
            <w:noWrap/>
            <w:vAlign w:val="bottom"/>
          </w:tcPr>
          <w:p w:rsidR="00AC6251" w:rsidRPr="00AC6251" w:rsidRDefault="00AC6251" w:rsidP="00885D1E">
            <w:pPr>
              <w:spacing w:before="60" w:after="60" w:line="240" w:lineRule="auto"/>
              <w:jc w:val="right"/>
              <w:rPr>
                <w:rFonts w:ascii="Arial" w:hAnsi="Arial" w:cs="Arial"/>
                <w:sz w:val="16"/>
                <w:szCs w:val="16"/>
              </w:rPr>
            </w:pPr>
            <w:r w:rsidRPr="00AC6251">
              <w:rPr>
                <w:rFonts w:ascii="Arial" w:hAnsi="Arial" w:cs="Arial"/>
                <w:sz w:val="16"/>
                <w:szCs w:val="16"/>
              </w:rPr>
              <w:t>2016</w:t>
            </w:r>
            <w:r w:rsidR="00885D1E">
              <w:rPr>
                <w:rFonts w:ascii="Arial" w:hAnsi="Arial" w:cs="Arial"/>
                <w:sz w:val="16"/>
                <w:szCs w:val="16"/>
              </w:rPr>
              <w:t>–</w:t>
            </w:r>
            <w:r w:rsidR="003C350F">
              <w:rPr>
                <w:rFonts w:ascii="Arial" w:hAnsi="Arial" w:cs="Arial"/>
                <w:sz w:val="16"/>
                <w:szCs w:val="16"/>
              </w:rPr>
              <w:t>17</w:t>
            </w:r>
            <w:r w:rsidRPr="00AC6251">
              <w:rPr>
                <w:rFonts w:ascii="Arial" w:hAnsi="Arial" w:cs="Arial"/>
                <w:sz w:val="16"/>
                <w:szCs w:val="16"/>
              </w:rPr>
              <w:t xml:space="preserve"> Forward year 3</w:t>
            </w:r>
          </w:p>
        </w:tc>
      </w:tr>
      <w:tr w:rsidR="003C350F" w:rsidRPr="00AC6251" w:rsidTr="003A485D">
        <w:trPr>
          <w:trHeight w:val="229"/>
        </w:trPr>
        <w:tc>
          <w:tcPr>
            <w:tcW w:w="3151" w:type="dxa"/>
            <w:tcBorders>
              <w:top w:val="nil"/>
              <w:left w:val="nil"/>
              <w:bottom w:val="nil"/>
              <w:right w:val="nil"/>
            </w:tcBorders>
            <w:noWrap/>
            <w:vAlign w:val="bottom"/>
          </w:tcPr>
          <w:p w:rsidR="003C350F" w:rsidRPr="00AC6251" w:rsidRDefault="003C350F" w:rsidP="001205C8">
            <w:pPr>
              <w:spacing w:before="60" w:after="0" w:line="240" w:lineRule="auto"/>
              <w:jc w:val="left"/>
              <w:rPr>
                <w:rFonts w:ascii="Arial" w:hAnsi="Arial" w:cs="Arial"/>
                <w:sz w:val="16"/>
                <w:szCs w:val="16"/>
              </w:rPr>
            </w:pPr>
            <w:r w:rsidRPr="00AC6251">
              <w:rPr>
                <w:rFonts w:ascii="Arial" w:hAnsi="Arial" w:cs="Arial"/>
                <w:sz w:val="16"/>
                <w:szCs w:val="16"/>
              </w:rPr>
              <w:t>Number of young carers at risk of not completing secondary education assisted with respite services</w:t>
            </w:r>
          </w:p>
        </w:tc>
        <w:tc>
          <w:tcPr>
            <w:tcW w:w="900" w:type="dxa"/>
            <w:tcBorders>
              <w:top w:val="nil"/>
              <w:left w:val="nil"/>
              <w:bottom w:val="nil"/>
              <w:right w:val="nil"/>
            </w:tcBorders>
            <w:vAlign w:val="bottom"/>
          </w:tcPr>
          <w:p w:rsidR="003C350F" w:rsidRPr="00AC6251" w:rsidRDefault="003C350F" w:rsidP="001205C8">
            <w:pPr>
              <w:spacing w:before="60" w:after="0" w:line="240" w:lineRule="auto"/>
              <w:jc w:val="right"/>
              <w:rPr>
                <w:rFonts w:ascii="Arial" w:hAnsi="Arial" w:cs="Arial"/>
                <w:sz w:val="16"/>
                <w:szCs w:val="16"/>
              </w:rPr>
            </w:pPr>
            <w:r w:rsidRPr="00AC6251">
              <w:rPr>
                <w:rFonts w:ascii="Arial" w:hAnsi="Arial" w:cs="Arial"/>
                <w:sz w:val="16"/>
                <w:szCs w:val="16"/>
              </w:rPr>
              <w:t>3,500</w:t>
            </w:r>
          </w:p>
        </w:tc>
        <w:tc>
          <w:tcPr>
            <w:tcW w:w="901" w:type="dxa"/>
            <w:tcBorders>
              <w:top w:val="nil"/>
              <w:left w:val="nil"/>
              <w:bottom w:val="nil"/>
              <w:right w:val="nil"/>
            </w:tcBorders>
            <w:shd w:val="clear" w:color="000000" w:fill="E6E6E6"/>
            <w:vAlign w:val="bottom"/>
          </w:tcPr>
          <w:p w:rsidR="003C350F" w:rsidRPr="00AC6251" w:rsidRDefault="003C350F" w:rsidP="001205C8">
            <w:pPr>
              <w:spacing w:before="60" w:after="0" w:line="240" w:lineRule="auto"/>
              <w:jc w:val="right"/>
              <w:rPr>
                <w:rFonts w:ascii="Arial" w:hAnsi="Arial" w:cs="Arial"/>
                <w:sz w:val="16"/>
                <w:szCs w:val="16"/>
              </w:rPr>
            </w:pPr>
            <w:r w:rsidRPr="00AC6251">
              <w:rPr>
                <w:rFonts w:ascii="Arial" w:hAnsi="Arial" w:cs="Arial"/>
                <w:sz w:val="16"/>
                <w:szCs w:val="16"/>
              </w:rPr>
              <w:t>3,500</w:t>
            </w:r>
          </w:p>
        </w:tc>
        <w:tc>
          <w:tcPr>
            <w:tcW w:w="901" w:type="dxa"/>
            <w:tcBorders>
              <w:top w:val="nil"/>
              <w:left w:val="nil"/>
              <w:bottom w:val="nil"/>
              <w:right w:val="nil"/>
            </w:tcBorders>
            <w:vAlign w:val="bottom"/>
          </w:tcPr>
          <w:p w:rsidR="003C350F" w:rsidRPr="00AC6251" w:rsidRDefault="003C350F" w:rsidP="001205C8">
            <w:pPr>
              <w:spacing w:before="60" w:after="0" w:line="240" w:lineRule="auto"/>
              <w:jc w:val="right"/>
              <w:rPr>
                <w:rFonts w:ascii="Arial" w:hAnsi="Arial" w:cs="Arial"/>
                <w:sz w:val="16"/>
                <w:szCs w:val="16"/>
              </w:rPr>
            </w:pPr>
            <w:r w:rsidRPr="00AC6251">
              <w:rPr>
                <w:rFonts w:ascii="Arial" w:hAnsi="Arial" w:cs="Arial"/>
                <w:sz w:val="16"/>
                <w:szCs w:val="16"/>
              </w:rPr>
              <w:t>3,500</w:t>
            </w:r>
          </w:p>
        </w:tc>
        <w:tc>
          <w:tcPr>
            <w:tcW w:w="901" w:type="dxa"/>
            <w:tcBorders>
              <w:top w:val="nil"/>
              <w:left w:val="nil"/>
              <w:bottom w:val="nil"/>
              <w:right w:val="nil"/>
            </w:tcBorders>
            <w:vAlign w:val="bottom"/>
          </w:tcPr>
          <w:p w:rsidR="003C350F" w:rsidRPr="00AC6251" w:rsidRDefault="003C350F" w:rsidP="001205C8">
            <w:pPr>
              <w:spacing w:before="60" w:after="0" w:line="240" w:lineRule="auto"/>
              <w:jc w:val="right"/>
              <w:rPr>
                <w:rFonts w:ascii="Arial" w:hAnsi="Arial" w:cs="Arial"/>
                <w:sz w:val="16"/>
                <w:szCs w:val="16"/>
              </w:rPr>
            </w:pPr>
            <w:r w:rsidRPr="00AC6251">
              <w:rPr>
                <w:rFonts w:ascii="Arial" w:hAnsi="Arial" w:cs="Arial"/>
                <w:sz w:val="16"/>
                <w:szCs w:val="16"/>
              </w:rPr>
              <w:t>3,500</w:t>
            </w:r>
          </w:p>
        </w:tc>
        <w:tc>
          <w:tcPr>
            <w:tcW w:w="901" w:type="dxa"/>
            <w:tcBorders>
              <w:top w:val="nil"/>
              <w:left w:val="nil"/>
              <w:bottom w:val="nil"/>
              <w:right w:val="nil"/>
            </w:tcBorders>
            <w:vAlign w:val="bottom"/>
          </w:tcPr>
          <w:p w:rsidR="003C350F" w:rsidRPr="00AC6251" w:rsidRDefault="00E55215" w:rsidP="001205C8">
            <w:pPr>
              <w:spacing w:before="60" w:after="0" w:line="240" w:lineRule="auto"/>
              <w:jc w:val="right"/>
              <w:rPr>
                <w:rFonts w:ascii="Arial" w:hAnsi="Arial" w:cs="Arial"/>
                <w:sz w:val="16"/>
                <w:szCs w:val="16"/>
              </w:rPr>
            </w:pPr>
            <w:r w:rsidRPr="00AC6251">
              <w:rPr>
                <w:rFonts w:ascii="Arial" w:hAnsi="Arial" w:cs="Arial"/>
                <w:sz w:val="16"/>
                <w:szCs w:val="16"/>
              </w:rPr>
              <w:t>3,500</w:t>
            </w:r>
          </w:p>
        </w:tc>
      </w:tr>
      <w:tr w:rsidR="003C350F" w:rsidRPr="00AC6251" w:rsidTr="003A485D">
        <w:trPr>
          <w:trHeight w:val="229"/>
        </w:trPr>
        <w:tc>
          <w:tcPr>
            <w:tcW w:w="3151" w:type="dxa"/>
            <w:tcBorders>
              <w:top w:val="nil"/>
              <w:left w:val="nil"/>
              <w:bottom w:val="single" w:sz="4" w:space="0" w:color="auto"/>
              <w:right w:val="nil"/>
            </w:tcBorders>
            <w:noWrap/>
            <w:vAlign w:val="bottom"/>
          </w:tcPr>
          <w:p w:rsidR="003C350F" w:rsidRPr="00AC6251" w:rsidRDefault="003C350F" w:rsidP="001205C8">
            <w:pPr>
              <w:spacing w:before="60" w:after="0" w:line="240" w:lineRule="auto"/>
              <w:jc w:val="left"/>
              <w:rPr>
                <w:rFonts w:ascii="Arial" w:hAnsi="Arial" w:cs="Arial"/>
                <w:b/>
                <w:bCs/>
                <w:sz w:val="16"/>
                <w:szCs w:val="16"/>
              </w:rPr>
            </w:pPr>
            <w:r w:rsidRPr="00AC6251">
              <w:rPr>
                <w:rFonts w:ascii="Arial" w:hAnsi="Arial" w:cs="Arial"/>
                <w:sz w:val="16"/>
                <w:szCs w:val="16"/>
              </w:rPr>
              <w:t>Number of parents and carers assisted by MyTime peer support groups</w:t>
            </w:r>
          </w:p>
        </w:tc>
        <w:tc>
          <w:tcPr>
            <w:tcW w:w="900" w:type="dxa"/>
            <w:tcBorders>
              <w:top w:val="nil"/>
              <w:left w:val="nil"/>
              <w:bottom w:val="single" w:sz="4" w:space="0" w:color="auto"/>
              <w:right w:val="nil"/>
            </w:tcBorders>
            <w:noWrap/>
            <w:vAlign w:val="bottom"/>
          </w:tcPr>
          <w:p w:rsidR="003C350F" w:rsidRPr="00AC6251" w:rsidRDefault="003C350F" w:rsidP="001205C8">
            <w:pPr>
              <w:spacing w:before="60" w:after="0" w:line="240" w:lineRule="auto"/>
              <w:jc w:val="right"/>
              <w:rPr>
                <w:rFonts w:ascii="Arial" w:hAnsi="Arial" w:cs="Arial"/>
                <w:bCs/>
                <w:sz w:val="16"/>
                <w:szCs w:val="16"/>
              </w:rPr>
            </w:pPr>
            <w:r w:rsidRPr="00AC6251">
              <w:rPr>
                <w:rFonts w:ascii="Arial" w:hAnsi="Arial" w:cs="Arial"/>
                <w:bCs/>
                <w:sz w:val="16"/>
                <w:szCs w:val="16"/>
              </w:rPr>
              <w:t>3,000</w:t>
            </w:r>
          </w:p>
        </w:tc>
        <w:tc>
          <w:tcPr>
            <w:tcW w:w="901" w:type="dxa"/>
            <w:tcBorders>
              <w:top w:val="nil"/>
              <w:left w:val="nil"/>
              <w:bottom w:val="single" w:sz="4" w:space="0" w:color="auto"/>
              <w:right w:val="nil"/>
            </w:tcBorders>
            <w:shd w:val="clear" w:color="000000" w:fill="E6E6E6"/>
            <w:noWrap/>
            <w:vAlign w:val="bottom"/>
          </w:tcPr>
          <w:p w:rsidR="003C350F" w:rsidRPr="00AC6251" w:rsidRDefault="003C350F" w:rsidP="001205C8">
            <w:pPr>
              <w:spacing w:before="60" w:after="0" w:line="240" w:lineRule="auto"/>
              <w:jc w:val="right"/>
              <w:rPr>
                <w:rFonts w:ascii="Arial" w:hAnsi="Arial" w:cs="Arial"/>
                <w:bCs/>
                <w:sz w:val="16"/>
                <w:szCs w:val="16"/>
              </w:rPr>
            </w:pPr>
            <w:r w:rsidRPr="00AC6251">
              <w:rPr>
                <w:rFonts w:ascii="Arial" w:hAnsi="Arial" w:cs="Arial"/>
                <w:bCs/>
                <w:sz w:val="16"/>
                <w:szCs w:val="16"/>
              </w:rPr>
              <w:t>3,000</w:t>
            </w:r>
          </w:p>
        </w:tc>
        <w:tc>
          <w:tcPr>
            <w:tcW w:w="901" w:type="dxa"/>
            <w:tcBorders>
              <w:top w:val="nil"/>
              <w:left w:val="nil"/>
              <w:bottom w:val="single" w:sz="4" w:space="0" w:color="auto"/>
              <w:right w:val="nil"/>
            </w:tcBorders>
            <w:noWrap/>
            <w:vAlign w:val="bottom"/>
          </w:tcPr>
          <w:p w:rsidR="003C350F" w:rsidRPr="00AC6251" w:rsidRDefault="003C350F" w:rsidP="001205C8">
            <w:pPr>
              <w:spacing w:before="60" w:after="0" w:line="240" w:lineRule="auto"/>
              <w:jc w:val="right"/>
              <w:rPr>
                <w:rFonts w:ascii="Arial" w:hAnsi="Arial" w:cs="Arial"/>
                <w:bCs/>
                <w:sz w:val="16"/>
                <w:szCs w:val="16"/>
              </w:rPr>
            </w:pPr>
            <w:r w:rsidRPr="00AC6251">
              <w:rPr>
                <w:rFonts w:ascii="Arial" w:hAnsi="Arial" w:cs="Arial"/>
                <w:bCs/>
                <w:sz w:val="16"/>
                <w:szCs w:val="16"/>
              </w:rPr>
              <w:t>3,000</w:t>
            </w:r>
          </w:p>
        </w:tc>
        <w:tc>
          <w:tcPr>
            <w:tcW w:w="901" w:type="dxa"/>
            <w:tcBorders>
              <w:top w:val="nil"/>
              <w:left w:val="nil"/>
              <w:bottom w:val="single" w:sz="4" w:space="0" w:color="auto"/>
              <w:right w:val="nil"/>
            </w:tcBorders>
            <w:noWrap/>
            <w:vAlign w:val="bottom"/>
          </w:tcPr>
          <w:p w:rsidR="003C350F" w:rsidRPr="00AC6251" w:rsidRDefault="003C350F" w:rsidP="001205C8">
            <w:pPr>
              <w:spacing w:before="60" w:after="0" w:line="240" w:lineRule="auto"/>
              <w:jc w:val="right"/>
              <w:rPr>
                <w:rFonts w:ascii="Arial" w:hAnsi="Arial" w:cs="Arial"/>
                <w:bCs/>
                <w:sz w:val="16"/>
                <w:szCs w:val="16"/>
              </w:rPr>
            </w:pPr>
            <w:r w:rsidRPr="00AC6251">
              <w:rPr>
                <w:rFonts w:ascii="Arial" w:hAnsi="Arial" w:cs="Arial"/>
                <w:bCs/>
                <w:sz w:val="16"/>
                <w:szCs w:val="16"/>
              </w:rPr>
              <w:t>3,000</w:t>
            </w:r>
          </w:p>
        </w:tc>
        <w:tc>
          <w:tcPr>
            <w:tcW w:w="901" w:type="dxa"/>
            <w:tcBorders>
              <w:top w:val="nil"/>
              <w:left w:val="nil"/>
              <w:bottom w:val="single" w:sz="4" w:space="0" w:color="auto"/>
              <w:right w:val="nil"/>
            </w:tcBorders>
            <w:noWrap/>
            <w:vAlign w:val="bottom"/>
          </w:tcPr>
          <w:p w:rsidR="003C350F" w:rsidRPr="00AC6251" w:rsidRDefault="00E55215" w:rsidP="001205C8">
            <w:pPr>
              <w:spacing w:before="60" w:after="0" w:line="240" w:lineRule="auto"/>
              <w:jc w:val="right"/>
              <w:rPr>
                <w:rFonts w:ascii="Arial" w:hAnsi="Arial" w:cs="Arial"/>
                <w:bCs/>
                <w:sz w:val="16"/>
                <w:szCs w:val="16"/>
              </w:rPr>
            </w:pPr>
            <w:r w:rsidRPr="00AC6251">
              <w:rPr>
                <w:rFonts w:ascii="Arial" w:hAnsi="Arial" w:cs="Arial"/>
                <w:sz w:val="16"/>
                <w:szCs w:val="16"/>
              </w:rPr>
              <w:t>3,500</w:t>
            </w:r>
          </w:p>
        </w:tc>
      </w:tr>
    </w:tbl>
    <w:p w:rsidR="00AC6251" w:rsidRDefault="00AC6251" w:rsidP="003A485D"/>
    <w:p w:rsidR="007452AA" w:rsidRDefault="007452AA" w:rsidP="0080198B">
      <w:pPr>
        <w:pStyle w:val="Heading7"/>
      </w:pPr>
      <w:r w:rsidRPr="00AC6337">
        <w:t xml:space="preserve">Program </w:t>
      </w:r>
      <w:r w:rsidR="003C0FAF">
        <w:t xml:space="preserve">5.5 </w:t>
      </w:r>
      <w:r w:rsidR="00D52A4F">
        <w:t>key performance i</w:t>
      </w:r>
      <w:r w:rsidR="00D52A4F" w:rsidRPr="00AC6337">
        <w:t xml:space="preserve">ndicators </w:t>
      </w:r>
    </w:p>
    <w:p w:rsidR="003C350F" w:rsidRPr="006D2B67" w:rsidRDefault="003C350F" w:rsidP="0080198B">
      <w:pPr>
        <w:pStyle w:val="Heading8"/>
      </w:pPr>
      <w:r w:rsidRPr="006D2B67">
        <w:t>Support for Carers</w:t>
      </w:r>
    </w:p>
    <w:p w:rsidR="003C350F" w:rsidRDefault="003C350F" w:rsidP="003C350F">
      <w:pPr>
        <w:pStyle w:val="BulletBox"/>
      </w:pPr>
      <w:r>
        <w:t>Percentage and number of clients from Indigenous and culturally and linguistically diverse backgrounds</w:t>
      </w:r>
    </w:p>
    <w:p w:rsidR="003C350F" w:rsidRPr="003C350F" w:rsidRDefault="003C350F" w:rsidP="003C350F">
      <w:pPr>
        <w:pStyle w:val="BulletBox"/>
      </w:pPr>
      <w:r>
        <w:t>Percentage of clients satisfied that the services they received were appropriate to their needs as carers</w:t>
      </w:r>
    </w:p>
    <w:p w:rsidR="007452AA" w:rsidRDefault="007452AA" w:rsidP="00DA260E">
      <w:pPr>
        <w:rPr>
          <w:lang w:val="en-GB"/>
        </w:rPr>
      </w:pPr>
    </w:p>
    <w:p w:rsidR="00A42B96" w:rsidRPr="00985BC3" w:rsidRDefault="0080198B" w:rsidP="0080198B">
      <w:pPr>
        <w:pStyle w:val="Heading6"/>
      </w:pPr>
      <w:r>
        <w:rPr>
          <w:lang w:val="en-GB"/>
        </w:rPr>
        <w:br w:type="page"/>
      </w:r>
      <w:r w:rsidR="00A42B96" w:rsidRPr="00985BC3">
        <w:lastRenderedPageBreak/>
        <w:t xml:space="preserve">Program 5.6: National </w:t>
      </w:r>
      <w:r w:rsidR="00F62A3A" w:rsidRPr="00985BC3">
        <w:t>D</w:t>
      </w:r>
      <w:r w:rsidR="00A42B96" w:rsidRPr="00985BC3">
        <w:t>isability Insurance Scheme</w:t>
      </w:r>
    </w:p>
    <w:p w:rsidR="00A42B96" w:rsidRPr="005703E9" w:rsidRDefault="00A42B96" w:rsidP="005703E9">
      <w:pPr>
        <w:pStyle w:val="SinglePara"/>
      </w:pPr>
    </w:p>
    <w:p w:rsidR="003C350F" w:rsidRDefault="003C350F" w:rsidP="003C350F">
      <w:pPr>
        <w:pStyle w:val="ProgramHeading2"/>
      </w:pPr>
      <w:r>
        <w:t>Program 5</w:t>
      </w:r>
      <w:r w:rsidRPr="0080198B">
        <w:rPr>
          <w:rStyle w:val="Heading7Char"/>
        </w:rPr>
        <w:t>.6</w:t>
      </w:r>
      <w:r>
        <w:t xml:space="preserve"> </w:t>
      </w:r>
      <w:r w:rsidR="00D52A4F">
        <w:t>o</w:t>
      </w:r>
      <w:r>
        <w:t>bjective</w:t>
      </w:r>
    </w:p>
    <w:p w:rsidR="003C350F" w:rsidRDefault="003C350F" w:rsidP="00CE6400">
      <w:pPr>
        <w:pStyle w:val="NormalBox"/>
        <w:pBdr>
          <w:between w:val="single" w:sz="2" w:space="3" w:color="auto"/>
        </w:pBdr>
      </w:pPr>
      <w:r w:rsidRPr="003C350F">
        <w:t>To improve the wellbeing and social and economic participation of people with disability and their</w:t>
      </w:r>
      <w:r w:rsidR="000B0D59">
        <w:t xml:space="preserve"> families and</w:t>
      </w:r>
      <w:r w:rsidRPr="003C350F">
        <w:t xml:space="preserve"> carers by building </w:t>
      </w:r>
      <w:proofErr w:type="spellStart"/>
      <w:r w:rsidR="00822A63">
        <w:t>DisabilityCare</w:t>
      </w:r>
      <w:proofErr w:type="spellEnd"/>
      <w:r w:rsidR="00822A63">
        <w:t xml:space="preserve"> Australia, </w:t>
      </w:r>
      <w:r w:rsidRPr="003C350F">
        <w:t xml:space="preserve">a </w:t>
      </w:r>
      <w:r w:rsidR="00822A63">
        <w:t>n</w:t>
      </w:r>
      <w:r w:rsidRPr="003C350F">
        <w:t xml:space="preserve">ational </w:t>
      </w:r>
      <w:r w:rsidR="00822A63">
        <w:t>d</w:t>
      </w:r>
      <w:r w:rsidRPr="003C350F">
        <w:t xml:space="preserve">isability </w:t>
      </w:r>
      <w:r w:rsidR="00822A63">
        <w:t>i</w:t>
      </w:r>
      <w:r w:rsidRPr="003C350F">
        <w:t xml:space="preserve">nsurance </w:t>
      </w:r>
      <w:r w:rsidR="00822A63">
        <w:t>s</w:t>
      </w:r>
      <w:r w:rsidRPr="003C350F">
        <w:t>cheme</w:t>
      </w:r>
      <w:r w:rsidR="00822A63">
        <w:t>,</w:t>
      </w:r>
      <w:r w:rsidRPr="003C350F">
        <w:t xml:space="preserve"> that delivers </w:t>
      </w:r>
      <w:r w:rsidR="00822A63">
        <w:t xml:space="preserve">individualised </w:t>
      </w:r>
      <w:r w:rsidRPr="003C350F">
        <w:t>support through an insurance approach.</w:t>
      </w:r>
    </w:p>
    <w:p w:rsidR="003818FC" w:rsidRDefault="003818FC" w:rsidP="003818FC">
      <w:pPr>
        <w:pStyle w:val="NormalBox"/>
      </w:pPr>
      <w:r>
        <w:t xml:space="preserve">Linked to: DHA Program 4.6: Administer Payments to the Continence Aids Payment Scheme and </w:t>
      </w:r>
      <w:r w:rsidR="00AA2F22">
        <w:t>Program</w:t>
      </w:r>
      <w:r>
        <w:t xml:space="preserve"> 11.1: Mental Health. For more information refer to DHA’s </w:t>
      </w:r>
      <w:r>
        <w:br/>
        <w:t>2013–14 PB Statements.</w:t>
      </w:r>
    </w:p>
    <w:p w:rsidR="003818FC" w:rsidRDefault="003818FC" w:rsidP="00C13EC6">
      <w:pPr>
        <w:pStyle w:val="NormalBox"/>
      </w:pPr>
      <w:r>
        <w:t xml:space="preserve">Also linked to: DEEWR Program 3.5: Working Age Payments and Program </w:t>
      </w:r>
      <w:r w:rsidR="00E6090F">
        <w:t>3</w:t>
      </w:r>
      <w:r>
        <w:t>.3</w:t>
      </w:r>
      <w:r w:rsidR="000B0D59">
        <w:t>: </w:t>
      </w:r>
      <w:r>
        <w:t>Disability Employment Services. For more information refer to DEEWR’s 2013–14 PB</w:t>
      </w:r>
      <w:r w:rsidR="007A6D3C">
        <w:t> </w:t>
      </w:r>
      <w:r>
        <w:t>Statements.</w:t>
      </w:r>
    </w:p>
    <w:p w:rsidR="003818FC" w:rsidRDefault="003818FC">
      <w:pPr>
        <w:pStyle w:val="NormalBox"/>
      </w:pPr>
      <w:r>
        <w:t>Program 5.1: Targeted Community Care.</w:t>
      </w:r>
    </w:p>
    <w:p w:rsidR="003818FC" w:rsidRDefault="003818FC">
      <w:pPr>
        <w:pStyle w:val="NormalBox"/>
      </w:pPr>
      <w:r>
        <w:t>Program 5.4: Services and Support for People with Disability.</w:t>
      </w:r>
    </w:p>
    <w:p w:rsidR="003818FC" w:rsidRDefault="003818FC">
      <w:pPr>
        <w:pStyle w:val="NormalBox"/>
      </w:pPr>
      <w:r>
        <w:t>Program 5.5: Support for Carers.</w:t>
      </w:r>
    </w:p>
    <w:p w:rsidR="003818FC" w:rsidRPr="003818FC" w:rsidRDefault="003818FC">
      <w:pPr>
        <w:pStyle w:val="NormalBox"/>
      </w:pPr>
      <w:r>
        <w:t>Program 5.7: Early Intervention Services for Children with Disability.</w:t>
      </w:r>
    </w:p>
    <w:p w:rsidR="003C350F" w:rsidRDefault="003C350F" w:rsidP="005518E4">
      <w:pPr>
        <w:rPr>
          <w:lang w:val="en-GB"/>
        </w:rPr>
      </w:pPr>
    </w:p>
    <w:p w:rsidR="003C350F" w:rsidRDefault="00ED6292" w:rsidP="0080198B">
      <w:pPr>
        <w:pStyle w:val="Heading7"/>
      </w:pPr>
      <w:r>
        <w:br w:type="page"/>
      </w:r>
      <w:r w:rsidR="003C350F">
        <w:lastRenderedPageBreak/>
        <w:t xml:space="preserve">Program 5.6 </w:t>
      </w:r>
      <w:r w:rsidR="00D52A4F">
        <w:t>e</w:t>
      </w:r>
      <w:r w:rsidR="003C350F">
        <w:t>xpenses</w:t>
      </w:r>
    </w:p>
    <w:p w:rsidR="00293295" w:rsidRPr="00704365" w:rsidRDefault="00603D17" w:rsidP="00293295">
      <w:pPr>
        <w:pStyle w:val="NormalBox"/>
      </w:pPr>
      <w:r w:rsidRPr="00603D17">
        <w:t>The increase in program expenses across the forward estimates reflects a gradual take</w:t>
      </w:r>
      <w:r w:rsidRPr="00603D17">
        <w:rPr>
          <w:rFonts w:ascii="MS Mincho" w:eastAsia="MS Mincho" w:hAnsi="MS Mincho" w:cs="MS Mincho" w:hint="eastAsia"/>
        </w:rPr>
        <w:t>‑</w:t>
      </w:r>
      <w:r w:rsidRPr="00603D17">
        <w:t xml:space="preserve">up of individually funded packages by eligible people with disability in selected locations </w:t>
      </w:r>
      <w:r w:rsidR="00432DD9">
        <w:t>over</w:t>
      </w:r>
      <w:r w:rsidR="00432DD9" w:rsidRPr="00603D17">
        <w:t xml:space="preserve"> </w:t>
      </w:r>
      <w:r w:rsidRPr="00603D17">
        <w:t>the initial four</w:t>
      </w:r>
      <w:r w:rsidR="00432DD9">
        <w:t>-</w:t>
      </w:r>
      <w:r w:rsidR="00E91D8F">
        <w:t>year</w:t>
      </w:r>
      <w:r w:rsidRPr="00603D17">
        <w:t xml:space="preserve"> period. In particular, increased program expenses reflect an expansion in the number of people with disability receiving support, from </w:t>
      </w:r>
      <w:r w:rsidR="00265A64">
        <w:t xml:space="preserve">about </w:t>
      </w:r>
      <w:r w:rsidR="00CC01AD">
        <w:t>9,500</w:t>
      </w:r>
      <w:r w:rsidRPr="00603D17">
        <w:t xml:space="preserve"> people in 2013–14 to </w:t>
      </w:r>
      <w:r w:rsidR="00265A64">
        <w:t xml:space="preserve">about </w:t>
      </w:r>
      <w:r w:rsidR="00A67BA6">
        <w:t>149</w:t>
      </w:r>
      <w:r w:rsidRPr="00603D17">
        <w:t>,</w:t>
      </w:r>
      <w:r w:rsidR="00A67BA6">
        <w:t>5</w:t>
      </w:r>
      <w:r w:rsidR="00A67BA6" w:rsidRPr="00603D17">
        <w:t xml:space="preserve">00 </w:t>
      </w:r>
      <w:r w:rsidRPr="00603D17">
        <w:t>people in 201</w:t>
      </w:r>
      <w:r w:rsidR="00A67BA6">
        <w:t>6</w:t>
      </w:r>
      <w:r w:rsidRPr="00603D17">
        <w:t>–1</w:t>
      </w:r>
      <w:r w:rsidR="00A67BA6">
        <w:t>7</w:t>
      </w:r>
      <w:r w:rsidRPr="00603D17">
        <w:t>.</w:t>
      </w:r>
    </w:p>
    <w:p w:rsidR="00A42B96" w:rsidRDefault="009B64C9" w:rsidP="000616CD">
      <w:pPr>
        <w:pStyle w:val="TableHeading"/>
        <w:rPr>
          <w:lang w:val="en-GB"/>
        </w:rPr>
      </w:pPr>
      <w:r>
        <w:rPr>
          <w:lang w:val="en-GB"/>
        </w:rPr>
        <w:t>Table 2.</w:t>
      </w:r>
      <w:r w:rsidR="00A42B96" w:rsidRPr="00316DBB">
        <w:rPr>
          <w:lang w:val="en-GB"/>
        </w:rPr>
        <w:t xml:space="preserve">5.6: </w:t>
      </w:r>
      <w:r w:rsidR="004B5D66">
        <w:rPr>
          <w:lang w:val="en-GB"/>
        </w:rPr>
        <w:t xml:space="preserve">Budgeted </w:t>
      </w:r>
      <w:r w:rsidR="00593578">
        <w:rPr>
          <w:lang w:val="en-GB"/>
        </w:rPr>
        <w:t xml:space="preserve">Commonwealth </w:t>
      </w:r>
      <w:r w:rsidR="00432DD9">
        <w:rPr>
          <w:lang w:val="en-GB"/>
        </w:rPr>
        <w:t>e</w:t>
      </w:r>
      <w:r w:rsidR="00A42B96" w:rsidRPr="00316DBB">
        <w:rPr>
          <w:lang w:val="en-GB"/>
        </w:rPr>
        <w:t xml:space="preserve">xpenses </w:t>
      </w:r>
      <w:r w:rsidR="00593578">
        <w:rPr>
          <w:lang w:val="en-GB"/>
        </w:rPr>
        <w:t xml:space="preserve">related to </w:t>
      </w:r>
      <w:r w:rsidR="001135AF">
        <w:rPr>
          <w:lang w:val="en-GB"/>
        </w:rPr>
        <w:t>the n</w:t>
      </w:r>
      <w:r w:rsidR="004B5D66">
        <w:rPr>
          <w:lang w:val="en-GB"/>
        </w:rPr>
        <w:t xml:space="preserve">ational </w:t>
      </w:r>
      <w:r w:rsidR="001135AF">
        <w:rPr>
          <w:lang w:val="en-GB"/>
        </w:rPr>
        <w:t>d</w:t>
      </w:r>
      <w:r w:rsidR="004B5D66">
        <w:rPr>
          <w:lang w:val="en-GB"/>
        </w:rPr>
        <w:t xml:space="preserve">isability </w:t>
      </w:r>
      <w:r w:rsidR="001135AF">
        <w:rPr>
          <w:lang w:val="en-GB"/>
        </w:rPr>
        <w:t>i</w:t>
      </w:r>
      <w:r w:rsidR="004B5D66">
        <w:rPr>
          <w:lang w:val="en-GB"/>
        </w:rPr>
        <w:t xml:space="preserve">nsurance </w:t>
      </w:r>
      <w:r w:rsidR="001135AF">
        <w:rPr>
          <w:lang w:val="en-GB"/>
        </w:rPr>
        <w:t>s</w:t>
      </w:r>
      <w:r w:rsidR="004B5D66">
        <w:rPr>
          <w:lang w:val="en-GB"/>
        </w:rPr>
        <w:t>cheme</w:t>
      </w:r>
    </w:p>
    <w:p w:rsidR="008C1F44" w:rsidRDefault="00887EDD" w:rsidP="008C1F44">
      <w:pPr>
        <w:pStyle w:val="TableGraphic"/>
        <w:rPr>
          <w:lang w:val="en-GB"/>
        </w:rPr>
      </w:pPr>
      <w:r>
        <w:rPr>
          <w:noProof/>
        </w:rPr>
        <w:drawing>
          <wp:inline distT="0" distB="0" distL="0" distR="0" wp14:anchorId="7B4038C1" wp14:editId="69CE30AF">
            <wp:extent cx="4857750" cy="4552950"/>
            <wp:effectExtent l="0" t="0" r="0" b="0"/>
            <wp:docPr id="315" name="Picture 315" descr="Table 2.5.6: Budgeted Commonwealth expenses related to the national disabilit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7750" cy="4552950"/>
                    </a:xfrm>
                    <a:prstGeom prst="rect">
                      <a:avLst/>
                    </a:prstGeom>
                    <a:noFill/>
                    <a:ln>
                      <a:noFill/>
                    </a:ln>
                  </pic:spPr>
                </pic:pic>
              </a:graphicData>
            </a:graphic>
          </wp:inline>
        </w:drawing>
      </w:r>
    </w:p>
    <w:p w:rsidR="0080198B" w:rsidRDefault="0080198B" w:rsidP="0080198B">
      <w:pPr>
        <w:rPr>
          <w:lang w:val="en-GB"/>
        </w:rPr>
      </w:pPr>
    </w:p>
    <w:p w:rsidR="0080198B" w:rsidRPr="0080198B" w:rsidRDefault="0080198B" w:rsidP="0080198B">
      <w:pPr>
        <w:rPr>
          <w:lang w:val="en-GB"/>
        </w:rPr>
      </w:pPr>
    </w:p>
    <w:p w:rsidR="00A42B96" w:rsidRDefault="00B003B6" w:rsidP="0080198B">
      <w:pPr>
        <w:pStyle w:val="Heading7"/>
      </w:pPr>
      <w:r w:rsidRPr="00072B1D">
        <w:lastRenderedPageBreak/>
        <w:t>Program</w:t>
      </w:r>
      <w:r w:rsidRPr="00985BC3">
        <w:t xml:space="preserve"> 5.6</w:t>
      </w:r>
      <w:r w:rsidR="003C350F">
        <w:t xml:space="preserve"> </w:t>
      </w:r>
      <w:r w:rsidR="00432DD9">
        <w:t>d</w:t>
      </w:r>
      <w:r w:rsidR="00A42B96" w:rsidRPr="00985BC3">
        <w:t>eliverables</w:t>
      </w:r>
      <w:r w:rsidR="003C350F" w:rsidRPr="003D38EE">
        <w:rPr>
          <w:rStyle w:val="FootnoteReference"/>
          <w:b w:val="0"/>
        </w:rPr>
        <w:footnoteReference w:id="27"/>
      </w:r>
    </w:p>
    <w:p w:rsidR="003C350F" w:rsidRDefault="003C350F" w:rsidP="0080198B">
      <w:pPr>
        <w:pStyle w:val="Heading8"/>
      </w:pPr>
      <w:r w:rsidRPr="006D2B67">
        <w:t>National Disability Insurance Scheme</w:t>
      </w:r>
    </w:p>
    <w:p w:rsidR="009D687F" w:rsidRPr="009D687F" w:rsidRDefault="009D687F" w:rsidP="009D687F">
      <w:pPr>
        <w:pStyle w:val="BulletBox"/>
      </w:pPr>
      <w:r w:rsidRPr="009D687F">
        <w:t>Eligible people with disability in launch sites are</w:t>
      </w:r>
      <w:r w:rsidR="00314A4B">
        <w:t xml:space="preserve"> supported to transition into </w:t>
      </w:r>
      <w:proofErr w:type="spellStart"/>
      <w:r w:rsidR="00314A4B">
        <w:t>DisabilityCare</w:t>
      </w:r>
      <w:proofErr w:type="spellEnd"/>
      <w:r w:rsidR="00314A4B">
        <w:t xml:space="preserve"> Australia and are</w:t>
      </w:r>
      <w:r w:rsidRPr="009D687F">
        <w:t xml:space="preserve"> provided with reasonable and necessary supports</w:t>
      </w:r>
    </w:p>
    <w:p w:rsidR="009D687F" w:rsidRPr="009D687F" w:rsidRDefault="009D687F" w:rsidP="009D687F">
      <w:pPr>
        <w:pStyle w:val="BulletBox"/>
      </w:pPr>
      <w:r w:rsidRPr="009D687F">
        <w:t xml:space="preserve">Agreements with states and territories for </w:t>
      </w:r>
      <w:r w:rsidR="00314A4B">
        <w:t>detailed transition to</w:t>
      </w:r>
      <w:r w:rsidRPr="009D687F">
        <w:t xml:space="preserve"> </w:t>
      </w:r>
      <w:proofErr w:type="spellStart"/>
      <w:r w:rsidRPr="009D687F">
        <w:t>DisabilityCare</w:t>
      </w:r>
      <w:proofErr w:type="spellEnd"/>
      <w:r w:rsidRPr="009D687F">
        <w:t xml:space="preserve"> Australia</w:t>
      </w:r>
      <w:r w:rsidR="00314A4B">
        <w:t>, and with all state and territories for full scheme</w:t>
      </w:r>
    </w:p>
    <w:p w:rsidR="009D687F" w:rsidRPr="009D687F" w:rsidRDefault="009D687F" w:rsidP="009D687F">
      <w:pPr>
        <w:pStyle w:val="BulletBox"/>
      </w:pPr>
      <w:r w:rsidRPr="009D687F">
        <w:t xml:space="preserve">Policy developed to respond to </w:t>
      </w:r>
      <w:r w:rsidR="00314A4B">
        <w:t>evaluation from</w:t>
      </w:r>
      <w:r w:rsidRPr="009D687F">
        <w:t xml:space="preserve"> the launch for</w:t>
      </w:r>
      <w:r w:rsidR="00C12AA6">
        <w:br/>
      </w:r>
      <w:r w:rsidRPr="009D687F">
        <w:t>full</w:t>
      </w:r>
      <w:r w:rsidR="00C12AA6">
        <w:t>-</w:t>
      </w:r>
      <w:r w:rsidRPr="009D687F">
        <w:t xml:space="preserve">scheme </w:t>
      </w:r>
      <w:r w:rsidR="00830798">
        <w:t>roll-out</w:t>
      </w:r>
      <w:r w:rsidRPr="009D687F">
        <w:t xml:space="preserve"> of </w:t>
      </w:r>
      <w:proofErr w:type="spellStart"/>
      <w:r w:rsidRPr="009D687F">
        <w:t>DisabilityCare</w:t>
      </w:r>
      <w:proofErr w:type="spellEnd"/>
      <w:r w:rsidRPr="009D687F">
        <w:t xml:space="preserve"> Australia</w:t>
      </w:r>
    </w:p>
    <w:p w:rsidR="00524238" w:rsidRDefault="00524238" w:rsidP="003A485D">
      <w:pPr>
        <w:pStyle w:val="SinglePara"/>
        <w:rPr>
          <w:lang w:val="en-GB"/>
        </w:rPr>
      </w:pPr>
    </w:p>
    <w:p w:rsidR="00524238" w:rsidRDefault="00524238" w:rsidP="0080198B">
      <w:pPr>
        <w:pStyle w:val="Heading7"/>
      </w:pPr>
      <w:r>
        <w:t xml:space="preserve">Qualitative </w:t>
      </w:r>
      <w:r w:rsidR="00432DD9">
        <w:t>d</w:t>
      </w:r>
      <w:r>
        <w:t>eliverables</w:t>
      </w:r>
    </w:p>
    <w:p w:rsidR="00FE7E88" w:rsidRDefault="00FE7E88" w:rsidP="00FE7E88">
      <w:pPr>
        <w:pStyle w:val="BulletBox"/>
      </w:pPr>
      <w:r>
        <w:t>Support for the Standing Council on Disability Reform and related Commonwealth</w:t>
      </w:r>
      <w:r w:rsidR="00432DD9">
        <w:t>–</w:t>
      </w:r>
      <w:r w:rsidR="00254B87">
        <w:t>S</w:t>
      </w:r>
      <w:r>
        <w:t>tate forums</w:t>
      </w:r>
    </w:p>
    <w:p w:rsidR="00FE7E88" w:rsidRPr="00FE7E88" w:rsidRDefault="00FE7E88" w:rsidP="00FE7E88">
      <w:pPr>
        <w:pStyle w:val="BulletBox"/>
      </w:pPr>
      <w:r>
        <w:t xml:space="preserve">Monitoring and refinements to </w:t>
      </w:r>
      <w:proofErr w:type="spellStart"/>
      <w:r>
        <w:t>DisabilityCare</w:t>
      </w:r>
      <w:proofErr w:type="spellEnd"/>
      <w:r>
        <w:t xml:space="preserve"> Australia design following launch</w:t>
      </w:r>
    </w:p>
    <w:p w:rsidR="00EE780D" w:rsidRDefault="00E32839" w:rsidP="00E32839">
      <w:pPr>
        <w:pStyle w:val="TableHeading"/>
        <w:rPr>
          <w:lang w:val="en-GB"/>
        </w:rPr>
      </w:pPr>
      <w:r>
        <w:rPr>
          <w:lang w:val="en-GB"/>
        </w:rPr>
        <w:t xml:space="preserve">NDIS </w:t>
      </w:r>
      <w:r w:rsidR="00432DD9">
        <w:rPr>
          <w:lang w:val="en-GB"/>
        </w:rPr>
        <w:t>deliverables targets</w:t>
      </w:r>
      <w:r w:rsidR="00127FF8" w:rsidRPr="00C6620B">
        <w:rPr>
          <w:rStyle w:val="FootnoteReference"/>
          <w:b w:val="0"/>
          <w:lang w:val="en-GB"/>
        </w:rPr>
        <w:footnoteReference w:id="28"/>
      </w:r>
    </w:p>
    <w:tbl>
      <w:tblPr>
        <w:tblW w:w="7655" w:type="dxa"/>
        <w:tblInd w:w="28" w:type="dxa"/>
        <w:tblBorders>
          <w:top w:val="single" w:sz="2" w:space="0" w:color="auto"/>
          <w:bottom w:val="single" w:sz="2" w:space="0" w:color="auto"/>
          <w:insideH w:val="single" w:sz="2" w:space="0" w:color="auto"/>
        </w:tblBorders>
        <w:tblCellMar>
          <w:top w:w="57" w:type="dxa"/>
          <w:left w:w="30" w:type="dxa"/>
          <w:bottom w:w="57" w:type="dxa"/>
          <w:right w:w="30" w:type="dxa"/>
        </w:tblCellMar>
        <w:tblLook w:val="0000" w:firstRow="0" w:lastRow="0" w:firstColumn="0" w:lastColumn="0" w:noHBand="0" w:noVBand="0"/>
        <w:tblDescription w:val="NDIS deliverables targets "/>
      </w:tblPr>
      <w:tblGrid>
        <w:gridCol w:w="3111"/>
        <w:gridCol w:w="908"/>
        <w:gridCol w:w="909"/>
        <w:gridCol w:w="909"/>
        <w:gridCol w:w="909"/>
        <w:gridCol w:w="909"/>
      </w:tblGrid>
      <w:tr w:rsidR="00271EED" w:rsidRPr="00893575" w:rsidTr="00483813">
        <w:trPr>
          <w:trHeight w:val="225"/>
        </w:trPr>
        <w:tc>
          <w:tcPr>
            <w:tcW w:w="3107" w:type="dxa"/>
            <w:tcBorders>
              <w:bottom w:val="single" w:sz="2" w:space="0" w:color="auto"/>
            </w:tcBorders>
            <w:vAlign w:val="center"/>
          </w:tcPr>
          <w:p w:rsidR="00271EED" w:rsidRPr="00893575" w:rsidRDefault="00271EED" w:rsidP="00271EED">
            <w:pPr>
              <w:keepNext/>
              <w:autoSpaceDE w:val="0"/>
              <w:autoSpaceDN w:val="0"/>
              <w:adjustRightInd w:val="0"/>
              <w:spacing w:after="0" w:line="240" w:lineRule="auto"/>
              <w:jc w:val="left"/>
              <w:rPr>
                <w:rFonts w:ascii="Arial" w:hAnsi="Arial" w:cs="Arial"/>
                <w:color w:val="000000"/>
                <w:sz w:val="16"/>
                <w:szCs w:val="16"/>
              </w:rPr>
            </w:pPr>
          </w:p>
        </w:tc>
        <w:tc>
          <w:tcPr>
            <w:tcW w:w="907" w:type="dxa"/>
            <w:tcBorders>
              <w:bottom w:val="single" w:sz="2" w:space="0" w:color="auto"/>
            </w:tcBorders>
            <w:shd w:val="clear" w:color="auto" w:fill="auto"/>
          </w:tcPr>
          <w:p w:rsidR="00271EED" w:rsidRPr="00893575" w:rsidRDefault="00271EED" w:rsidP="00D921A7">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2012–13</w:t>
            </w:r>
          </w:p>
          <w:p w:rsidR="00271EED" w:rsidRPr="00893575" w:rsidRDefault="00271EED" w:rsidP="000616C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Revised budget</w:t>
            </w:r>
          </w:p>
        </w:tc>
        <w:tc>
          <w:tcPr>
            <w:tcW w:w="907" w:type="dxa"/>
            <w:tcBorders>
              <w:bottom w:val="single" w:sz="2" w:space="0" w:color="auto"/>
            </w:tcBorders>
            <w:shd w:val="clear" w:color="auto" w:fill="D9D9D9"/>
          </w:tcPr>
          <w:p w:rsidR="00271EED" w:rsidRPr="00893575" w:rsidRDefault="00271EED" w:rsidP="000616CD">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2013</w:t>
            </w:r>
            <w:r>
              <w:rPr>
                <w:rFonts w:ascii="Arial" w:hAnsi="Arial" w:cs="Arial"/>
                <w:color w:val="000000"/>
                <w:sz w:val="16"/>
                <w:szCs w:val="16"/>
              </w:rPr>
              <w:t>–14</w:t>
            </w:r>
          </w:p>
          <w:p w:rsidR="00271EED" w:rsidRPr="00893575" w:rsidRDefault="00271EED" w:rsidP="00271EE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B</w:t>
            </w:r>
            <w:r w:rsidRPr="00893575">
              <w:rPr>
                <w:rFonts w:ascii="Arial" w:hAnsi="Arial" w:cs="Arial"/>
                <w:color w:val="000000"/>
                <w:sz w:val="16"/>
                <w:szCs w:val="16"/>
              </w:rPr>
              <w:t>udget</w:t>
            </w:r>
          </w:p>
        </w:tc>
        <w:tc>
          <w:tcPr>
            <w:tcW w:w="907" w:type="dxa"/>
            <w:tcBorders>
              <w:bottom w:val="single" w:sz="2" w:space="0" w:color="auto"/>
            </w:tcBorders>
          </w:tcPr>
          <w:p w:rsidR="00271EED" w:rsidRPr="00893575" w:rsidRDefault="00271EED" w:rsidP="00E83C8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2014–15 </w:t>
            </w:r>
            <w:r w:rsidRPr="00893575">
              <w:rPr>
                <w:rFonts w:ascii="Arial" w:hAnsi="Arial" w:cs="Arial"/>
                <w:color w:val="000000"/>
                <w:sz w:val="16"/>
                <w:szCs w:val="16"/>
              </w:rPr>
              <w:t>Forward</w:t>
            </w:r>
          </w:p>
          <w:p w:rsidR="00271EED" w:rsidRPr="00893575" w:rsidRDefault="00271EED" w:rsidP="00E83C8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1</w:t>
            </w:r>
          </w:p>
        </w:tc>
        <w:tc>
          <w:tcPr>
            <w:tcW w:w="907" w:type="dxa"/>
            <w:tcBorders>
              <w:bottom w:val="single" w:sz="2" w:space="0" w:color="auto"/>
            </w:tcBorders>
          </w:tcPr>
          <w:p w:rsidR="00271EED" w:rsidRPr="00893575" w:rsidRDefault="00271EED" w:rsidP="000616C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271EED" w:rsidRPr="00893575" w:rsidRDefault="00271EED" w:rsidP="00E83C8A">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271EED" w:rsidRPr="00893575" w:rsidRDefault="00271EED" w:rsidP="00E83C8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2</w:t>
            </w:r>
          </w:p>
        </w:tc>
        <w:tc>
          <w:tcPr>
            <w:tcW w:w="907" w:type="dxa"/>
            <w:tcBorders>
              <w:bottom w:val="single" w:sz="2" w:space="0" w:color="auto"/>
            </w:tcBorders>
          </w:tcPr>
          <w:p w:rsidR="00271EED" w:rsidRPr="00893575" w:rsidRDefault="00271EED" w:rsidP="000616CD">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2016–17</w:t>
            </w:r>
          </w:p>
          <w:p w:rsidR="00271EED" w:rsidRPr="00893575" w:rsidRDefault="00271EED" w:rsidP="000616CD">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271EED" w:rsidRPr="00893575" w:rsidRDefault="00271EED" w:rsidP="00E83C8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3</w:t>
            </w:r>
          </w:p>
        </w:tc>
      </w:tr>
      <w:tr w:rsidR="00E32839" w:rsidRPr="00893575" w:rsidTr="00483813">
        <w:trPr>
          <w:trHeight w:val="225"/>
        </w:trPr>
        <w:tc>
          <w:tcPr>
            <w:tcW w:w="3107" w:type="dxa"/>
            <w:tcBorders>
              <w:bottom w:val="nil"/>
            </w:tcBorders>
            <w:vAlign w:val="bottom"/>
          </w:tcPr>
          <w:p w:rsidR="00E32839" w:rsidRPr="00893575" w:rsidRDefault="00E32839" w:rsidP="001205C8">
            <w:pPr>
              <w:keepNext/>
              <w:autoSpaceDE w:val="0"/>
              <w:autoSpaceDN w:val="0"/>
              <w:adjustRightInd w:val="0"/>
              <w:spacing w:before="60" w:after="0" w:line="240" w:lineRule="auto"/>
              <w:jc w:val="left"/>
              <w:rPr>
                <w:rFonts w:ascii="Arial" w:hAnsi="Arial" w:cs="Arial"/>
                <w:color w:val="000000"/>
                <w:sz w:val="16"/>
                <w:szCs w:val="16"/>
              </w:rPr>
            </w:pPr>
            <w:r>
              <w:rPr>
                <w:rFonts w:ascii="Arial" w:hAnsi="Arial" w:cs="Arial"/>
                <w:color w:val="000000"/>
                <w:sz w:val="16"/>
                <w:szCs w:val="16"/>
              </w:rPr>
              <w:t>Number of people provided with support</w:t>
            </w:r>
            <w:r w:rsidR="006C1721">
              <w:rPr>
                <w:rStyle w:val="FootnoteReference"/>
                <w:rFonts w:cs="Arial"/>
                <w:color w:val="000000"/>
                <w:szCs w:val="16"/>
              </w:rPr>
              <w:footnoteReference w:id="29"/>
            </w:r>
          </w:p>
        </w:tc>
        <w:tc>
          <w:tcPr>
            <w:tcW w:w="907" w:type="dxa"/>
            <w:tcBorders>
              <w:bottom w:val="nil"/>
            </w:tcBorders>
            <w:shd w:val="clear" w:color="auto" w:fill="auto"/>
            <w:vAlign w:val="bottom"/>
          </w:tcPr>
          <w:p w:rsidR="00E32839" w:rsidRPr="00893575" w:rsidRDefault="00E32839"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w:t>
            </w:r>
          </w:p>
        </w:tc>
        <w:tc>
          <w:tcPr>
            <w:tcW w:w="907" w:type="dxa"/>
            <w:tcBorders>
              <w:bottom w:val="nil"/>
            </w:tcBorders>
            <w:shd w:val="clear" w:color="auto" w:fill="D9D9D9"/>
            <w:vAlign w:val="bottom"/>
          </w:tcPr>
          <w:p w:rsidR="00E32839" w:rsidRPr="00893575" w:rsidRDefault="00FE7E88"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9,500</w:t>
            </w:r>
          </w:p>
        </w:tc>
        <w:tc>
          <w:tcPr>
            <w:tcW w:w="907" w:type="dxa"/>
            <w:tcBorders>
              <w:bottom w:val="nil"/>
            </w:tcBorders>
            <w:vAlign w:val="bottom"/>
          </w:tcPr>
          <w:p w:rsidR="00E32839" w:rsidRPr="00893575" w:rsidRDefault="00FE7E88"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18,000</w:t>
            </w:r>
          </w:p>
        </w:tc>
        <w:tc>
          <w:tcPr>
            <w:tcW w:w="907" w:type="dxa"/>
            <w:tcBorders>
              <w:bottom w:val="nil"/>
            </w:tcBorders>
            <w:vAlign w:val="bottom"/>
          </w:tcPr>
          <w:p w:rsidR="00E32839" w:rsidRPr="00893575" w:rsidRDefault="0065233D"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41</w:t>
            </w:r>
            <w:r w:rsidR="006C1721">
              <w:rPr>
                <w:rFonts w:ascii="Arial" w:hAnsi="Arial" w:cs="Arial"/>
                <w:color w:val="000000"/>
                <w:sz w:val="16"/>
                <w:szCs w:val="16"/>
              </w:rPr>
              <w:t>,</w:t>
            </w:r>
            <w:r>
              <w:rPr>
                <w:rFonts w:ascii="Arial" w:hAnsi="Arial" w:cs="Arial"/>
                <w:color w:val="000000"/>
                <w:sz w:val="16"/>
                <w:szCs w:val="16"/>
              </w:rPr>
              <w:t>000</w:t>
            </w:r>
          </w:p>
        </w:tc>
        <w:tc>
          <w:tcPr>
            <w:tcW w:w="907" w:type="dxa"/>
            <w:tcBorders>
              <w:bottom w:val="nil"/>
            </w:tcBorders>
            <w:vAlign w:val="bottom"/>
          </w:tcPr>
          <w:p w:rsidR="00E32839" w:rsidRPr="00893575" w:rsidRDefault="0065233D"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149</w:t>
            </w:r>
            <w:r w:rsidR="006C1721">
              <w:rPr>
                <w:rFonts w:ascii="Arial" w:hAnsi="Arial" w:cs="Arial"/>
                <w:color w:val="000000"/>
                <w:sz w:val="16"/>
                <w:szCs w:val="16"/>
              </w:rPr>
              <w:t>,</w:t>
            </w:r>
            <w:r>
              <w:rPr>
                <w:rFonts w:ascii="Arial" w:hAnsi="Arial" w:cs="Arial"/>
                <w:color w:val="000000"/>
                <w:sz w:val="16"/>
                <w:szCs w:val="16"/>
              </w:rPr>
              <w:t>500</w:t>
            </w:r>
          </w:p>
        </w:tc>
      </w:tr>
      <w:tr w:rsidR="00E32839" w:rsidRPr="00893575" w:rsidTr="00483813">
        <w:trPr>
          <w:trHeight w:val="225"/>
        </w:trPr>
        <w:tc>
          <w:tcPr>
            <w:tcW w:w="3107" w:type="dxa"/>
            <w:tcBorders>
              <w:top w:val="nil"/>
            </w:tcBorders>
            <w:vAlign w:val="bottom"/>
          </w:tcPr>
          <w:p w:rsidR="00E32839" w:rsidRPr="00893575" w:rsidRDefault="00E32839" w:rsidP="001205C8">
            <w:pPr>
              <w:keepNext/>
              <w:autoSpaceDE w:val="0"/>
              <w:autoSpaceDN w:val="0"/>
              <w:adjustRightInd w:val="0"/>
              <w:spacing w:before="60" w:after="0" w:line="240" w:lineRule="auto"/>
              <w:jc w:val="left"/>
              <w:rPr>
                <w:rFonts w:ascii="Arial" w:hAnsi="Arial" w:cs="Arial"/>
                <w:color w:val="000000"/>
                <w:sz w:val="16"/>
                <w:szCs w:val="16"/>
              </w:rPr>
            </w:pPr>
            <w:r>
              <w:rPr>
                <w:rFonts w:ascii="Arial" w:hAnsi="Arial" w:cs="Arial"/>
                <w:color w:val="000000"/>
                <w:sz w:val="16"/>
                <w:szCs w:val="16"/>
              </w:rPr>
              <w:t>Number of regional offices established</w:t>
            </w:r>
            <w:r w:rsidR="006C1721">
              <w:rPr>
                <w:rFonts w:ascii="Arial" w:hAnsi="Arial" w:cs="Arial"/>
                <w:color w:val="000000"/>
                <w:sz w:val="16"/>
                <w:szCs w:val="16"/>
              </w:rPr>
              <w:t xml:space="preserve"> for launch</w:t>
            </w:r>
            <w:r w:rsidR="00D85100">
              <w:rPr>
                <w:rFonts w:ascii="Arial" w:hAnsi="Arial" w:cs="Arial"/>
                <w:color w:val="000000"/>
                <w:sz w:val="16"/>
                <w:szCs w:val="16"/>
              </w:rPr>
              <w:t xml:space="preserve"> and indicative full-scheme offices</w:t>
            </w:r>
            <w:r w:rsidR="006C1721">
              <w:rPr>
                <w:rStyle w:val="FootnoteReference"/>
                <w:rFonts w:cs="Arial"/>
                <w:color w:val="000000"/>
                <w:szCs w:val="16"/>
              </w:rPr>
              <w:footnoteReference w:id="30"/>
            </w:r>
          </w:p>
        </w:tc>
        <w:tc>
          <w:tcPr>
            <w:tcW w:w="907" w:type="dxa"/>
            <w:tcBorders>
              <w:top w:val="nil"/>
            </w:tcBorders>
            <w:shd w:val="clear" w:color="auto" w:fill="auto"/>
            <w:vAlign w:val="bottom"/>
          </w:tcPr>
          <w:p w:rsidR="00E32839" w:rsidRPr="00893575" w:rsidRDefault="00F70BED"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8</w:t>
            </w:r>
          </w:p>
        </w:tc>
        <w:tc>
          <w:tcPr>
            <w:tcW w:w="907" w:type="dxa"/>
            <w:tcBorders>
              <w:top w:val="nil"/>
            </w:tcBorders>
            <w:shd w:val="clear" w:color="auto" w:fill="D9D9D9"/>
            <w:vAlign w:val="bottom"/>
          </w:tcPr>
          <w:p w:rsidR="00E32839" w:rsidRPr="00893575" w:rsidRDefault="00F70BED"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15</w:t>
            </w:r>
          </w:p>
        </w:tc>
        <w:tc>
          <w:tcPr>
            <w:tcW w:w="907" w:type="dxa"/>
            <w:tcBorders>
              <w:top w:val="nil"/>
            </w:tcBorders>
            <w:vAlign w:val="bottom"/>
          </w:tcPr>
          <w:p w:rsidR="00E32839" w:rsidRPr="00893575" w:rsidRDefault="00F70BED"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17</w:t>
            </w:r>
          </w:p>
        </w:tc>
        <w:tc>
          <w:tcPr>
            <w:tcW w:w="907" w:type="dxa"/>
            <w:tcBorders>
              <w:top w:val="nil"/>
            </w:tcBorders>
            <w:vAlign w:val="bottom"/>
          </w:tcPr>
          <w:p w:rsidR="00E32839" w:rsidRPr="00893575" w:rsidRDefault="00F70BED"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20</w:t>
            </w:r>
          </w:p>
        </w:tc>
        <w:tc>
          <w:tcPr>
            <w:tcW w:w="907" w:type="dxa"/>
            <w:tcBorders>
              <w:top w:val="nil"/>
            </w:tcBorders>
            <w:vAlign w:val="bottom"/>
          </w:tcPr>
          <w:p w:rsidR="00E32839" w:rsidRPr="00893575" w:rsidRDefault="00D85100"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24</w:t>
            </w:r>
          </w:p>
        </w:tc>
      </w:tr>
    </w:tbl>
    <w:p w:rsidR="007A4F49" w:rsidRDefault="007A4F49" w:rsidP="005703E9"/>
    <w:p w:rsidR="00A42B96" w:rsidRDefault="0080198B" w:rsidP="0080198B">
      <w:pPr>
        <w:pStyle w:val="Heading7"/>
      </w:pPr>
      <w:r>
        <w:br w:type="page"/>
      </w:r>
      <w:r w:rsidR="007A4F49">
        <w:lastRenderedPageBreak/>
        <w:t xml:space="preserve">Program 5.6 </w:t>
      </w:r>
      <w:r w:rsidR="006034C5">
        <w:t>key performance indicators</w:t>
      </w:r>
      <w:r w:rsidR="007A4F49" w:rsidRPr="00C6620B">
        <w:rPr>
          <w:rStyle w:val="FootnoteReference"/>
          <w:b w:val="0"/>
        </w:rPr>
        <w:footnoteReference w:id="31"/>
      </w:r>
    </w:p>
    <w:p w:rsidR="00FE7E88" w:rsidRDefault="00FE7E88" w:rsidP="00FE7E88">
      <w:pPr>
        <w:pStyle w:val="BulletBox"/>
      </w:pPr>
      <w:r>
        <w:t xml:space="preserve">Timely and effective policy advice is provided on full-scheme </w:t>
      </w:r>
      <w:r w:rsidR="00830798">
        <w:t>roll-out</w:t>
      </w:r>
      <w:r>
        <w:t xml:space="preserve"> of </w:t>
      </w:r>
      <w:proofErr w:type="spellStart"/>
      <w:r>
        <w:t>DisabilityCare</w:t>
      </w:r>
      <w:proofErr w:type="spellEnd"/>
      <w:r>
        <w:t xml:space="preserve"> Australia, including on the implications for the workforce</w:t>
      </w:r>
    </w:p>
    <w:p w:rsidR="00FE7E88" w:rsidRPr="00FE7E88" w:rsidRDefault="00FE7E88" w:rsidP="00FE7E88">
      <w:pPr>
        <w:pStyle w:val="BulletBox"/>
      </w:pPr>
      <w:r>
        <w:t xml:space="preserve">Agreements with states and territories for </w:t>
      </w:r>
      <w:r w:rsidR="00C12AA6">
        <w:t>full-</w:t>
      </w:r>
      <w:r>
        <w:t xml:space="preserve">scheme </w:t>
      </w:r>
      <w:r w:rsidR="00830798">
        <w:t>roll-out</w:t>
      </w:r>
      <w:r>
        <w:t xml:space="preserve"> are in place</w:t>
      </w:r>
    </w:p>
    <w:p w:rsidR="007A4F49" w:rsidRDefault="007A4F49" w:rsidP="005518E4">
      <w:pPr>
        <w:pStyle w:val="SinglePara"/>
      </w:pPr>
    </w:p>
    <w:p w:rsidR="007A4F49" w:rsidRDefault="007A4F49" w:rsidP="0080198B">
      <w:pPr>
        <w:pStyle w:val="Heading7"/>
      </w:pPr>
      <w:r>
        <w:t xml:space="preserve">Qualitative </w:t>
      </w:r>
      <w:r w:rsidR="006034C5">
        <w:t>k</w:t>
      </w:r>
      <w:r>
        <w:t xml:space="preserve">ey </w:t>
      </w:r>
      <w:r w:rsidR="006034C5">
        <w:t>performance indicators</w:t>
      </w:r>
    </w:p>
    <w:p w:rsidR="006C1721" w:rsidRDefault="006C1721" w:rsidP="00FE7E88">
      <w:pPr>
        <w:pStyle w:val="BulletBox"/>
      </w:pPr>
      <w:r>
        <w:t>Amendments to design are made</w:t>
      </w:r>
    </w:p>
    <w:p w:rsidR="00FE7E88" w:rsidRDefault="00FE7E88" w:rsidP="006C1721">
      <w:pPr>
        <w:pStyle w:val="BulletBox"/>
      </w:pPr>
      <w:r w:rsidRPr="006C1721">
        <w:t>Evaluation</w:t>
      </w:r>
      <w:r>
        <w:t xml:space="preserve"> of </w:t>
      </w:r>
      <w:proofErr w:type="spellStart"/>
      <w:r>
        <w:t>DisabilityCare</w:t>
      </w:r>
      <w:proofErr w:type="spellEnd"/>
      <w:r>
        <w:t xml:space="preserve"> Australia </w:t>
      </w:r>
      <w:r w:rsidR="006C1721">
        <w:t xml:space="preserve">launch has </w:t>
      </w:r>
      <w:r>
        <w:t>commenced</w:t>
      </w:r>
      <w:r w:rsidR="006C1721">
        <w:t>, to inform</w:t>
      </w:r>
      <w:r w:rsidR="00C12AA6">
        <w:br/>
      </w:r>
      <w:r w:rsidR="006C1721">
        <w:t>full</w:t>
      </w:r>
      <w:r w:rsidR="00C12AA6">
        <w:t>-</w:t>
      </w:r>
      <w:r w:rsidR="006C1721">
        <w:t xml:space="preserve">scheme </w:t>
      </w:r>
      <w:r w:rsidR="00830798">
        <w:t>roll-out</w:t>
      </w:r>
    </w:p>
    <w:p w:rsidR="00F43700" w:rsidRDefault="00F43700" w:rsidP="006D2B7E">
      <w:pPr>
        <w:pStyle w:val="TableHeading"/>
        <w:rPr>
          <w:rFonts w:cs="Arial"/>
          <w:sz w:val="16"/>
          <w:szCs w:val="16"/>
        </w:rPr>
      </w:pPr>
    </w:p>
    <w:p w:rsidR="00A42B96" w:rsidRPr="004C1505" w:rsidRDefault="0080198B" w:rsidP="0080198B">
      <w:pPr>
        <w:pStyle w:val="Heading6"/>
      </w:pPr>
      <w:r>
        <w:rPr>
          <w:i/>
        </w:rPr>
        <w:br w:type="page"/>
      </w:r>
      <w:r w:rsidR="00A42B96" w:rsidRPr="004C1505">
        <w:lastRenderedPageBreak/>
        <w:t xml:space="preserve">Program 5.7: </w:t>
      </w:r>
      <w:r w:rsidR="00266EEF" w:rsidRPr="004C1505">
        <w:t>Early Intervention Services for Children with Disability</w:t>
      </w:r>
    </w:p>
    <w:p w:rsidR="00A42B96" w:rsidRDefault="00A42B96" w:rsidP="005518E4">
      <w:pPr>
        <w:pStyle w:val="SinglePara"/>
        <w:rPr>
          <w:lang w:val="en-GB"/>
        </w:rPr>
      </w:pPr>
    </w:p>
    <w:p w:rsidR="007A4F49" w:rsidRDefault="007A4F49" w:rsidP="0080198B">
      <w:pPr>
        <w:pStyle w:val="Heading7"/>
      </w:pPr>
      <w:r>
        <w:t xml:space="preserve">Program 5.7 </w:t>
      </w:r>
      <w:r w:rsidR="006034C5">
        <w:t>o</w:t>
      </w:r>
      <w:r>
        <w:t>bjective</w:t>
      </w:r>
    </w:p>
    <w:p w:rsidR="007A4F49" w:rsidRDefault="007A4F49" w:rsidP="007A4F49">
      <w:pPr>
        <w:pStyle w:val="NormalBox"/>
      </w:pPr>
      <w:r>
        <w:t>To provide access to early intervention services and support for children with disability, their parents, carers and families to help eligible children achieve their potential.</w:t>
      </w:r>
    </w:p>
    <w:p w:rsidR="007A4F49" w:rsidRDefault="007A4F49" w:rsidP="00680D7E">
      <w:pPr>
        <w:pStyle w:val="ProgramHeading2"/>
      </w:pPr>
      <w:r>
        <w:t xml:space="preserve">Program </w:t>
      </w:r>
      <w:r w:rsidR="006034C5">
        <w:t>c</w:t>
      </w:r>
      <w:r w:rsidR="006034C5" w:rsidRPr="0080198B">
        <w:rPr>
          <w:rStyle w:val="Heading7Char"/>
        </w:rPr>
        <w:t>o</w:t>
      </w:r>
      <w:r w:rsidR="006034C5">
        <w:t>mponent objectives</w:t>
      </w:r>
    </w:p>
    <w:p w:rsidR="007A4F49" w:rsidRDefault="007A4F49" w:rsidP="0080198B">
      <w:pPr>
        <w:pStyle w:val="Heading8"/>
      </w:pPr>
      <w:r>
        <w:t>Helping Children with Autism package</w:t>
      </w:r>
    </w:p>
    <w:p w:rsidR="007A4F49" w:rsidRDefault="007A4F49" w:rsidP="007A4F49">
      <w:pPr>
        <w:pStyle w:val="NormalBox"/>
      </w:pPr>
      <w:r>
        <w:t>Early Intervention services – to provide access to early intervention services for eligible children to assist them achieve their potential.</w:t>
      </w:r>
    </w:p>
    <w:p w:rsidR="007A4F49" w:rsidRDefault="007A4F49" w:rsidP="007A4F49">
      <w:pPr>
        <w:pStyle w:val="NormalBox"/>
      </w:pPr>
      <w:r>
        <w:t>Education and support for parents, carers and families – to provide information and support to parents, carers and families to help them enable eligible children with disability to achieve their potential.</w:t>
      </w:r>
    </w:p>
    <w:p w:rsidR="007A4F49" w:rsidRDefault="007A4F49" w:rsidP="007A4F49">
      <w:pPr>
        <w:pStyle w:val="NormalBox"/>
      </w:pPr>
      <w:proofErr w:type="gramStart"/>
      <w:r>
        <w:t>Autism Specific Early Learning and Care Centres – to provide early learning programs and specific support to children with Autism Spectrum Disorder in a long day</w:t>
      </w:r>
      <w:r w:rsidR="00880680">
        <w:t>-</w:t>
      </w:r>
      <w:r w:rsidR="00846DF8">
        <w:t>c</w:t>
      </w:r>
      <w:r>
        <w:t>are setting.</w:t>
      </w:r>
      <w:proofErr w:type="gramEnd"/>
    </w:p>
    <w:p w:rsidR="007A4F49" w:rsidRDefault="007A4F49" w:rsidP="0080198B">
      <w:pPr>
        <w:pStyle w:val="Heading8"/>
      </w:pPr>
      <w:r>
        <w:t>Better Start for Children with Disability</w:t>
      </w:r>
    </w:p>
    <w:p w:rsidR="007A4F49" w:rsidRDefault="007A4F49" w:rsidP="007A4F49">
      <w:pPr>
        <w:pStyle w:val="NormalBox"/>
      </w:pPr>
      <w:r>
        <w:t>Early Intervention services – to provide access to early intervention services for eligible children to assist them achieve their potential.</w:t>
      </w:r>
    </w:p>
    <w:p w:rsidR="007A4F49" w:rsidRDefault="007A4F49" w:rsidP="00FF119A">
      <w:pPr>
        <w:pStyle w:val="NormalBox"/>
        <w:pBdr>
          <w:between w:val="single" w:sz="2" w:space="3" w:color="auto"/>
        </w:pBdr>
      </w:pPr>
      <w:r>
        <w:t xml:space="preserve">Education and support for parents, carers and families – to provide information and support to parents, carers and families to </w:t>
      </w:r>
      <w:r w:rsidRPr="00E55215">
        <w:t xml:space="preserve">enable </w:t>
      </w:r>
      <w:r w:rsidR="00680D7E" w:rsidRPr="00E55215">
        <w:t>them to assist</w:t>
      </w:r>
      <w:r w:rsidR="00680D7E">
        <w:t xml:space="preserve"> </w:t>
      </w:r>
      <w:r>
        <w:t>eligible children with disability to achieve their potential.</w:t>
      </w:r>
    </w:p>
    <w:p w:rsidR="007A6D3C" w:rsidRDefault="003818FC" w:rsidP="007A6D3C">
      <w:pPr>
        <w:pStyle w:val="NormalBox"/>
      </w:pPr>
      <w:r>
        <w:t xml:space="preserve">Linked to: </w:t>
      </w:r>
      <w:r w:rsidR="007A6D3C">
        <w:t>DHA Program 3.1: Medicare Services. Medicare benefit payments under the Better Start for Children with Disability and Helping Children with Autism initiatives are managed by DHA. For more information refer to DHA’s 2013–14 PB Statements.</w:t>
      </w:r>
    </w:p>
    <w:p w:rsidR="003818FC" w:rsidRPr="003818FC" w:rsidRDefault="007A6D3C" w:rsidP="007A6D3C">
      <w:pPr>
        <w:pStyle w:val="NormalBox"/>
      </w:pPr>
      <w:r>
        <w:t xml:space="preserve">Also linked to: </w:t>
      </w:r>
      <w:r w:rsidR="003818FC">
        <w:t>Program 5.6: National Disability Insurance Scheme.</w:t>
      </w:r>
    </w:p>
    <w:p w:rsidR="00680D7E" w:rsidRDefault="0080198B" w:rsidP="005703E9">
      <w:pPr>
        <w:rPr>
          <w:lang w:val="en-GB"/>
        </w:rPr>
      </w:pPr>
      <w:r>
        <w:rPr>
          <w:lang w:val="en-GB"/>
        </w:rPr>
        <w:br w:type="page"/>
      </w:r>
    </w:p>
    <w:p w:rsidR="00680D7E" w:rsidRDefault="00680D7E" w:rsidP="0080198B">
      <w:pPr>
        <w:pStyle w:val="Heading7"/>
      </w:pPr>
      <w:r>
        <w:t xml:space="preserve">Program 5.7 </w:t>
      </w:r>
      <w:r w:rsidR="006034C5">
        <w:t>e</w:t>
      </w:r>
      <w:r>
        <w:t>xpenses</w:t>
      </w:r>
    </w:p>
    <w:p w:rsidR="00293295" w:rsidRPr="00704365" w:rsidRDefault="00603D17" w:rsidP="00293295">
      <w:pPr>
        <w:pStyle w:val="NormalBox"/>
      </w:pPr>
      <w:r w:rsidRPr="00603D17">
        <w:t>The changes in program expenses across the forward years reflect the maturing service use patterns in Better Start for Children with Disability and an increase in the prevalence of autism, in line with international experience.</w:t>
      </w:r>
    </w:p>
    <w:p w:rsidR="00A42B96" w:rsidRDefault="009B64C9" w:rsidP="000616CD">
      <w:pPr>
        <w:pStyle w:val="TableHeading"/>
        <w:rPr>
          <w:lang w:val="en-GB"/>
        </w:rPr>
      </w:pPr>
      <w:r>
        <w:rPr>
          <w:lang w:val="en-GB"/>
        </w:rPr>
        <w:t>Table 2.</w:t>
      </w:r>
      <w:r w:rsidR="00A42B96" w:rsidRPr="004C1505">
        <w:rPr>
          <w:lang w:val="en-GB"/>
        </w:rPr>
        <w:t xml:space="preserve">5.7: </w:t>
      </w:r>
      <w:r w:rsidR="004B5D66">
        <w:rPr>
          <w:lang w:val="en-GB"/>
        </w:rPr>
        <w:t xml:space="preserve">Budgeted </w:t>
      </w:r>
      <w:r w:rsidR="006034C5">
        <w:rPr>
          <w:lang w:val="en-GB"/>
        </w:rPr>
        <w:t>e</w:t>
      </w:r>
      <w:r w:rsidR="00A42B96" w:rsidRPr="004C1505">
        <w:rPr>
          <w:lang w:val="en-GB"/>
        </w:rPr>
        <w:t xml:space="preserve">xpenses </w:t>
      </w:r>
      <w:r w:rsidR="004B5D66">
        <w:rPr>
          <w:lang w:val="en-GB"/>
        </w:rPr>
        <w:t>for Early Intervention Services for Children with Disability</w:t>
      </w:r>
    </w:p>
    <w:p w:rsidR="008C1F44" w:rsidRDefault="005A4CCD" w:rsidP="008C1F44">
      <w:pPr>
        <w:pStyle w:val="TableGraphic"/>
        <w:rPr>
          <w:lang w:val="en-GB"/>
        </w:rPr>
      </w:pPr>
      <w:r>
        <w:rPr>
          <w:noProof/>
        </w:rPr>
        <w:drawing>
          <wp:inline distT="0" distB="0" distL="0" distR="0" wp14:anchorId="262E8B0F" wp14:editId="62997DFD">
            <wp:extent cx="4878705" cy="2472638"/>
            <wp:effectExtent l="0" t="0" r="0" b="4445"/>
            <wp:docPr id="172" name="Picture 172" descr="Table 2.5.7: Budgeted expenses for Early Intervention Services for Childre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78705" cy="2472638"/>
                    </a:xfrm>
                    <a:prstGeom prst="rect">
                      <a:avLst/>
                    </a:prstGeom>
                    <a:noFill/>
                    <a:ln>
                      <a:noFill/>
                    </a:ln>
                  </pic:spPr>
                </pic:pic>
              </a:graphicData>
            </a:graphic>
          </wp:inline>
        </w:drawing>
      </w:r>
    </w:p>
    <w:p w:rsidR="0080198B" w:rsidRDefault="0080198B" w:rsidP="0080198B">
      <w:pPr>
        <w:rPr>
          <w:lang w:val="en-GB"/>
        </w:rPr>
      </w:pPr>
    </w:p>
    <w:p w:rsidR="00A42B96" w:rsidRDefault="0080198B" w:rsidP="0080198B">
      <w:pPr>
        <w:pStyle w:val="Heading7"/>
      </w:pPr>
      <w:r>
        <w:br w:type="page"/>
      </w:r>
      <w:r w:rsidR="00680D7E">
        <w:lastRenderedPageBreak/>
        <w:t xml:space="preserve">Program 5.7 </w:t>
      </w:r>
      <w:r w:rsidR="006034C5">
        <w:t>d</w:t>
      </w:r>
      <w:r w:rsidR="00A42B96" w:rsidRPr="004C1505">
        <w:t>eliverables</w:t>
      </w:r>
    </w:p>
    <w:p w:rsidR="00680D7E" w:rsidRDefault="00680D7E" w:rsidP="00680D7E">
      <w:pPr>
        <w:pStyle w:val="BulletBox"/>
      </w:pPr>
      <w:r>
        <w:t xml:space="preserve">Eligible children </w:t>
      </w:r>
      <w:r w:rsidR="00E55215">
        <w:t>with disability have access to early intervention services</w:t>
      </w:r>
    </w:p>
    <w:p w:rsidR="00E55215" w:rsidRPr="00680D7E" w:rsidRDefault="00E55215" w:rsidP="00680D7E">
      <w:pPr>
        <w:pStyle w:val="BulletBox"/>
      </w:pPr>
      <w:r>
        <w:t>Parents, carers and families of eligible children have access to information and support</w:t>
      </w:r>
    </w:p>
    <w:p w:rsidR="00D62545" w:rsidRDefault="00680D7E" w:rsidP="00680D7E">
      <w:pPr>
        <w:pStyle w:val="TableHeading"/>
        <w:rPr>
          <w:lang w:val="en-GB"/>
        </w:rPr>
      </w:pPr>
      <w:r w:rsidRPr="00E55215">
        <w:rPr>
          <w:lang w:val="en-GB"/>
        </w:rPr>
        <w:t xml:space="preserve">Early Intervention Services for Children with Disability </w:t>
      </w:r>
      <w:r w:rsidR="006034C5" w:rsidRPr="00E55215">
        <w:rPr>
          <w:lang w:val="en-GB"/>
        </w:rPr>
        <w:t>deliverables targets</w:t>
      </w:r>
      <w:r w:rsidRPr="00C6620B">
        <w:rPr>
          <w:rStyle w:val="FootnoteReference"/>
          <w:b w:val="0"/>
          <w:lang w:val="en-GB"/>
        </w:rPr>
        <w:footnoteReference w:id="32"/>
      </w:r>
      <w:r w:rsidR="006A008A" w:rsidRPr="0040773D">
        <w:rPr>
          <w:b w:val="0"/>
          <w:vertAlign w:val="superscript"/>
          <w:lang w:val="en-GB"/>
        </w:rPr>
        <w:t xml:space="preserve">, </w:t>
      </w:r>
      <w:r w:rsidR="006A008A" w:rsidRPr="0040773D">
        <w:rPr>
          <w:rStyle w:val="FootnoteReference"/>
          <w:b w:val="0"/>
          <w:lang w:val="en-GB"/>
        </w:rPr>
        <w:footnoteReference w:id="33"/>
      </w:r>
    </w:p>
    <w:tbl>
      <w:tblPr>
        <w:tblW w:w="7655" w:type="dxa"/>
        <w:tblInd w:w="28" w:type="dxa"/>
        <w:tblBorders>
          <w:top w:val="single" w:sz="2" w:space="0" w:color="auto"/>
          <w:bottom w:val="single" w:sz="2" w:space="0" w:color="auto"/>
          <w:insideH w:val="single" w:sz="2" w:space="0" w:color="auto"/>
        </w:tblBorders>
        <w:tblCellMar>
          <w:top w:w="57" w:type="dxa"/>
          <w:left w:w="30" w:type="dxa"/>
          <w:bottom w:w="57" w:type="dxa"/>
          <w:right w:w="30" w:type="dxa"/>
        </w:tblCellMar>
        <w:tblLook w:val="0000" w:firstRow="0" w:lastRow="0" w:firstColumn="0" w:lastColumn="0" w:noHBand="0" w:noVBand="0"/>
        <w:tblDescription w:val="Early Intervention Services for Children with Disability deliverables targets ,  "/>
      </w:tblPr>
      <w:tblGrid>
        <w:gridCol w:w="3111"/>
        <w:gridCol w:w="908"/>
        <w:gridCol w:w="909"/>
        <w:gridCol w:w="909"/>
        <w:gridCol w:w="909"/>
        <w:gridCol w:w="909"/>
      </w:tblGrid>
      <w:tr w:rsidR="00271EED" w:rsidRPr="00893575" w:rsidTr="00483813">
        <w:trPr>
          <w:trHeight w:val="225"/>
        </w:trPr>
        <w:tc>
          <w:tcPr>
            <w:tcW w:w="3107" w:type="dxa"/>
            <w:tcBorders>
              <w:bottom w:val="single" w:sz="2" w:space="0" w:color="auto"/>
            </w:tcBorders>
            <w:vAlign w:val="center"/>
          </w:tcPr>
          <w:p w:rsidR="00271EED" w:rsidRPr="00893575" w:rsidRDefault="00271EED" w:rsidP="00271EED">
            <w:pPr>
              <w:keepNext/>
              <w:autoSpaceDE w:val="0"/>
              <w:autoSpaceDN w:val="0"/>
              <w:adjustRightInd w:val="0"/>
              <w:spacing w:after="0" w:line="240" w:lineRule="auto"/>
              <w:jc w:val="left"/>
              <w:rPr>
                <w:rFonts w:ascii="Arial" w:hAnsi="Arial" w:cs="Arial"/>
                <w:color w:val="000000"/>
                <w:sz w:val="16"/>
                <w:szCs w:val="16"/>
              </w:rPr>
            </w:pPr>
          </w:p>
        </w:tc>
        <w:tc>
          <w:tcPr>
            <w:tcW w:w="907" w:type="dxa"/>
            <w:tcBorders>
              <w:bottom w:val="single" w:sz="2" w:space="0" w:color="auto"/>
            </w:tcBorders>
            <w:shd w:val="clear" w:color="auto" w:fill="auto"/>
          </w:tcPr>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2012–13</w:t>
            </w:r>
          </w:p>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Revised budget</w:t>
            </w:r>
          </w:p>
        </w:tc>
        <w:tc>
          <w:tcPr>
            <w:tcW w:w="907" w:type="dxa"/>
            <w:tcBorders>
              <w:bottom w:val="single" w:sz="2" w:space="0" w:color="auto"/>
            </w:tcBorders>
            <w:shd w:val="clear" w:color="auto" w:fill="D9D9D9"/>
          </w:tcPr>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2013</w:t>
            </w:r>
            <w:r>
              <w:rPr>
                <w:rFonts w:ascii="Arial" w:hAnsi="Arial" w:cs="Arial"/>
                <w:color w:val="000000"/>
                <w:sz w:val="16"/>
                <w:szCs w:val="16"/>
              </w:rPr>
              <w:t>–14</w:t>
            </w:r>
          </w:p>
          <w:p w:rsidR="00271EED" w:rsidRPr="00893575" w:rsidRDefault="00271EED" w:rsidP="00003143">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B</w:t>
            </w:r>
            <w:r w:rsidRPr="00893575">
              <w:rPr>
                <w:rFonts w:ascii="Arial" w:hAnsi="Arial" w:cs="Arial"/>
                <w:color w:val="000000"/>
                <w:sz w:val="16"/>
                <w:szCs w:val="16"/>
              </w:rPr>
              <w:t>udget</w:t>
            </w:r>
            <w:r>
              <w:rPr>
                <w:rFonts w:ascii="Arial" w:hAnsi="Arial" w:cs="Arial"/>
                <w:color w:val="000000"/>
                <w:sz w:val="16"/>
                <w:szCs w:val="16"/>
              </w:rPr>
              <w:t xml:space="preserve"> </w:t>
            </w:r>
          </w:p>
        </w:tc>
        <w:tc>
          <w:tcPr>
            <w:tcW w:w="907" w:type="dxa"/>
            <w:tcBorders>
              <w:bottom w:val="single" w:sz="2" w:space="0" w:color="auto"/>
            </w:tcBorders>
          </w:tcPr>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2014–15 </w:t>
            </w:r>
            <w:r w:rsidRPr="00893575">
              <w:rPr>
                <w:rFonts w:ascii="Arial" w:hAnsi="Arial" w:cs="Arial"/>
                <w:color w:val="000000"/>
                <w:sz w:val="16"/>
                <w:szCs w:val="16"/>
              </w:rPr>
              <w:t>Forward</w:t>
            </w:r>
          </w:p>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1</w:t>
            </w:r>
          </w:p>
        </w:tc>
        <w:tc>
          <w:tcPr>
            <w:tcW w:w="907" w:type="dxa"/>
            <w:tcBorders>
              <w:bottom w:val="single" w:sz="2" w:space="0" w:color="auto"/>
            </w:tcBorders>
          </w:tcPr>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2</w:t>
            </w:r>
          </w:p>
        </w:tc>
        <w:tc>
          <w:tcPr>
            <w:tcW w:w="907" w:type="dxa"/>
            <w:tcBorders>
              <w:bottom w:val="single" w:sz="2" w:space="0" w:color="auto"/>
            </w:tcBorders>
          </w:tcPr>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2016–17</w:t>
            </w:r>
          </w:p>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271EED" w:rsidRPr="00893575" w:rsidRDefault="00271EED" w:rsidP="00680D7E">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3</w:t>
            </w:r>
          </w:p>
        </w:tc>
      </w:tr>
      <w:tr w:rsidR="00680D7E" w:rsidRPr="00893575" w:rsidTr="00483813">
        <w:trPr>
          <w:trHeight w:val="225"/>
        </w:trPr>
        <w:tc>
          <w:tcPr>
            <w:tcW w:w="3107" w:type="dxa"/>
            <w:tcBorders>
              <w:bottom w:val="single" w:sz="4" w:space="0" w:color="auto"/>
            </w:tcBorders>
            <w:vAlign w:val="bottom"/>
          </w:tcPr>
          <w:p w:rsidR="00680D7E" w:rsidRPr="00893575" w:rsidRDefault="00680D7E" w:rsidP="003A485D">
            <w:pPr>
              <w:keepNext/>
              <w:autoSpaceDE w:val="0"/>
              <w:autoSpaceDN w:val="0"/>
              <w:adjustRightInd w:val="0"/>
              <w:spacing w:before="120" w:after="0" w:line="240" w:lineRule="auto"/>
              <w:jc w:val="left"/>
              <w:rPr>
                <w:rFonts w:ascii="Arial" w:hAnsi="Arial" w:cs="Arial"/>
                <w:color w:val="000000"/>
                <w:sz w:val="16"/>
                <w:szCs w:val="16"/>
              </w:rPr>
            </w:pPr>
            <w:r>
              <w:rPr>
                <w:rFonts w:ascii="Arial" w:hAnsi="Arial" w:cs="Arial"/>
                <w:color w:val="000000"/>
                <w:sz w:val="16"/>
                <w:szCs w:val="16"/>
              </w:rPr>
              <w:t>Eligible children registered to access early intervention services</w:t>
            </w:r>
          </w:p>
        </w:tc>
        <w:tc>
          <w:tcPr>
            <w:tcW w:w="907" w:type="dxa"/>
            <w:tcBorders>
              <w:bottom w:val="single" w:sz="4" w:space="0" w:color="auto"/>
            </w:tcBorders>
            <w:shd w:val="clear" w:color="auto" w:fill="auto"/>
            <w:vAlign w:val="bottom"/>
          </w:tcPr>
          <w:p w:rsidR="00680D7E" w:rsidRPr="00893575" w:rsidRDefault="00680D7E" w:rsidP="003A485D">
            <w:pPr>
              <w:keepNext/>
              <w:autoSpaceDE w:val="0"/>
              <w:autoSpaceDN w:val="0"/>
              <w:adjustRightInd w:val="0"/>
              <w:spacing w:before="120" w:after="0" w:line="240" w:lineRule="auto"/>
              <w:jc w:val="right"/>
              <w:rPr>
                <w:rFonts w:ascii="Arial" w:hAnsi="Arial" w:cs="Arial"/>
                <w:color w:val="000000"/>
                <w:sz w:val="16"/>
                <w:szCs w:val="16"/>
              </w:rPr>
            </w:pPr>
            <w:r>
              <w:rPr>
                <w:rFonts w:ascii="Arial" w:hAnsi="Arial" w:cs="Arial"/>
                <w:color w:val="000000"/>
                <w:sz w:val="16"/>
                <w:szCs w:val="16"/>
              </w:rPr>
              <w:t>25,000</w:t>
            </w:r>
          </w:p>
        </w:tc>
        <w:tc>
          <w:tcPr>
            <w:tcW w:w="907" w:type="dxa"/>
            <w:tcBorders>
              <w:bottom w:val="single" w:sz="4" w:space="0" w:color="auto"/>
            </w:tcBorders>
            <w:shd w:val="clear" w:color="auto" w:fill="D9D9D9"/>
            <w:vAlign w:val="bottom"/>
          </w:tcPr>
          <w:p w:rsidR="00680D7E" w:rsidRPr="00893575" w:rsidRDefault="00680D7E" w:rsidP="003A485D">
            <w:pPr>
              <w:keepNext/>
              <w:autoSpaceDE w:val="0"/>
              <w:autoSpaceDN w:val="0"/>
              <w:adjustRightInd w:val="0"/>
              <w:spacing w:before="120" w:after="0" w:line="240" w:lineRule="auto"/>
              <w:jc w:val="right"/>
              <w:rPr>
                <w:rFonts w:ascii="Arial" w:hAnsi="Arial" w:cs="Arial"/>
                <w:color w:val="000000"/>
                <w:sz w:val="16"/>
                <w:szCs w:val="16"/>
              </w:rPr>
            </w:pPr>
            <w:r>
              <w:rPr>
                <w:rFonts w:ascii="Arial" w:hAnsi="Arial" w:cs="Arial"/>
                <w:color w:val="000000"/>
                <w:sz w:val="16"/>
                <w:szCs w:val="16"/>
              </w:rPr>
              <w:t>25,970</w:t>
            </w:r>
          </w:p>
        </w:tc>
        <w:tc>
          <w:tcPr>
            <w:tcW w:w="907" w:type="dxa"/>
            <w:tcBorders>
              <w:bottom w:val="single" w:sz="4" w:space="0" w:color="auto"/>
            </w:tcBorders>
            <w:vAlign w:val="bottom"/>
          </w:tcPr>
          <w:p w:rsidR="00680D7E" w:rsidRPr="00893575" w:rsidRDefault="00880638" w:rsidP="003A485D">
            <w:pPr>
              <w:keepNext/>
              <w:autoSpaceDE w:val="0"/>
              <w:autoSpaceDN w:val="0"/>
              <w:adjustRightInd w:val="0"/>
              <w:spacing w:before="120" w:after="0" w:line="240" w:lineRule="auto"/>
              <w:jc w:val="right"/>
              <w:rPr>
                <w:rFonts w:ascii="Arial" w:hAnsi="Arial" w:cs="Arial"/>
                <w:color w:val="000000"/>
                <w:sz w:val="16"/>
                <w:szCs w:val="16"/>
              </w:rPr>
            </w:pPr>
            <w:r>
              <w:rPr>
                <w:rFonts w:ascii="Arial" w:hAnsi="Arial" w:cs="Arial"/>
                <w:color w:val="000000"/>
                <w:sz w:val="16"/>
                <w:szCs w:val="16"/>
              </w:rPr>
              <w:t>26,5</w:t>
            </w:r>
            <w:r w:rsidR="00680D7E">
              <w:rPr>
                <w:rFonts w:ascii="Arial" w:hAnsi="Arial" w:cs="Arial"/>
                <w:color w:val="000000"/>
                <w:sz w:val="16"/>
                <w:szCs w:val="16"/>
              </w:rPr>
              <w:t>60</w:t>
            </w:r>
          </w:p>
        </w:tc>
        <w:tc>
          <w:tcPr>
            <w:tcW w:w="907" w:type="dxa"/>
            <w:tcBorders>
              <w:bottom w:val="single" w:sz="4" w:space="0" w:color="auto"/>
            </w:tcBorders>
            <w:vAlign w:val="bottom"/>
          </w:tcPr>
          <w:p w:rsidR="00680D7E" w:rsidRPr="00893575" w:rsidRDefault="00680D7E" w:rsidP="003A485D">
            <w:pPr>
              <w:keepNext/>
              <w:autoSpaceDE w:val="0"/>
              <w:autoSpaceDN w:val="0"/>
              <w:adjustRightInd w:val="0"/>
              <w:spacing w:before="120" w:after="0" w:line="240" w:lineRule="auto"/>
              <w:jc w:val="right"/>
              <w:rPr>
                <w:rFonts w:ascii="Arial" w:hAnsi="Arial" w:cs="Arial"/>
                <w:color w:val="000000"/>
                <w:sz w:val="16"/>
                <w:szCs w:val="16"/>
              </w:rPr>
            </w:pPr>
            <w:r>
              <w:rPr>
                <w:rFonts w:ascii="Arial" w:hAnsi="Arial" w:cs="Arial"/>
                <w:color w:val="000000"/>
                <w:sz w:val="16"/>
                <w:szCs w:val="16"/>
              </w:rPr>
              <w:t>26,834</w:t>
            </w:r>
          </w:p>
        </w:tc>
        <w:tc>
          <w:tcPr>
            <w:tcW w:w="907" w:type="dxa"/>
            <w:tcBorders>
              <w:bottom w:val="single" w:sz="4" w:space="0" w:color="auto"/>
            </w:tcBorders>
            <w:vAlign w:val="bottom"/>
          </w:tcPr>
          <w:p w:rsidR="00680D7E" w:rsidRPr="00893575" w:rsidRDefault="00680D7E" w:rsidP="003A485D">
            <w:pPr>
              <w:keepNext/>
              <w:autoSpaceDE w:val="0"/>
              <w:autoSpaceDN w:val="0"/>
              <w:adjustRightInd w:val="0"/>
              <w:spacing w:before="120" w:after="0" w:line="240" w:lineRule="auto"/>
              <w:jc w:val="right"/>
              <w:rPr>
                <w:rFonts w:ascii="Arial" w:hAnsi="Arial" w:cs="Arial"/>
                <w:color w:val="000000"/>
                <w:sz w:val="16"/>
                <w:szCs w:val="16"/>
              </w:rPr>
            </w:pPr>
            <w:r>
              <w:rPr>
                <w:rFonts w:ascii="Arial" w:hAnsi="Arial" w:cs="Arial"/>
                <w:color w:val="000000"/>
                <w:sz w:val="16"/>
                <w:szCs w:val="16"/>
              </w:rPr>
              <w:t>27,112</w:t>
            </w:r>
          </w:p>
        </w:tc>
      </w:tr>
    </w:tbl>
    <w:p w:rsidR="00680D7E" w:rsidRDefault="00680D7E" w:rsidP="00072B1D">
      <w:pPr>
        <w:rPr>
          <w:lang w:val="en-GB"/>
        </w:rPr>
      </w:pPr>
    </w:p>
    <w:p w:rsidR="00A42B96" w:rsidRDefault="00EA16EE" w:rsidP="0080198B">
      <w:pPr>
        <w:pStyle w:val="Heading7"/>
      </w:pPr>
      <w:r>
        <w:t xml:space="preserve">Program 5.7 </w:t>
      </w:r>
      <w:r w:rsidR="006034C5">
        <w:t>k</w:t>
      </w:r>
      <w:r w:rsidR="006034C5" w:rsidRPr="004C1505">
        <w:t xml:space="preserve">ey </w:t>
      </w:r>
      <w:r w:rsidR="006034C5">
        <w:t>p</w:t>
      </w:r>
      <w:r w:rsidR="006034C5" w:rsidRPr="00563318">
        <w:t>erformance</w:t>
      </w:r>
      <w:r w:rsidR="006034C5">
        <w:t xml:space="preserve"> indicators</w:t>
      </w:r>
      <w:r w:rsidR="00880638" w:rsidRPr="00C6620B">
        <w:rPr>
          <w:rStyle w:val="FootnoteReference"/>
          <w:b w:val="0"/>
        </w:rPr>
        <w:footnoteReference w:id="34"/>
      </w:r>
    </w:p>
    <w:p w:rsidR="00EA16EE" w:rsidRDefault="00E55215" w:rsidP="006E7310">
      <w:pPr>
        <w:pStyle w:val="BulletBox"/>
      </w:pPr>
      <w:r>
        <w:t>N</w:t>
      </w:r>
      <w:r w:rsidR="00EA16EE">
        <w:t xml:space="preserve">umber of eligible children with disability from Indigenous and culturally and </w:t>
      </w:r>
      <w:r w:rsidR="006E7310">
        <w:t>linguistically diverse backgrounds receiving early intervention services</w:t>
      </w:r>
    </w:p>
    <w:p w:rsidR="006E7310" w:rsidRPr="006E7310" w:rsidRDefault="00E55215" w:rsidP="006E7310">
      <w:pPr>
        <w:pStyle w:val="BulletBox"/>
      </w:pPr>
      <w:r>
        <w:t>N</w:t>
      </w:r>
      <w:r w:rsidR="006E7310" w:rsidRPr="006E7310">
        <w:t xml:space="preserve">umber of </w:t>
      </w:r>
      <w:r w:rsidR="00F015E0">
        <w:t xml:space="preserve">children </w:t>
      </w:r>
      <w:r>
        <w:t>with disability receiving early intervention services</w:t>
      </w:r>
    </w:p>
    <w:p w:rsidR="006E7310" w:rsidRPr="006E7310" w:rsidRDefault="00E55215" w:rsidP="006E7310">
      <w:pPr>
        <w:pStyle w:val="BulletBox"/>
      </w:pPr>
      <w:r>
        <w:t>Number of parents/carers who access information and support services</w:t>
      </w:r>
    </w:p>
    <w:p w:rsidR="0080198B" w:rsidRPr="0080198B" w:rsidRDefault="0080198B" w:rsidP="007A746D">
      <w:pPr>
        <w:pStyle w:val="Heading4"/>
        <w:pBdr>
          <w:top w:val="single" w:sz="2" w:space="1" w:color="auto"/>
          <w:left w:val="single" w:sz="2" w:space="4" w:color="auto"/>
          <w:bottom w:val="single" w:sz="2" w:space="1" w:color="auto"/>
          <w:right w:val="single" w:sz="2" w:space="4" w:color="auto"/>
        </w:pBdr>
        <w:shd w:val="pct15" w:color="auto" w:fill="auto"/>
      </w:pPr>
      <w:r>
        <w:br w:type="page"/>
      </w:r>
      <w:r w:rsidRPr="0080198B">
        <w:lastRenderedPageBreak/>
        <w:t>Outcome 6: Women</w:t>
      </w:r>
    </w:p>
    <w:p w:rsidR="003608C9" w:rsidRPr="0080198B" w:rsidRDefault="0080198B" w:rsidP="007A746D">
      <w:pPr>
        <w:pBdr>
          <w:top w:val="single" w:sz="2" w:space="1" w:color="auto"/>
          <w:left w:val="single" w:sz="2" w:space="4" w:color="auto"/>
          <w:bottom w:val="single" w:sz="2" w:space="1" w:color="auto"/>
          <w:right w:val="single" w:sz="2" w:space="4" w:color="auto"/>
        </w:pBdr>
        <w:shd w:val="pct15" w:color="auto" w:fill="auto"/>
      </w:pPr>
      <w:proofErr w:type="gramStart"/>
      <w:r w:rsidRPr="0080198B">
        <w:t>Improved gender equality through coordinated whole of government advice and support for women’s economic security, safety and status.</w:t>
      </w:r>
      <w:proofErr w:type="gramEnd"/>
    </w:p>
    <w:p w:rsidR="007452AA" w:rsidRDefault="007452AA" w:rsidP="007A746D">
      <w:pPr>
        <w:pStyle w:val="Heading5"/>
      </w:pPr>
      <w:r w:rsidRPr="00E013C5">
        <w:t>Outcome 6 strategy</w:t>
      </w:r>
    </w:p>
    <w:p w:rsidR="00C6620B" w:rsidRDefault="00C6620B" w:rsidP="008B213A">
      <w:pPr>
        <w:pStyle w:val="BulletIntro"/>
      </w:pPr>
      <w:r>
        <w:t xml:space="preserve">The Office for Women works with other portfolios across governments to advance gender equality and improve the status and wellbeing of women in Australia. </w:t>
      </w:r>
      <w:r w:rsidR="00664B21">
        <w:t>It </w:t>
      </w:r>
      <w:r>
        <w:t>delivers programs and provides advice across three priority areas:</w:t>
      </w:r>
    </w:p>
    <w:p w:rsidR="00C6620B" w:rsidRDefault="00C6620B" w:rsidP="008B213A">
      <w:pPr>
        <w:pStyle w:val="Bullet"/>
      </w:pPr>
      <w:r>
        <w:t>reducing violence against women</w:t>
      </w:r>
    </w:p>
    <w:p w:rsidR="00C6620B" w:rsidRDefault="00C6620B" w:rsidP="008B213A">
      <w:pPr>
        <w:pStyle w:val="Bullet"/>
      </w:pPr>
      <w:r>
        <w:t>improving economic outcomes for women</w:t>
      </w:r>
    </w:p>
    <w:p w:rsidR="00C6620B" w:rsidRDefault="00C6620B" w:rsidP="008B213A">
      <w:pPr>
        <w:pStyle w:val="BulletLast"/>
      </w:pPr>
      <w:proofErr w:type="gramStart"/>
      <w:r>
        <w:t>ensuring</w:t>
      </w:r>
      <w:proofErr w:type="gramEnd"/>
      <w:r>
        <w:t xml:space="preserve"> women</w:t>
      </w:r>
      <w:r w:rsidR="00C12AA6">
        <w:t>’</w:t>
      </w:r>
      <w:r w:rsidR="007E2BC0">
        <w:t>s</w:t>
      </w:r>
      <w:r>
        <w:t xml:space="preserve"> equal place in society.</w:t>
      </w:r>
    </w:p>
    <w:p w:rsidR="00C6620B" w:rsidRDefault="00C6620B" w:rsidP="008B213A">
      <w:r>
        <w:t>Equality benefits women and men, as well as their families and communities. Progress towards equality prevents women from falling into poverty and improves outcomes for the most vulnerable women and their families.</w:t>
      </w:r>
    </w:p>
    <w:p w:rsidR="00C6620B" w:rsidRDefault="00C6620B" w:rsidP="008B213A">
      <w:r>
        <w:t>Violence against women is one of the most serious causes and consequences of continued inequality, and one of the key risk factors for women entering into poverty and disadvantage.</w:t>
      </w:r>
    </w:p>
    <w:p w:rsidR="00C6620B" w:rsidRDefault="00C6620B" w:rsidP="008B213A">
      <w:r>
        <w:t xml:space="preserve">The Australian Government continues to work with the states and territories to reduce violence </w:t>
      </w:r>
      <w:r w:rsidR="0003616E">
        <w:t xml:space="preserve">against women </w:t>
      </w:r>
      <w:r>
        <w:t>through the further development and implementation of the National Plan to Reduce Violence against Women and their Children 2010</w:t>
      </w:r>
      <w:r w:rsidR="00AE1889">
        <w:t>–</w:t>
      </w:r>
      <w:r>
        <w:t xml:space="preserve">2022. </w:t>
      </w:r>
      <w:r w:rsidR="00664B21">
        <w:t>The </w:t>
      </w:r>
      <w:r>
        <w:t>emphasis is on primary prevention, building the evidence base, improving services for victims and their families, and improving the effectiveness of interventions to stop perpetrators.</w:t>
      </w:r>
    </w:p>
    <w:p w:rsidR="00C6620B" w:rsidRDefault="00C6620B" w:rsidP="008B213A">
      <w:r>
        <w:t>The Office for Women also administers the Support for Victims of Trafficking Program and contributes to whole-of-government approaches on female genital mutilation and forced marriage.</w:t>
      </w:r>
    </w:p>
    <w:p w:rsidR="00C6620B" w:rsidRDefault="00C6620B" w:rsidP="008B213A">
      <w:r>
        <w:t>Improving women</w:t>
      </w:r>
      <w:r w:rsidR="00C12AA6">
        <w:t>’</w:t>
      </w:r>
      <w:r w:rsidR="007E2BC0">
        <w:t>s</w:t>
      </w:r>
      <w:r>
        <w:t xml:space="preserve"> economic outcomes is </w:t>
      </w:r>
      <w:proofErr w:type="gramStart"/>
      <w:r>
        <w:t>key</w:t>
      </w:r>
      <w:proofErr w:type="gramEnd"/>
      <w:r>
        <w:t xml:space="preserve"> to achieving equality between women and men in Australia and will also significantly boost Australia's productivity.</w:t>
      </w:r>
    </w:p>
    <w:p w:rsidR="00C6620B" w:rsidRDefault="00C6620B" w:rsidP="008B213A">
      <w:r>
        <w:t xml:space="preserve">The </w:t>
      </w:r>
      <w:r w:rsidRPr="008B213A">
        <w:rPr>
          <w:i/>
        </w:rPr>
        <w:t>Workplace Gender Equality Act 2012</w:t>
      </w:r>
      <w:r>
        <w:t xml:space="preserve"> and the new Workplace Gender Equality Agency will support improved gender equality and workforce participation for women in Australian workplaces.</w:t>
      </w:r>
    </w:p>
    <w:p w:rsidR="00C6620B" w:rsidRDefault="00C6620B" w:rsidP="008B213A">
      <w:pPr>
        <w:pStyle w:val="BulletIntro"/>
      </w:pPr>
      <w:r>
        <w:t>The Office for Women undertakes a range of other work through the Gender Equality for Women Program, including:</w:t>
      </w:r>
    </w:p>
    <w:p w:rsidR="00C6620B" w:rsidRDefault="00C6620B" w:rsidP="008B213A">
      <w:pPr>
        <w:pStyle w:val="Bullet"/>
      </w:pPr>
      <w:r>
        <w:t>building women</w:t>
      </w:r>
      <w:r w:rsidR="00C12AA6">
        <w:t>’</w:t>
      </w:r>
      <w:r w:rsidR="007E2BC0">
        <w:t>s</w:t>
      </w:r>
      <w:r>
        <w:t xml:space="preserve"> capacity to take on leadership responsibilities and improve the gender balance on government boards and bodies </w:t>
      </w:r>
    </w:p>
    <w:p w:rsidR="00C6620B" w:rsidRDefault="00C6620B" w:rsidP="008B213A">
      <w:pPr>
        <w:pStyle w:val="Bullet"/>
      </w:pPr>
      <w:r>
        <w:lastRenderedPageBreak/>
        <w:t>supporting women and women's organisations to engage actively with government and ensure the voices of women are heard</w:t>
      </w:r>
    </w:p>
    <w:p w:rsidR="00C6620B" w:rsidRDefault="00C6620B" w:rsidP="008B213A">
      <w:pPr>
        <w:pStyle w:val="Bullet"/>
      </w:pPr>
      <w:r>
        <w:t xml:space="preserve">encouraging a gender-based analysis of important policy decisions across government </w:t>
      </w:r>
    </w:p>
    <w:p w:rsidR="00C6620B" w:rsidRDefault="00C6620B" w:rsidP="008B213A">
      <w:pPr>
        <w:pStyle w:val="BulletLast"/>
      </w:pPr>
      <w:proofErr w:type="gramStart"/>
      <w:r>
        <w:t>representing</w:t>
      </w:r>
      <w:proofErr w:type="gramEnd"/>
      <w:r>
        <w:t xml:space="preserve"> government at national and international forums, such as the United Nations, to promote equality, women's empowerment and women's leadership.</w:t>
      </w:r>
    </w:p>
    <w:p w:rsidR="00510A87" w:rsidRDefault="00C6620B" w:rsidP="008B213A">
      <w:r>
        <w:t xml:space="preserve">The Office for Women supports the Government to achieve a target of 40 per cent </w:t>
      </w:r>
      <w:r w:rsidR="00AE1889">
        <w:t xml:space="preserve">of </w:t>
      </w:r>
      <w:r>
        <w:t>women members on Australian government boards by 2015.</w:t>
      </w:r>
    </w:p>
    <w:p w:rsidR="006E7310" w:rsidRDefault="00C6620B" w:rsidP="007A746D">
      <w:pPr>
        <w:pStyle w:val="Heading5"/>
      </w:pPr>
      <w:r>
        <w:br w:type="page"/>
      </w:r>
      <w:r w:rsidR="006E7310">
        <w:lastRenderedPageBreak/>
        <w:t xml:space="preserve">Outcome </w:t>
      </w:r>
      <w:r w:rsidR="004164A2" w:rsidRPr="00C354E6">
        <w:t>expense</w:t>
      </w:r>
      <w:r w:rsidR="004164A2">
        <w:t xml:space="preserve"> statement</w:t>
      </w:r>
    </w:p>
    <w:p w:rsidR="006E7310" w:rsidRPr="00BF33EF" w:rsidRDefault="006E7310" w:rsidP="00C354E6">
      <w:r>
        <w:t>Table 2.6 provides an overview of the total expenses for Outcome 6, by program.</w:t>
      </w:r>
    </w:p>
    <w:p w:rsidR="006E7310" w:rsidRDefault="006E7310" w:rsidP="00C354E6">
      <w:pPr>
        <w:pStyle w:val="TableHeading"/>
      </w:pPr>
      <w:r w:rsidRPr="00B7544C">
        <w:t>Table 2.</w:t>
      </w:r>
      <w:r>
        <w:t>6:</w:t>
      </w:r>
      <w:r w:rsidRPr="00B7544C">
        <w:t xml:space="preserve"> Budgeted </w:t>
      </w:r>
      <w:r w:rsidR="00A91E97">
        <w:t>e</w:t>
      </w:r>
      <w:r w:rsidRPr="00B7544C">
        <w:t xml:space="preserve">xpenses for Outcome </w:t>
      </w:r>
      <w:r>
        <w:t>6</w:t>
      </w:r>
    </w:p>
    <w:p w:rsidR="005A4CCD" w:rsidRPr="005A4CCD" w:rsidRDefault="00060D08" w:rsidP="005A4CCD">
      <w:pPr>
        <w:pStyle w:val="TableGraphic"/>
      </w:pPr>
      <w:r>
        <w:rPr>
          <w:noProof/>
        </w:rPr>
        <w:drawing>
          <wp:inline distT="0" distB="0" distL="0" distR="0" wp14:anchorId="35832DF3" wp14:editId="0486915B">
            <wp:extent cx="4848225" cy="5410200"/>
            <wp:effectExtent l="0" t="0" r="9525" b="0"/>
            <wp:docPr id="173" name="Picture 173" descr="Table 2.6: Budgeted expenses for Outcom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48225" cy="5410200"/>
                    </a:xfrm>
                    <a:prstGeom prst="rect">
                      <a:avLst/>
                    </a:prstGeom>
                    <a:noFill/>
                    <a:ln>
                      <a:noFill/>
                    </a:ln>
                  </pic:spPr>
                </pic:pic>
              </a:graphicData>
            </a:graphic>
          </wp:inline>
        </w:drawing>
      </w:r>
    </w:p>
    <w:p w:rsidR="009B64C9" w:rsidRPr="007A746D" w:rsidRDefault="009B64C9" w:rsidP="007A746D"/>
    <w:p w:rsidR="007452AA" w:rsidRDefault="007A746D" w:rsidP="007A746D">
      <w:pPr>
        <w:pStyle w:val="Heading6"/>
      </w:pPr>
      <w:r>
        <w:br w:type="page"/>
      </w:r>
      <w:r w:rsidR="007452AA" w:rsidRPr="0029642D">
        <w:lastRenderedPageBreak/>
        <w:t>Program 6.1: Gender Equality for Women</w:t>
      </w:r>
    </w:p>
    <w:p w:rsidR="0062778F" w:rsidRDefault="0062778F" w:rsidP="005518E4">
      <w:pPr>
        <w:pStyle w:val="SinglePara"/>
      </w:pPr>
    </w:p>
    <w:p w:rsidR="0062778F" w:rsidRDefault="0062778F" w:rsidP="007A746D">
      <w:pPr>
        <w:pStyle w:val="Heading7"/>
      </w:pPr>
      <w:r>
        <w:t xml:space="preserve">Program 6.1 </w:t>
      </w:r>
      <w:r w:rsidR="00A91E97">
        <w:t>o</w:t>
      </w:r>
      <w:r>
        <w:t>bjective</w:t>
      </w:r>
    </w:p>
    <w:p w:rsidR="0062778F" w:rsidRDefault="0062778F" w:rsidP="0062778F">
      <w:pPr>
        <w:pStyle w:val="NormalBox"/>
      </w:pPr>
      <w:proofErr w:type="gramStart"/>
      <w:r>
        <w:t>To implement strategies in priority areas to achieve gender equality.</w:t>
      </w:r>
      <w:proofErr w:type="gramEnd"/>
      <w:r>
        <w:t xml:space="preserve"> The priority areas include reducing violence against women, improving economic outcomes for women, and ensuring women’s equal place in society.</w:t>
      </w:r>
    </w:p>
    <w:p w:rsidR="0062778F" w:rsidRDefault="0062778F" w:rsidP="007A746D">
      <w:pPr>
        <w:pStyle w:val="Heading7"/>
      </w:pPr>
      <w:r>
        <w:t>Program component objectives</w:t>
      </w:r>
    </w:p>
    <w:p w:rsidR="0062778F" w:rsidRDefault="0062778F" w:rsidP="007A746D">
      <w:pPr>
        <w:pStyle w:val="Heading8"/>
      </w:pPr>
      <w:r>
        <w:t>Gender Equality for Women</w:t>
      </w:r>
    </w:p>
    <w:p w:rsidR="0062778F" w:rsidRDefault="0062778F" w:rsidP="0062778F">
      <w:pPr>
        <w:pStyle w:val="NormalBox"/>
      </w:pPr>
      <w:proofErr w:type="gramStart"/>
      <w:r>
        <w:t>To implement strategies in priority areas to achieve gender equality.</w:t>
      </w:r>
      <w:proofErr w:type="gramEnd"/>
    </w:p>
    <w:p w:rsidR="0062778F" w:rsidRDefault="0062778F" w:rsidP="007A746D">
      <w:pPr>
        <w:pStyle w:val="Heading8"/>
      </w:pPr>
      <w:r>
        <w:t>Other Services – Services for other Gover</w:t>
      </w:r>
      <w:r w:rsidR="00271EED">
        <w:t>nment and Non-Government Bodies</w:t>
      </w:r>
      <w:r w:rsidR="00664B21">
        <w:t xml:space="preserve"> </w:t>
      </w:r>
      <w:r>
        <w:t>(Special Account)</w:t>
      </w:r>
    </w:p>
    <w:p w:rsidR="0062778F" w:rsidRPr="0062778F" w:rsidRDefault="0062778F" w:rsidP="0062778F">
      <w:pPr>
        <w:pStyle w:val="NormalBox"/>
      </w:pPr>
      <w:r>
        <w:t>To manage expenditure in connection with services performed on behalf of other governments and bodies that are not agencies subject to the FMA Act, including t</w:t>
      </w:r>
      <w:r w:rsidR="00043CA8">
        <w:t>he COAG Select Council on Women’</w:t>
      </w:r>
      <w:r>
        <w:t>s Issues.</w:t>
      </w:r>
    </w:p>
    <w:p w:rsidR="0062778F" w:rsidRDefault="0062778F" w:rsidP="003A485D">
      <w:pPr>
        <w:pStyle w:val="SinglePara"/>
        <w:rPr>
          <w:lang w:val="en-GB"/>
        </w:rPr>
      </w:pPr>
    </w:p>
    <w:p w:rsidR="0062778F" w:rsidRDefault="00060D08" w:rsidP="007A746D">
      <w:pPr>
        <w:pStyle w:val="Heading7"/>
      </w:pPr>
      <w:r>
        <w:br w:type="page"/>
      </w:r>
      <w:r w:rsidR="0062778F">
        <w:lastRenderedPageBreak/>
        <w:t xml:space="preserve">Program 6.1 </w:t>
      </w:r>
      <w:r w:rsidR="00A91E97">
        <w:t>e</w:t>
      </w:r>
      <w:r w:rsidR="0062778F">
        <w:t>xpenses</w:t>
      </w:r>
    </w:p>
    <w:p w:rsidR="00603D17" w:rsidRDefault="00603D17" w:rsidP="00603D17">
      <w:pPr>
        <w:pStyle w:val="NormalBox"/>
      </w:pPr>
      <w:r>
        <w:t>The changes in program expenses across the forward years reflect projected changes in indexation parameters and the impact of policy initiatives.</w:t>
      </w:r>
    </w:p>
    <w:p w:rsidR="00293295" w:rsidRPr="00704365" w:rsidRDefault="00603D17" w:rsidP="00603D17">
      <w:pPr>
        <w:pStyle w:val="NormalBox"/>
      </w:pPr>
      <w:r>
        <w:t xml:space="preserve">The increase in estimates in 2013–14 reflects funding impacts for the National Plan to Reduce Violence </w:t>
      </w:r>
      <w:r w:rsidR="00A91E97">
        <w:t xml:space="preserve">against </w:t>
      </w:r>
      <w:r>
        <w:t xml:space="preserve">Women and their Children and for the </w:t>
      </w:r>
      <w:r w:rsidR="002939E3">
        <w:t>N</w:t>
      </w:r>
      <w:r>
        <w:t>ational Centre of Excellence.</w:t>
      </w:r>
    </w:p>
    <w:p w:rsidR="007452AA" w:rsidRDefault="0062778F" w:rsidP="00A227B3">
      <w:pPr>
        <w:pStyle w:val="TableHeading"/>
        <w:rPr>
          <w:lang w:val="en-GB"/>
        </w:rPr>
      </w:pPr>
      <w:r>
        <w:rPr>
          <w:lang w:val="en-GB"/>
        </w:rPr>
        <w:t>Table 2</w:t>
      </w:r>
      <w:r w:rsidR="007452AA">
        <w:rPr>
          <w:lang w:val="en-GB"/>
        </w:rPr>
        <w:t xml:space="preserve">.6.1: </w:t>
      </w:r>
      <w:r w:rsidR="004B5D66">
        <w:rPr>
          <w:lang w:val="en-GB"/>
        </w:rPr>
        <w:t xml:space="preserve">Budgeted </w:t>
      </w:r>
      <w:r w:rsidR="00A91E97">
        <w:rPr>
          <w:lang w:val="en-GB"/>
        </w:rPr>
        <w:t>e</w:t>
      </w:r>
      <w:r w:rsidR="007E376F">
        <w:rPr>
          <w:lang w:val="en-GB"/>
        </w:rPr>
        <w:t>xpenses</w:t>
      </w:r>
      <w:r w:rsidR="004B5D66">
        <w:rPr>
          <w:lang w:val="en-GB"/>
        </w:rPr>
        <w:t xml:space="preserve"> for Gender Equality for Women</w:t>
      </w:r>
    </w:p>
    <w:p w:rsidR="008C1F44" w:rsidRDefault="00060D08" w:rsidP="008C1F44">
      <w:pPr>
        <w:pStyle w:val="TableGraphic"/>
        <w:rPr>
          <w:lang w:val="en-GB"/>
        </w:rPr>
      </w:pPr>
      <w:r>
        <w:rPr>
          <w:noProof/>
        </w:rPr>
        <w:drawing>
          <wp:inline distT="0" distB="0" distL="0" distR="0" wp14:anchorId="39830DE0" wp14:editId="73B81E97">
            <wp:extent cx="4878705" cy="2995696"/>
            <wp:effectExtent l="0" t="0" r="0" b="0"/>
            <wp:docPr id="174" name="Picture 174" descr="Table 2.6.1: Budgeted expenses for Gender Equality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78705" cy="2995696"/>
                    </a:xfrm>
                    <a:prstGeom prst="rect">
                      <a:avLst/>
                    </a:prstGeom>
                    <a:noFill/>
                    <a:ln>
                      <a:noFill/>
                    </a:ln>
                  </pic:spPr>
                </pic:pic>
              </a:graphicData>
            </a:graphic>
          </wp:inline>
        </w:drawing>
      </w:r>
    </w:p>
    <w:p w:rsidR="007452AA" w:rsidRDefault="007A746D" w:rsidP="007A746D">
      <w:pPr>
        <w:pStyle w:val="Heading7"/>
      </w:pPr>
      <w:r>
        <w:br w:type="page"/>
      </w:r>
      <w:r w:rsidR="007452AA" w:rsidRPr="00AA278F">
        <w:lastRenderedPageBreak/>
        <w:t xml:space="preserve">Program </w:t>
      </w:r>
      <w:r w:rsidR="00C249F9">
        <w:t xml:space="preserve">6.1 </w:t>
      </w:r>
      <w:r w:rsidR="00A91E97">
        <w:t>d</w:t>
      </w:r>
      <w:r w:rsidR="00C249F9" w:rsidRPr="00AA278F">
        <w:t xml:space="preserve">eliverables </w:t>
      </w:r>
    </w:p>
    <w:p w:rsidR="009B64C9" w:rsidRPr="009B64C9" w:rsidRDefault="009B64C9" w:rsidP="009B64C9">
      <w:pPr>
        <w:pStyle w:val="BulletBox"/>
      </w:pPr>
      <w:r w:rsidRPr="009B64C9">
        <w:t xml:space="preserve">Number of contacts for 1800RESPECT </w:t>
      </w:r>
      <w:r w:rsidR="00C12AA6">
        <w:t>–</w:t>
      </w:r>
      <w:r w:rsidRPr="009B64C9">
        <w:t xml:space="preserve"> the National Sexual Assault, Domestic Family Violence Counselling Service (telephone and online)</w:t>
      </w:r>
      <w:r>
        <w:rPr>
          <w:rStyle w:val="FootnoteReference"/>
        </w:rPr>
        <w:footnoteReference w:id="35"/>
      </w:r>
    </w:p>
    <w:p w:rsidR="009B64C9" w:rsidRDefault="00EB0199" w:rsidP="00EB0199">
      <w:pPr>
        <w:pStyle w:val="TableHeading"/>
      </w:pPr>
      <w:r>
        <w:t xml:space="preserve">Gender Equality for Women </w:t>
      </w:r>
      <w:r w:rsidR="00A91E97">
        <w:t>deliverables t</w:t>
      </w:r>
      <w:r>
        <w:t>argets</w:t>
      </w:r>
    </w:p>
    <w:tbl>
      <w:tblPr>
        <w:tblW w:w="7642" w:type="dxa"/>
        <w:tblInd w:w="28" w:type="dxa"/>
        <w:tblCellMar>
          <w:top w:w="17" w:type="dxa"/>
          <w:left w:w="28" w:type="dxa"/>
          <w:bottom w:w="17" w:type="dxa"/>
          <w:right w:w="28" w:type="dxa"/>
        </w:tblCellMar>
        <w:tblLook w:val="00A0" w:firstRow="1" w:lastRow="0" w:firstColumn="1" w:lastColumn="0" w:noHBand="0" w:noVBand="0"/>
        <w:tblDescription w:val="Gender Equality for Women deliverables targets"/>
      </w:tblPr>
      <w:tblGrid>
        <w:gridCol w:w="3107"/>
        <w:gridCol w:w="907"/>
        <w:gridCol w:w="907"/>
        <w:gridCol w:w="907"/>
        <w:gridCol w:w="907"/>
        <w:gridCol w:w="907"/>
      </w:tblGrid>
      <w:tr w:rsidR="00C12AA6" w:rsidRPr="00FB71DE" w:rsidTr="00C12AA6">
        <w:trPr>
          <w:trHeight w:val="224"/>
        </w:trPr>
        <w:tc>
          <w:tcPr>
            <w:tcW w:w="3107" w:type="dxa"/>
            <w:tcBorders>
              <w:top w:val="single" w:sz="4" w:space="0" w:color="auto"/>
              <w:left w:val="nil"/>
              <w:bottom w:val="single" w:sz="4" w:space="0" w:color="auto"/>
              <w:right w:val="nil"/>
            </w:tcBorders>
          </w:tcPr>
          <w:p w:rsidR="00C12AA6" w:rsidRPr="00FB71DE" w:rsidRDefault="00C12AA6" w:rsidP="00C12AA6">
            <w:pPr>
              <w:spacing w:before="60" w:after="60" w:line="240" w:lineRule="auto"/>
              <w:jc w:val="left"/>
              <w:rPr>
                <w:rFonts w:ascii="Arial" w:hAnsi="Arial" w:cs="Arial"/>
                <w:b/>
                <w:bCs/>
                <w:sz w:val="16"/>
                <w:szCs w:val="16"/>
              </w:rPr>
            </w:pPr>
          </w:p>
        </w:tc>
        <w:tc>
          <w:tcPr>
            <w:tcW w:w="907" w:type="dxa"/>
            <w:tcBorders>
              <w:top w:val="single" w:sz="4" w:space="0" w:color="auto"/>
              <w:left w:val="nil"/>
              <w:bottom w:val="single" w:sz="4" w:space="0" w:color="auto"/>
              <w:right w:val="nil"/>
            </w:tcBorders>
            <w:shd w:val="clear" w:color="000000" w:fill="FFFFFF"/>
            <w:noWrap/>
            <w:vAlign w:val="bottom"/>
          </w:tcPr>
          <w:p w:rsidR="00C12AA6" w:rsidRPr="00FB71DE" w:rsidRDefault="00C12AA6" w:rsidP="00C12AA6">
            <w:pPr>
              <w:spacing w:before="60" w:after="60" w:line="240" w:lineRule="auto"/>
              <w:jc w:val="right"/>
              <w:rPr>
                <w:rFonts w:ascii="Arial" w:hAnsi="Arial" w:cs="Arial"/>
                <w:sz w:val="16"/>
                <w:szCs w:val="16"/>
              </w:rPr>
            </w:pPr>
            <w:r w:rsidRPr="00FB71DE">
              <w:rPr>
                <w:rFonts w:ascii="Arial" w:hAnsi="Arial" w:cs="Arial"/>
                <w:sz w:val="16"/>
                <w:szCs w:val="16"/>
              </w:rPr>
              <w:t>2012</w:t>
            </w:r>
            <w:r>
              <w:rPr>
                <w:rFonts w:ascii="Arial" w:hAnsi="Arial" w:cs="Arial"/>
                <w:sz w:val="16"/>
                <w:szCs w:val="16"/>
              </w:rPr>
              <w:t>–13 Revised budget</w:t>
            </w:r>
          </w:p>
        </w:tc>
        <w:tc>
          <w:tcPr>
            <w:tcW w:w="907" w:type="dxa"/>
            <w:tcBorders>
              <w:top w:val="single" w:sz="4" w:space="0" w:color="auto"/>
              <w:left w:val="nil"/>
              <w:bottom w:val="single" w:sz="4" w:space="0" w:color="auto"/>
              <w:right w:val="nil"/>
            </w:tcBorders>
            <w:shd w:val="clear" w:color="000000" w:fill="E6E6E6"/>
            <w:noWrap/>
          </w:tcPr>
          <w:p w:rsidR="00C12AA6" w:rsidRPr="00FB71DE" w:rsidRDefault="00C12AA6" w:rsidP="00C12AA6">
            <w:pPr>
              <w:spacing w:before="60" w:after="60" w:line="240" w:lineRule="auto"/>
              <w:jc w:val="right"/>
              <w:rPr>
                <w:rFonts w:ascii="Arial" w:hAnsi="Arial" w:cs="Arial"/>
                <w:sz w:val="16"/>
                <w:szCs w:val="16"/>
              </w:rPr>
            </w:pPr>
            <w:r w:rsidRPr="00FB71DE">
              <w:rPr>
                <w:rFonts w:ascii="Arial" w:hAnsi="Arial" w:cs="Arial"/>
                <w:sz w:val="16"/>
                <w:szCs w:val="16"/>
              </w:rPr>
              <w:t>20</w:t>
            </w:r>
            <w:r>
              <w:rPr>
                <w:rFonts w:ascii="Arial" w:hAnsi="Arial" w:cs="Arial"/>
                <w:sz w:val="16"/>
                <w:szCs w:val="16"/>
              </w:rPr>
              <w:t>13–14 Budget</w:t>
            </w:r>
          </w:p>
        </w:tc>
        <w:tc>
          <w:tcPr>
            <w:tcW w:w="907" w:type="dxa"/>
            <w:tcBorders>
              <w:top w:val="single" w:sz="4" w:space="0" w:color="auto"/>
              <w:left w:val="nil"/>
              <w:bottom w:val="single" w:sz="4" w:space="0" w:color="auto"/>
              <w:right w:val="nil"/>
            </w:tcBorders>
            <w:shd w:val="clear" w:color="000000" w:fill="FFFFFF"/>
            <w:noWrap/>
            <w:vAlign w:val="bottom"/>
          </w:tcPr>
          <w:p w:rsidR="00C12AA6" w:rsidRPr="00FB71DE" w:rsidRDefault="00C12AA6" w:rsidP="00C12AA6">
            <w:pPr>
              <w:spacing w:before="60" w:after="60" w:line="240" w:lineRule="auto"/>
              <w:jc w:val="right"/>
              <w:rPr>
                <w:rFonts w:ascii="Arial" w:hAnsi="Arial" w:cs="Arial"/>
                <w:sz w:val="16"/>
                <w:szCs w:val="16"/>
              </w:rPr>
            </w:pPr>
            <w:r w:rsidRPr="00FB71DE">
              <w:rPr>
                <w:rFonts w:ascii="Arial" w:hAnsi="Arial" w:cs="Arial"/>
                <w:sz w:val="16"/>
                <w:szCs w:val="16"/>
              </w:rPr>
              <w:t>2014</w:t>
            </w:r>
            <w:r>
              <w:rPr>
                <w:rFonts w:ascii="Arial" w:hAnsi="Arial" w:cs="Arial"/>
                <w:sz w:val="16"/>
                <w:szCs w:val="16"/>
              </w:rPr>
              <w:t>–15 Forward year 1</w:t>
            </w:r>
          </w:p>
        </w:tc>
        <w:tc>
          <w:tcPr>
            <w:tcW w:w="907" w:type="dxa"/>
            <w:tcBorders>
              <w:top w:val="single" w:sz="4" w:space="0" w:color="auto"/>
              <w:left w:val="nil"/>
              <w:bottom w:val="single" w:sz="4" w:space="0" w:color="auto"/>
              <w:right w:val="nil"/>
            </w:tcBorders>
            <w:shd w:val="clear" w:color="000000" w:fill="FFFFFF"/>
            <w:noWrap/>
            <w:vAlign w:val="bottom"/>
          </w:tcPr>
          <w:p w:rsidR="00C12AA6" w:rsidRPr="00FB71DE" w:rsidRDefault="00C12AA6" w:rsidP="00C12AA6">
            <w:pPr>
              <w:spacing w:before="60" w:after="60" w:line="240" w:lineRule="auto"/>
              <w:jc w:val="right"/>
              <w:rPr>
                <w:rFonts w:ascii="Arial" w:hAnsi="Arial" w:cs="Arial"/>
                <w:sz w:val="16"/>
                <w:szCs w:val="16"/>
              </w:rPr>
            </w:pPr>
            <w:r w:rsidRPr="00FB71DE">
              <w:rPr>
                <w:rFonts w:ascii="Arial" w:hAnsi="Arial" w:cs="Arial"/>
                <w:sz w:val="16"/>
                <w:szCs w:val="16"/>
              </w:rPr>
              <w:t>2015</w:t>
            </w:r>
            <w:r>
              <w:rPr>
                <w:rFonts w:ascii="Arial" w:hAnsi="Arial" w:cs="Arial"/>
                <w:sz w:val="16"/>
                <w:szCs w:val="16"/>
              </w:rPr>
              <w:t>–16 Forward year 2</w:t>
            </w:r>
          </w:p>
        </w:tc>
        <w:tc>
          <w:tcPr>
            <w:tcW w:w="907" w:type="dxa"/>
            <w:tcBorders>
              <w:top w:val="single" w:sz="4" w:space="0" w:color="auto"/>
              <w:left w:val="nil"/>
              <w:bottom w:val="single" w:sz="4" w:space="0" w:color="auto"/>
              <w:right w:val="nil"/>
            </w:tcBorders>
            <w:shd w:val="clear" w:color="000000" w:fill="FFFFFF"/>
            <w:noWrap/>
            <w:vAlign w:val="bottom"/>
          </w:tcPr>
          <w:p w:rsidR="00C12AA6" w:rsidRPr="00FB71DE" w:rsidRDefault="00C12AA6" w:rsidP="00C12AA6">
            <w:pPr>
              <w:spacing w:before="60" w:after="60" w:line="240" w:lineRule="auto"/>
              <w:jc w:val="right"/>
              <w:rPr>
                <w:rFonts w:ascii="Arial" w:hAnsi="Arial" w:cs="Arial"/>
                <w:sz w:val="16"/>
                <w:szCs w:val="16"/>
              </w:rPr>
            </w:pPr>
            <w:r w:rsidRPr="00FB71DE">
              <w:rPr>
                <w:rFonts w:ascii="Arial" w:hAnsi="Arial" w:cs="Arial"/>
                <w:sz w:val="16"/>
                <w:szCs w:val="16"/>
              </w:rPr>
              <w:t>2016</w:t>
            </w:r>
            <w:r>
              <w:rPr>
                <w:rFonts w:ascii="Arial" w:hAnsi="Arial" w:cs="Arial"/>
                <w:sz w:val="16"/>
                <w:szCs w:val="16"/>
              </w:rPr>
              <w:t>–17 Forward year 3</w:t>
            </w:r>
          </w:p>
        </w:tc>
      </w:tr>
      <w:tr w:rsidR="00C12AA6" w:rsidRPr="00FB71DE" w:rsidTr="00C12AA6">
        <w:trPr>
          <w:trHeight w:val="224"/>
        </w:trPr>
        <w:tc>
          <w:tcPr>
            <w:tcW w:w="3107" w:type="dxa"/>
            <w:tcBorders>
              <w:top w:val="nil"/>
              <w:left w:val="nil"/>
              <w:bottom w:val="single" w:sz="4" w:space="0" w:color="auto"/>
              <w:right w:val="nil"/>
            </w:tcBorders>
            <w:noWrap/>
            <w:vAlign w:val="bottom"/>
          </w:tcPr>
          <w:p w:rsidR="00C12AA6" w:rsidRPr="00FB71DE" w:rsidRDefault="00C12AA6" w:rsidP="001205C8">
            <w:pPr>
              <w:spacing w:before="60" w:after="0" w:line="240" w:lineRule="auto"/>
              <w:jc w:val="left"/>
              <w:rPr>
                <w:rFonts w:ascii="Arial" w:hAnsi="Arial" w:cs="Arial"/>
                <w:sz w:val="16"/>
                <w:szCs w:val="16"/>
              </w:rPr>
            </w:pPr>
            <w:r w:rsidRPr="00FB71DE">
              <w:rPr>
                <w:rFonts w:ascii="Arial" w:hAnsi="Arial" w:cs="Arial"/>
                <w:sz w:val="16"/>
                <w:szCs w:val="16"/>
              </w:rPr>
              <w:t>Number of contacts for 1800RES</w:t>
            </w:r>
            <w:r>
              <w:rPr>
                <w:rFonts w:ascii="Arial" w:hAnsi="Arial" w:cs="Arial"/>
                <w:sz w:val="16"/>
                <w:szCs w:val="16"/>
              </w:rPr>
              <w:t>PECT – the National Sexual Assau</w:t>
            </w:r>
            <w:r w:rsidRPr="00FB71DE">
              <w:rPr>
                <w:rFonts w:ascii="Arial" w:hAnsi="Arial" w:cs="Arial"/>
                <w:sz w:val="16"/>
                <w:szCs w:val="16"/>
              </w:rPr>
              <w:t>lt</w:t>
            </w:r>
            <w:r>
              <w:rPr>
                <w:rFonts w:ascii="Arial" w:hAnsi="Arial" w:cs="Arial"/>
                <w:sz w:val="16"/>
                <w:szCs w:val="16"/>
              </w:rPr>
              <w:t xml:space="preserve">, </w:t>
            </w:r>
            <w:r w:rsidRPr="00FB71DE">
              <w:rPr>
                <w:rFonts w:ascii="Arial" w:hAnsi="Arial" w:cs="Arial"/>
                <w:sz w:val="16"/>
                <w:szCs w:val="16"/>
              </w:rPr>
              <w:t xml:space="preserve">Domestic Family Violence </w:t>
            </w:r>
            <w:r>
              <w:rPr>
                <w:rFonts w:ascii="Arial" w:hAnsi="Arial" w:cs="Arial"/>
                <w:sz w:val="16"/>
                <w:szCs w:val="16"/>
              </w:rPr>
              <w:t>C</w:t>
            </w:r>
            <w:r w:rsidRPr="00FB71DE">
              <w:rPr>
                <w:rFonts w:ascii="Arial" w:hAnsi="Arial" w:cs="Arial"/>
                <w:sz w:val="16"/>
                <w:szCs w:val="16"/>
              </w:rPr>
              <w:t xml:space="preserve">ounselling </w:t>
            </w:r>
            <w:r>
              <w:rPr>
                <w:rFonts w:ascii="Arial" w:hAnsi="Arial" w:cs="Arial"/>
                <w:sz w:val="16"/>
                <w:szCs w:val="16"/>
              </w:rPr>
              <w:t>S</w:t>
            </w:r>
            <w:r w:rsidRPr="00FB71DE">
              <w:rPr>
                <w:rFonts w:ascii="Arial" w:hAnsi="Arial" w:cs="Arial"/>
                <w:sz w:val="16"/>
                <w:szCs w:val="16"/>
              </w:rPr>
              <w:t xml:space="preserve">ervice </w:t>
            </w:r>
            <w:r>
              <w:rPr>
                <w:rFonts w:ascii="Arial" w:hAnsi="Arial" w:cs="Arial"/>
                <w:sz w:val="16"/>
                <w:szCs w:val="16"/>
              </w:rPr>
              <w:t>(</w:t>
            </w:r>
            <w:r w:rsidRPr="00FB71DE">
              <w:rPr>
                <w:rFonts w:ascii="Arial" w:hAnsi="Arial" w:cs="Arial"/>
                <w:sz w:val="16"/>
                <w:szCs w:val="16"/>
              </w:rPr>
              <w:t>telephone and online</w:t>
            </w:r>
            <w:r>
              <w:rPr>
                <w:rFonts w:ascii="Arial" w:hAnsi="Arial" w:cs="Arial"/>
                <w:sz w:val="16"/>
                <w:szCs w:val="16"/>
              </w:rPr>
              <w:t>)</w:t>
            </w:r>
            <w:r w:rsidRPr="00FB71DE">
              <w:rPr>
                <w:rFonts w:ascii="Arial" w:hAnsi="Arial" w:cs="Arial"/>
                <w:sz w:val="16"/>
                <w:szCs w:val="16"/>
              </w:rPr>
              <w:t xml:space="preserve"> </w:t>
            </w:r>
          </w:p>
        </w:tc>
        <w:tc>
          <w:tcPr>
            <w:tcW w:w="907" w:type="dxa"/>
            <w:tcBorders>
              <w:top w:val="nil"/>
              <w:left w:val="nil"/>
              <w:bottom w:val="single" w:sz="4" w:space="0" w:color="auto"/>
              <w:right w:val="nil"/>
            </w:tcBorders>
            <w:vAlign w:val="bottom"/>
          </w:tcPr>
          <w:p w:rsidR="00C12AA6" w:rsidRPr="00FB71DE" w:rsidRDefault="00C12AA6" w:rsidP="003A485D">
            <w:pPr>
              <w:spacing w:before="120" w:after="0" w:line="240" w:lineRule="auto"/>
              <w:jc w:val="right"/>
              <w:rPr>
                <w:rFonts w:ascii="Arial" w:hAnsi="Arial" w:cs="Arial"/>
                <w:sz w:val="16"/>
                <w:szCs w:val="16"/>
              </w:rPr>
            </w:pPr>
            <w:r w:rsidRPr="00FB71DE">
              <w:rPr>
                <w:rFonts w:ascii="Arial" w:hAnsi="Arial" w:cs="Arial"/>
                <w:sz w:val="16"/>
                <w:szCs w:val="16"/>
              </w:rPr>
              <w:t>20,000</w:t>
            </w:r>
          </w:p>
        </w:tc>
        <w:tc>
          <w:tcPr>
            <w:tcW w:w="907" w:type="dxa"/>
            <w:tcBorders>
              <w:top w:val="nil"/>
              <w:left w:val="nil"/>
              <w:bottom w:val="single" w:sz="4" w:space="0" w:color="auto"/>
              <w:right w:val="nil"/>
            </w:tcBorders>
            <w:shd w:val="clear" w:color="000000" w:fill="E6E6E6"/>
            <w:vAlign w:val="bottom"/>
          </w:tcPr>
          <w:p w:rsidR="00C12AA6" w:rsidRPr="00FB71DE" w:rsidRDefault="00C12AA6" w:rsidP="003A485D">
            <w:pPr>
              <w:spacing w:before="120" w:after="0" w:line="240" w:lineRule="auto"/>
              <w:jc w:val="right"/>
              <w:rPr>
                <w:rFonts w:ascii="Arial" w:hAnsi="Arial" w:cs="Arial"/>
                <w:sz w:val="16"/>
                <w:szCs w:val="16"/>
              </w:rPr>
            </w:pPr>
            <w:r w:rsidRPr="00FB71DE">
              <w:rPr>
                <w:rFonts w:ascii="Arial" w:hAnsi="Arial" w:cs="Arial"/>
                <w:sz w:val="16"/>
                <w:szCs w:val="16"/>
              </w:rPr>
              <w:t>20,000</w:t>
            </w:r>
          </w:p>
        </w:tc>
        <w:tc>
          <w:tcPr>
            <w:tcW w:w="907" w:type="dxa"/>
            <w:tcBorders>
              <w:top w:val="nil"/>
              <w:left w:val="nil"/>
              <w:bottom w:val="single" w:sz="4" w:space="0" w:color="auto"/>
              <w:right w:val="nil"/>
            </w:tcBorders>
            <w:vAlign w:val="bottom"/>
          </w:tcPr>
          <w:p w:rsidR="00C12AA6" w:rsidRPr="00FB71DE" w:rsidRDefault="00C12AA6" w:rsidP="003A485D">
            <w:pPr>
              <w:spacing w:before="120" w:after="0" w:line="240" w:lineRule="auto"/>
              <w:jc w:val="right"/>
              <w:rPr>
                <w:rFonts w:ascii="Arial" w:hAnsi="Arial" w:cs="Arial"/>
                <w:sz w:val="16"/>
                <w:szCs w:val="16"/>
              </w:rPr>
            </w:pPr>
            <w:r w:rsidRPr="00FB71DE">
              <w:rPr>
                <w:rFonts w:ascii="Arial" w:hAnsi="Arial" w:cs="Arial"/>
                <w:sz w:val="16"/>
                <w:szCs w:val="16"/>
              </w:rPr>
              <w:t>20,000</w:t>
            </w:r>
          </w:p>
        </w:tc>
        <w:tc>
          <w:tcPr>
            <w:tcW w:w="907" w:type="dxa"/>
            <w:tcBorders>
              <w:top w:val="nil"/>
              <w:left w:val="nil"/>
              <w:bottom w:val="single" w:sz="4" w:space="0" w:color="auto"/>
              <w:right w:val="nil"/>
            </w:tcBorders>
            <w:vAlign w:val="bottom"/>
          </w:tcPr>
          <w:p w:rsidR="00C12AA6" w:rsidRPr="00FB71DE" w:rsidRDefault="00C12AA6" w:rsidP="003A485D">
            <w:pPr>
              <w:spacing w:before="120" w:after="0" w:line="240" w:lineRule="auto"/>
              <w:jc w:val="right"/>
              <w:rPr>
                <w:rFonts w:ascii="Arial" w:hAnsi="Arial" w:cs="Arial"/>
                <w:sz w:val="16"/>
                <w:szCs w:val="16"/>
              </w:rPr>
            </w:pPr>
            <w:r w:rsidRPr="00FB71DE">
              <w:rPr>
                <w:rFonts w:ascii="Arial" w:hAnsi="Arial" w:cs="Arial"/>
                <w:sz w:val="16"/>
                <w:szCs w:val="16"/>
              </w:rPr>
              <w:t>20,000</w:t>
            </w:r>
          </w:p>
        </w:tc>
        <w:tc>
          <w:tcPr>
            <w:tcW w:w="907" w:type="dxa"/>
            <w:tcBorders>
              <w:top w:val="nil"/>
              <w:left w:val="nil"/>
              <w:bottom w:val="single" w:sz="4" w:space="0" w:color="auto"/>
              <w:right w:val="nil"/>
            </w:tcBorders>
            <w:vAlign w:val="bottom"/>
          </w:tcPr>
          <w:p w:rsidR="00C12AA6" w:rsidRPr="00FB71DE" w:rsidRDefault="00C12AA6" w:rsidP="003A485D">
            <w:pPr>
              <w:spacing w:before="120" w:after="0" w:line="240" w:lineRule="auto"/>
              <w:jc w:val="right"/>
              <w:rPr>
                <w:rFonts w:ascii="Arial" w:hAnsi="Arial" w:cs="Arial"/>
                <w:sz w:val="16"/>
                <w:szCs w:val="16"/>
              </w:rPr>
            </w:pPr>
            <w:r w:rsidRPr="00FB71DE">
              <w:rPr>
                <w:rFonts w:ascii="Arial" w:hAnsi="Arial" w:cs="Arial"/>
                <w:sz w:val="16"/>
                <w:szCs w:val="16"/>
              </w:rPr>
              <w:t>20,000</w:t>
            </w:r>
          </w:p>
        </w:tc>
      </w:tr>
    </w:tbl>
    <w:p w:rsidR="00C12AA6" w:rsidRPr="00C12AA6" w:rsidRDefault="00C12AA6" w:rsidP="003A485D"/>
    <w:p w:rsidR="007452AA" w:rsidRDefault="007452AA" w:rsidP="007A746D">
      <w:pPr>
        <w:pStyle w:val="Heading7"/>
      </w:pPr>
      <w:r w:rsidRPr="003A485D">
        <w:t>Program</w:t>
      </w:r>
      <w:r w:rsidRPr="00AA278F">
        <w:t xml:space="preserve"> </w:t>
      </w:r>
      <w:r w:rsidR="00C249F9">
        <w:t xml:space="preserve">6.1 </w:t>
      </w:r>
      <w:r w:rsidR="00A91E97">
        <w:t>key performance i</w:t>
      </w:r>
      <w:r w:rsidR="00A91E97" w:rsidRPr="00AA278F">
        <w:t xml:space="preserve">ndicators </w:t>
      </w:r>
    </w:p>
    <w:p w:rsidR="00880638" w:rsidRPr="00880638" w:rsidRDefault="00880638" w:rsidP="00880638">
      <w:pPr>
        <w:pStyle w:val="ProgramHeading3"/>
      </w:pPr>
      <w:r>
        <w:t xml:space="preserve">Gender Equality </w:t>
      </w:r>
      <w:r w:rsidRPr="007A746D">
        <w:rPr>
          <w:rStyle w:val="Heading8Char"/>
        </w:rPr>
        <w:t>f</w:t>
      </w:r>
      <w:r>
        <w:t>or Women</w:t>
      </w:r>
    </w:p>
    <w:p w:rsidR="00F85EEA" w:rsidRDefault="00F85EEA" w:rsidP="00F85EEA">
      <w:pPr>
        <w:pStyle w:val="BulletBox"/>
      </w:pPr>
      <w:r>
        <w:t>Percentage and number of women representatives on Australian government boards</w:t>
      </w:r>
    </w:p>
    <w:p w:rsidR="00F85EEA" w:rsidRDefault="00F85EEA" w:rsidP="00F85EEA">
      <w:pPr>
        <w:pStyle w:val="BulletBox"/>
      </w:pPr>
      <w:r>
        <w:t>Assessment by stakeholders of the contribution of the Office for Women to national debates affecting gender equality</w:t>
      </w:r>
    </w:p>
    <w:p w:rsidR="009B64C9" w:rsidRPr="009B64C9" w:rsidRDefault="00F85EEA" w:rsidP="00F85EEA">
      <w:pPr>
        <w:pStyle w:val="BulletBox"/>
      </w:pPr>
      <w:r>
        <w:t>Percentage and number of contacts for 1800RESPECT – the National Sexual Assault, Domestic Family Violence Counselling Service (telephone and online) –</w:t>
      </w:r>
      <w:r w:rsidR="000C048F">
        <w:t xml:space="preserve"> </w:t>
      </w:r>
      <w:r>
        <w:t>who are women</w:t>
      </w:r>
      <w:r>
        <w:rPr>
          <w:rStyle w:val="FootnoteReference"/>
        </w:rPr>
        <w:footnoteReference w:id="36"/>
      </w:r>
    </w:p>
    <w:p w:rsidR="007A746D" w:rsidRPr="007A746D" w:rsidRDefault="007A746D" w:rsidP="007A746D">
      <w:pPr>
        <w:pStyle w:val="Heading4"/>
        <w:pBdr>
          <w:top w:val="single" w:sz="2" w:space="1" w:color="auto"/>
          <w:left w:val="single" w:sz="2" w:space="4" w:color="auto"/>
          <w:bottom w:val="single" w:sz="2" w:space="1" w:color="auto"/>
          <w:right w:val="single" w:sz="2" w:space="4" w:color="auto"/>
        </w:pBdr>
        <w:shd w:val="pct15" w:color="auto" w:fill="auto"/>
      </w:pPr>
      <w:r>
        <w:br w:type="page"/>
      </w:r>
      <w:r w:rsidRPr="007A746D">
        <w:lastRenderedPageBreak/>
        <w:t>Outcome 7: Indigenous</w:t>
      </w:r>
    </w:p>
    <w:p w:rsidR="003608C9" w:rsidRPr="007A746D" w:rsidRDefault="007A746D" w:rsidP="007A746D">
      <w:pPr>
        <w:pBdr>
          <w:top w:val="single" w:sz="2" w:space="1" w:color="auto"/>
          <w:left w:val="single" w:sz="2" w:space="4" w:color="auto"/>
          <w:bottom w:val="single" w:sz="2" w:space="1" w:color="auto"/>
          <w:right w:val="single" w:sz="2" w:space="4" w:color="auto"/>
        </w:pBdr>
        <w:shd w:val="pct15" w:color="auto" w:fill="auto"/>
      </w:pPr>
      <w:r w:rsidRPr="007A746D">
        <w:t>Closing the gap in Indigenous disadvantage with improved wellbeing, capacity to participate economically and socially and to manage life-transitions for Indigenous Australians through Indigenous engagement, coordinated whole of government policy advice and targeted support services.</w:t>
      </w:r>
    </w:p>
    <w:p w:rsidR="007452AA" w:rsidRPr="007A746D" w:rsidRDefault="007452AA" w:rsidP="007A746D">
      <w:pPr>
        <w:pStyle w:val="Heading5"/>
      </w:pPr>
      <w:r w:rsidRPr="007A746D">
        <w:t>Outcome 7 strategy</w:t>
      </w:r>
    </w:p>
    <w:p w:rsidR="00726298" w:rsidRDefault="00726298" w:rsidP="00726298">
      <w:pPr>
        <w:pStyle w:val="BulletIntro"/>
      </w:pPr>
      <w:r>
        <w:t>FaHCSIA works across its seven core areas to support positive outcomes for Indigenous Australians. The Department:</w:t>
      </w:r>
    </w:p>
    <w:p w:rsidR="00726298" w:rsidRDefault="00726298" w:rsidP="00726298">
      <w:pPr>
        <w:pStyle w:val="Bullet"/>
      </w:pPr>
      <w:r>
        <w:t xml:space="preserve">provides financial, family and housing support; ensures </w:t>
      </w:r>
      <w:r w:rsidR="00B33340">
        <w:t xml:space="preserve">that </w:t>
      </w:r>
      <w:r>
        <w:t>child, family and individual support payments and services respond to the needs of Indigenous people; and works to ensure that mainstream services deliver for Indigenous people</w:t>
      </w:r>
    </w:p>
    <w:p w:rsidR="00726298" w:rsidRDefault="00726298" w:rsidP="00726298">
      <w:pPr>
        <w:pStyle w:val="Bullet"/>
      </w:pPr>
      <w:r>
        <w:t xml:space="preserve">aims to ensure </w:t>
      </w:r>
      <w:r w:rsidR="00B33340">
        <w:t xml:space="preserve">that </w:t>
      </w:r>
      <w:r>
        <w:t>Indigenous people have access to a range of essential services and healthy housing options, particularly in remote areas; and helps Indigenous people to use land, housing and other assets to build economic independence</w:t>
      </w:r>
    </w:p>
    <w:p w:rsidR="00726298" w:rsidRDefault="00726298" w:rsidP="00726298">
      <w:pPr>
        <w:pStyle w:val="Bullet"/>
      </w:pPr>
      <w:r>
        <w:t>encourages stronger, safer communities by tackling violence, working in partnership with communities to find and implement solutions to alcohol-related harm, and ensures that welfare payments promote positive participation</w:t>
      </w:r>
    </w:p>
    <w:p w:rsidR="00726298" w:rsidRDefault="00726298" w:rsidP="00726298">
      <w:pPr>
        <w:pStyle w:val="BulletLast"/>
      </w:pPr>
      <w:proofErr w:type="gramStart"/>
      <w:r>
        <w:t>builds</w:t>
      </w:r>
      <w:proofErr w:type="gramEnd"/>
      <w:r>
        <w:t xml:space="preserve"> capacity and resilience by providing leadership skills to individuals; and promotes strong, accountable governance in organisations and communities so they can work to build better and more self-sufficient futures.</w:t>
      </w:r>
    </w:p>
    <w:p w:rsidR="00726298" w:rsidRDefault="00726298" w:rsidP="00726298">
      <w:r>
        <w:t>FaHCSIA is the lead Australian Government agency delivering the Closing the Gap strategy to combat Indigenous disadvantage.</w:t>
      </w:r>
    </w:p>
    <w:p w:rsidR="00726298" w:rsidRDefault="00726298" w:rsidP="00726298">
      <w:r>
        <w:t xml:space="preserve">COAG's National Indigenous Reform Agreement provides the framework for </w:t>
      </w:r>
      <w:proofErr w:type="gramStart"/>
      <w:r>
        <w:t>Closing</w:t>
      </w:r>
      <w:proofErr w:type="gramEnd"/>
      <w:r>
        <w:t xml:space="preserve"> the Gap.</w:t>
      </w:r>
    </w:p>
    <w:p w:rsidR="00726298" w:rsidRDefault="00726298" w:rsidP="00726298">
      <w:r>
        <w:t xml:space="preserve">The </w:t>
      </w:r>
      <w:r w:rsidR="00F55C41">
        <w:t>a</w:t>
      </w:r>
      <w:r>
        <w:t>greement sets out ambitious targets to close the gap in life expectancy, infant mortality, preschool education, education, and employment.</w:t>
      </w:r>
    </w:p>
    <w:p w:rsidR="00726298" w:rsidRDefault="00726298" w:rsidP="00726298">
      <w:r>
        <w:t>These targets are underpinned by seven building blocks, which are a focus for investment and effort: Early Childhood, Schooling, Health, Healthy Homes, Economic Participation, Safe Communities, and Governance and Leadership.</w:t>
      </w:r>
    </w:p>
    <w:p w:rsidR="00726298" w:rsidRDefault="00726298" w:rsidP="00726298">
      <w:r>
        <w:t xml:space="preserve">The challenges of </w:t>
      </w:r>
      <w:proofErr w:type="gramStart"/>
      <w:r>
        <w:t>Closing</w:t>
      </w:r>
      <w:proofErr w:type="gramEnd"/>
      <w:r>
        <w:t xml:space="preserve"> the Gap are greatest in remote regions and much of FaHCSIA's Indigenous-specific expenditure is focused in these areas. </w:t>
      </w:r>
    </w:p>
    <w:p w:rsidR="00726298" w:rsidRDefault="00726298" w:rsidP="00726298">
      <w:pPr>
        <w:pStyle w:val="BulletIntro"/>
      </w:pPr>
      <w:r>
        <w:lastRenderedPageBreak/>
        <w:t>FaHCSIA is the lead agency for implementing three of the seven Indigenous-specific national partnership agreements. These are:</w:t>
      </w:r>
    </w:p>
    <w:p w:rsidR="00726298" w:rsidRDefault="00726298" w:rsidP="00726298">
      <w:pPr>
        <w:pStyle w:val="Bullet"/>
      </w:pPr>
      <w:r>
        <w:t>Remote Indigenous Housing, a $5.5 billion commitment over 10 years until 2018 to build and upgrade houses in remote Indigenous communities</w:t>
      </w:r>
    </w:p>
    <w:p w:rsidR="00726298" w:rsidRDefault="00726298" w:rsidP="00726298">
      <w:pPr>
        <w:pStyle w:val="Bullet"/>
      </w:pPr>
      <w:r>
        <w:t>Remote Service Delivery, which is using $187.7 million of FaHCSIA funding to coordinate</w:t>
      </w:r>
      <w:r w:rsidR="00CA75DC">
        <w:t xml:space="preserve"> and deliver</w:t>
      </w:r>
      <w:r>
        <w:t xml:space="preserve"> government services in 29 priority remote Indigenous </w:t>
      </w:r>
      <w:r w:rsidR="00F47D90">
        <w:t>locations</w:t>
      </w:r>
    </w:p>
    <w:p w:rsidR="00726298" w:rsidRDefault="00726298" w:rsidP="00726298">
      <w:pPr>
        <w:pStyle w:val="BulletLast"/>
      </w:pPr>
      <w:r>
        <w:t>Stronger Futures in the Northern Territory</w:t>
      </w:r>
      <w:r w:rsidR="008E3DD2">
        <w:t>,</w:t>
      </w:r>
      <w:r>
        <w:t xml:space="preserve"> a $3.4 billion commitment by the Australian Government over 10 years to build strong, independent communities, where families and children are safe and healthy.</w:t>
      </w:r>
    </w:p>
    <w:p w:rsidR="00726298" w:rsidRDefault="00F47D90" w:rsidP="00726298">
      <w:r>
        <w:t>Under the Stronger Futures in the Northe</w:t>
      </w:r>
      <w:r w:rsidR="008E3DD2">
        <w:t>r</w:t>
      </w:r>
      <w:r>
        <w:t xml:space="preserve">n Territory National Partnership Agreement, six </w:t>
      </w:r>
      <w:r w:rsidR="00726298">
        <w:t xml:space="preserve">implementation plans have been agreed. They cover schooling; remote engagement and coordination; child, youth, family and community wellbeing; health; community safety and justice; and the Alice Springs </w:t>
      </w:r>
      <w:r w:rsidR="008E3DD2">
        <w:t>Transformation P</w:t>
      </w:r>
      <w:r>
        <w:t>lan</w:t>
      </w:r>
      <w:r w:rsidR="00726298">
        <w:t>.</w:t>
      </w:r>
    </w:p>
    <w:p w:rsidR="00726298" w:rsidRDefault="00726298" w:rsidP="00726298">
      <w:r>
        <w:t>The remaining implementation plans are expected to be agreed with the Northern Territory Government subsequent to the 2013</w:t>
      </w:r>
      <w:r w:rsidR="00807BCE">
        <w:t>–</w:t>
      </w:r>
      <w:r>
        <w:t xml:space="preserve">14 Budget. </w:t>
      </w:r>
    </w:p>
    <w:p w:rsidR="00726298" w:rsidRDefault="00726298" w:rsidP="00726298">
      <w:r>
        <w:t>FaHCSIA is also contributing to another significant cross-portfolio measure with the Remote Jobs and Communities Program.</w:t>
      </w:r>
    </w:p>
    <w:p w:rsidR="00726298" w:rsidRDefault="00726298" w:rsidP="00726298">
      <w:r>
        <w:t>This is a $1.5 billion program</w:t>
      </w:r>
      <w:r w:rsidR="00A71658">
        <w:t>,</w:t>
      </w:r>
      <w:r>
        <w:t xml:space="preserve"> which will provide a more integrated and flexible approach to employment and participation services for people living in remote parts of Australia.</w:t>
      </w:r>
    </w:p>
    <w:p w:rsidR="00726298" w:rsidRDefault="00726298" w:rsidP="00726298">
      <w:r>
        <w:t>The program is an important part of the Government's Closing the Gap strategy.</w:t>
      </w:r>
    </w:p>
    <w:p w:rsidR="00726298" w:rsidRDefault="00A71658" w:rsidP="00726298">
      <w:r>
        <w:t xml:space="preserve">Its </w:t>
      </w:r>
      <w:r w:rsidR="008E3DD2">
        <w:t>design reflects the Government</w:t>
      </w:r>
      <w:r>
        <w:t>’</w:t>
      </w:r>
      <w:r w:rsidR="008E3DD2">
        <w:t xml:space="preserve">s view that everyone who can </w:t>
      </w:r>
      <w:r w:rsidR="00BD79D9">
        <w:t xml:space="preserve">work </w:t>
      </w:r>
      <w:r w:rsidR="008E3DD2">
        <w:t xml:space="preserve">should work. Remote jobseekers, including those on </w:t>
      </w:r>
      <w:r w:rsidR="00BD79D9">
        <w:t>Community Development Employment Projects (</w:t>
      </w:r>
      <w:r w:rsidR="008E3DD2">
        <w:t>CDEP</w:t>
      </w:r>
      <w:r w:rsidR="00BD79D9">
        <w:t>)</w:t>
      </w:r>
      <w:r w:rsidR="008E3DD2">
        <w:t xml:space="preserve"> wages, will be given the personalised support they need to take up opportunities. Those who cannot get a job will participate in meaningful activities that will contribute to communities as well as making them more work ready.</w:t>
      </w:r>
    </w:p>
    <w:p w:rsidR="00726298" w:rsidRDefault="00726298" w:rsidP="00726298">
      <w:r>
        <w:t xml:space="preserve">FaHCSIA will oversee the transition of the existing </w:t>
      </w:r>
      <w:r w:rsidR="00BD79D9">
        <w:t xml:space="preserve">CDEP </w:t>
      </w:r>
      <w:r>
        <w:t>program to the Remote Jobs and Communities Program from 1</w:t>
      </w:r>
      <w:r w:rsidR="00C12AA6">
        <w:t> </w:t>
      </w:r>
      <w:r>
        <w:t>July</w:t>
      </w:r>
      <w:r w:rsidR="00C12AA6">
        <w:t> </w:t>
      </w:r>
      <w:r>
        <w:t>2013.</w:t>
      </w:r>
    </w:p>
    <w:p w:rsidR="00726298" w:rsidRDefault="00397B88" w:rsidP="00726298">
      <w:r>
        <w:t>A</w:t>
      </w:r>
      <w:r w:rsidR="00BD79D9">
        <w:t xml:space="preserve"> c</w:t>
      </w:r>
      <w:r w:rsidR="00726298">
        <w:t>ritical area in which FaHCSIA is working with the states and territories is to improve essential services in remote areas.</w:t>
      </w:r>
    </w:p>
    <w:p w:rsidR="00726298" w:rsidRDefault="00726298" w:rsidP="00726298">
      <w:r>
        <w:t>The Australian Government is providing $44.1 million in the 2013</w:t>
      </w:r>
      <w:r w:rsidR="00807BCE">
        <w:t>–</w:t>
      </w:r>
      <w:r>
        <w:t xml:space="preserve">14 Budget to continue to support the delivery of municipal and essential services </w:t>
      </w:r>
      <w:r w:rsidR="00BD79D9">
        <w:t xml:space="preserve">in </w:t>
      </w:r>
      <w:r>
        <w:t>remote Indigenous communities across Queensland, South Australia, Tasmania, Victoria and Western Australia.</w:t>
      </w:r>
    </w:p>
    <w:p w:rsidR="00726298" w:rsidRDefault="00726298" w:rsidP="00726298">
      <w:r>
        <w:lastRenderedPageBreak/>
        <w:t>These services include power, water and sewerage services; environmental health programs; garbage collection</w:t>
      </w:r>
      <w:r w:rsidR="00BD79D9">
        <w:t>;</w:t>
      </w:r>
      <w:r>
        <w:t xml:space="preserve"> and road maintenance.</w:t>
      </w:r>
    </w:p>
    <w:p w:rsidR="00726298" w:rsidRDefault="00726298" w:rsidP="00726298">
      <w:r>
        <w:t>The Cape York Welfare Reform package will embed and build upon gains made in the four participating communities</w:t>
      </w:r>
      <w:r w:rsidR="008E3DD2">
        <w:t xml:space="preserve">: </w:t>
      </w:r>
      <w:r w:rsidR="00BD79D9">
        <w:t xml:space="preserve">Aurukun, </w:t>
      </w:r>
      <w:r w:rsidR="008E3DD2">
        <w:t xml:space="preserve">Coen, </w:t>
      </w:r>
      <w:r w:rsidR="00BD79D9">
        <w:t xml:space="preserve">Hope Vale and </w:t>
      </w:r>
      <w:r w:rsidR="008E3DD2">
        <w:t>Mossman Gorge</w:t>
      </w:r>
      <w:r>
        <w:t>.</w:t>
      </w:r>
    </w:p>
    <w:p w:rsidR="00726298" w:rsidRDefault="008E3DD2" w:rsidP="00726298">
      <w:r>
        <w:t>Funding of $24.5 million over two years</w:t>
      </w:r>
      <w:r w:rsidR="00726298">
        <w:t xml:space="preserve"> to 31 December 2015 will continue the Family Responsibilities Commission and other key elements of welfare reform.</w:t>
      </w:r>
      <w:r w:rsidR="00B6221A">
        <w:t xml:space="preserve"> It will also enable new measures to further support school enrolment and attendance, and disengaged youth.</w:t>
      </w:r>
    </w:p>
    <w:p w:rsidR="00726298" w:rsidRDefault="00726298" w:rsidP="00726298">
      <w:r>
        <w:t>Alcohol is a major contributing factor to the high levels of Indigenous disadvantage, including low life expectancy, poor health, poor education and poor employment outcomes. It continues to devastate the lives of too many Indigenous Australians</w:t>
      </w:r>
      <w:r w:rsidR="00BD79D9">
        <w:t>,</w:t>
      </w:r>
      <w:r>
        <w:t xml:space="preserve"> and can lead to violence and make it hard to hold down a job and get children to school.</w:t>
      </w:r>
    </w:p>
    <w:p w:rsidR="00726298" w:rsidRDefault="00726298" w:rsidP="00726298">
      <w:r>
        <w:t>The Australian Government is working with Indigenous communities to reduce the harm caused by alcohol abuse. For instance, in the Northern Territory minimum standards have been released for alcohol management plans to ensure they are focused on reducing alcohol-related harm and keeping women, children and families safe.</w:t>
      </w:r>
    </w:p>
    <w:p w:rsidR="00726298" w:rsidRDefault="00726298" w:rsidP="00726298">
      <w:r>
        <w:t>In addition</w:t>
      </w:r>
      <w:r w:rsidR="008C1CA1">
        <w:t>,</w:t>
      </w:r>
      <w:r>
        <w:t xml:space="preserve"> the Government has committed $20 million over three years from 2011</w:t>
      </w:r>
      <w:r w:rsidR="00807BCE">
        <w:t>–</w:t>
      </w:r>
      <w:r>
        <w:t>12 to the Breaking the Cycle of Alcohol and Drug Abuse in Indigenous Communities program</w:t>
      </w:r>
      <w:r w:rsidR="00E90D6E">
        <w:t xml:space="preserve">, which </w:t>
      </w:r>
      <w:r>
        <w:t>assist</w:t>
      </w:r>
      <w:r w:rsidR="00E90D6E">
        <w:t>s</w:t>
      </w:r>
      <w:r>
        <w:t xml:space="preserve"> a number of communities in remote and regional areas to develop and implement local solutions to alcohol and substance misuse issues.</w:t>
      </w:r>
    </w:p>
    <w:p w:rsidR="00726298" w:rsidRDefault="00726298" w:rsidP="00726298">
      <w:r>
        <w:t xml:space="preserve">Closing the Gap initiatives are underpinned by trust, respect and goodwill between governments and </w:t>
      </w:r>
      <w:r w:rsidR="00F47D90">
        <w:t xml:space="preserve">Indigenous </w:t>
      </w:r>
      <w:r>
        <w:t xml:space="preserve">people. The </w:t>
      </w:r>
      <w:r w:rsidR="00BD79D9">
        <w:t xml:space="preserve">Australian </w:t>
      </w:r>
      <w:r>
        <w:t>Government is continuing to build relationships with Indigenous people based on mutual respect and shared goals and is working in partnership with Indigenous people to deliver positive change.</w:t>
      </w:r>
    </w:p>
    <w:p w:rsidR="00726298" w:rsidRDefault="00726298" w:rsidP="00726298">
      <w:r>
        <w:t>On 12 February 2013</w:t>
      </w:r>
      <w:r w:rsidR="008C1CA1">
        <w:t>,</w:t>
      </w:r>
      <w:r>
        <w:t xml:space="preserve"> the Government announced that it is providing $14.4</w:t>
      </w:r>
      <w:r w:rsidR="00807BCE">
        <w:t> </w:t>
      </w:r>
      <w:r>
        <w:t>million over four years to Reconciliation Australia to continue its work to improve relationships between Indigenous and non-Indigenous Australians.</w:t>
      </w:r>
    </w:p>
    <w:p w:rsidR="00726298" w:rsidRDefault="00BB4331" w:rsidP="00726298">
      <w:r>
        <w:t>T</w:t>
      </w:r>
      <w:r w:rsidR="00711404">
        <w:t xml:space="preserve">he National Congress of Australia’s First Peoples is being </w:t>
      </w:r>
      <w:r>
        <w:t>provided</w:t>
      </w:r>
      <w:r w:rsidR="00711404">
        <w:t xml:space="preserve"> with an additional $15 million to </w:t>
      </w:r>
      <w:r w:rsidR="00711404" w:rsidRPr="00BF326D">
        <w:t>fund</w:t>
      </w:r>
      <w:r w:rsidR="00711404">
        <w:t xml:space="preserve"> its operations until 30 June 2017.</w:t>
      </w:r>
      <w:r w:rsidR="003251F8">
        <w:t xml:space="preserve"> This builds on the Government’s </w:t>
      </w:r>
      <w:r>
        <w:t>previous funding of</w:t>
      </w:r>
      <w:r w:rsidR="003251F8">
        <w:t xml:space="preserve"> $29.2 million to establish the Congress</w:t>
      </w:r>
      <w:r>
        <w:t>, which includes funding for 2013–14</w:t>
      </w:r>
      <w:r w:rsidR="003251F8">
        <w:t>. The Congress is a national representative body for Indigenous Australians, which provides leadership in advocating for the status and rights of Indigenous peoples.</w:t>
      </w:r>
    </w:p>
    <w:p w:rsidR="00726298" w:rsidRDefault="00726298" w:rsidP="00726298">
      <w:r>
        <w:lastRenderedPageBreak/>
        <w:t>FaHCSIA is supporting the Government's commitment to meaningful constitutional reform that reflects the hopes and aspirations of Aboriginal and Torres Strait Islander people. To help make this a reality, the Government has provided Reconciliation Australia with $10 million to promote public awareness and community support for Indigenous constitutional recognition.</w:t>
      </w:r>
    </w:p>
    <w:p w:rsidR="00726298" w:rsidRDefault="00726298" w:rsidP="00726298">
      <w:r>
        <w:t xml:space="preserve">The Australian Parliament </w:t>
      </w:r>
      <w:r w:rsidR="00E90D6E">
        <w:t xml:space="preserve">passed </w:t>
      </w:r>
      <w:r>
        <w:t>an Act of Recognition earlier this year to recognise the unique and special place of Aboriginal and Torres Strait Islander peoples as the first peoples of Australia.</w:t>
      </w:r>
    </w:p>
    <w:p w:rsidR="00510A87" w:rsidRDefault="00726298" w:rsidP="00726298">
      <w:r>
        <w:t>The FaHCSIA 2013</w:t>
      </w:r>
      <w:r w:rsidR="00807BCE">
        <w:t>–</w:t>
      </w:r>
      <w:r>
        <w:t>14 Budget reflects the Government's commitment to work within its overall fiscal strategy to combat disadvantage and increase opportunities for Indigenous Australians by strengthening the Closing the Gap initiatives.</w:t>
      </w:r>
    </w:p>
    <w:p w:rsidR="00EA004E" w:rsidRDefault="000440AC" w:rsidP="007A746D">
      <w:pPr>
        <w:pStyle w:val="Heading5"/>
      </w:pPr>
      <w:r>
        <w:br w:type="page"/>
      </w:r>
      <w:r w:rsidR="00EA004E">
        <w:lastRenderedPageBreak/>
        <w:t xml:space="preserve">Outcome </w:t>
      </w:r>
      <w:r w:rsidR="004164A2">
        <w:t>expense s</w:t>
      </w:r>
      <w:r w:rsidR="00EA004E">
        <w:t>tatement</w:t>
      </w:r>
    </w:p>
    <w:p w:rsidR="00EA004E" w:rsidRPr="00BF33EF" w:rsidRDefault="00EA004E" w:rsidP="00EA004E">
      <w:r>
        <w:t>Table 2.7 provides an overview of the total expenses for Outcome 7, by program.</w:t>
      </w:r>
    </w:p>
    <w:p w:rsidR="00EA004E" w:rsidRDefault="00EA004E" w:rsidP="00EA004E">
      <w:pPr>
        <w:pStyle w:val="TableHeading"/>
      </w:pPr>
      <w:r w:rsidRPr="00B7544C">
        <w:t>Table 2.</w:t>
      </w:r>
      <w:r>
        <w:t>7:</w:t>
      </w:r>
      <w:r w:rsidRPr="00B7544C">
        <w:t xml:space="preserve"> Budgeted </w:t>
      </w:r>
      <w:r w:rsidR="001274C8">
        <w:t>e</w:t>
      </w:r>
      <w:r w:rsidRPr="00B7544C">
        <w:t xml:space="preserve">xpenses for Outcome </w:t>
      </w:r>
      <w:r>
        <w:t>7</w:t>
      </w:r>
    </w:p>
    <w:p w:rsidR="00060D08" w:rsidRPr="00060D08" w:rsidRDefault="00CA1C9F" w:rsidP="00060D08">
      <w:pPr>
        <w:pStyle w:val="TableGraphic"/>
      </w:pPr>
      <w:r>
        <w:rPr>
          <w:noProof/>
        </w:rPr>
        <w:drawing>
          <wp:inline distT="0" distB="0" distL="0" distR="0" wp14:anchorId="797A8D59" wp14:editId="6D8D9155">
            <wp:extent cx="4848225" cy="5743575"/>
            <wp:effectExtent l="0" t="0" r="9525" b="9525"/>
            <wp:docPr id="358" name="Picture 358" descr="Table 2.7: Budgeted expenses for Outcom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48225" cy="5743575"/>
                    </a:xfrm>
                    <a:prstGeom prst="rect">
                      <a:avLst/>
                    </a:prstGeom>
                    <a:noFill/>
                    <a:ln>
                      <a:noFill/>
                    </a:ln>
                  </pic:spPr>
                </pic:pic>
              </a:graphicData>
            </a:graphic>
          </wp:inline>
        </w:drawing>
      </w:r>
    </w:p>
    <w:p w:rsidR="00EA004E" w:rsidRDefault="00EA004E" w:rsidP="00EA004E">
      <w:pPr>
        <w:pStyle w:val="TableHeading"/>
      </w:pPr>
      <w:r w:rsidRPr="00B06D93">
        <w:rPr>
          <w:i/>
          <w:highlight w:val="yellow"/>
        </w:rPr>
        <w:br w:type="page"/>
      </w:r>
      <w:r>
        <w:lastRenderedPageBreak/>
        <w:t xml:space="preserve">Table 2.7: </w:t>
      </w:r>
      <w:r w:rsidRPr="009A42B2">
        <w:t>Budgeted</w:t>
      </w:r>
      <w:r w:rsidR="001274C8" w:rsidRPr="009A42B2">
        <w:t xml:space="preserve"> </w:t>
      </w:r>
      <w:r w:rsidR="001274C8">
        <w:t xml:space="preserve">expenses </w:t>
      </w:r>
      <w:r w:rsidRPr="009A42B2">
        <w:t xml:space="preserve">Outcome </w:t>
      </w:r>
      <w:r w:rsidR="004B5D66">
        <w:t>7</w:t>
      </w:r>
      <w:r>
        <w:t xml:space="preserve"> (continued)</w:t>
      </w:r>
    </w:p>
    <w:p w:rsidR="00060D08" w:rsidRPr="00060D08" w:rsidRDefault="00CA1C9F" w:rsidP="00060D08">
      <w:pPr>
        <w:pStyle w:val="TableGraphic"/>
      </w:pPr>
      <w:r>
        <w:rPr>
          <w:noProof/>
        </w:rPr>
        <w:drawing>
          <wp:inline distT="0" distB="0" distL="0" distR="0" wp14:anchorId="6B0D4969" wp14:editId="77C631C2">
            <wp:extent cx="4848225" cy="6007100"/>
            <wp:effectExtent l="0" t="0" r="9525" b="0"/>
            <wp:docPr id="359" name="Picture 359" descr="Table 2.7: Budgeted expenses Outcome 7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48225" cy="6007100"/>
                    </a:xfrm>
                    <a:prstGeom prst="rect">
                      <a:avLst/>
                    </a:prstGeom>
                    <a:noFill/>
                    <a:ln>
                      <a:noFill/>
                    </a:ln>
                  </pic:spPr>
                </pic:pic>
              </a:graphicData>
            </a:graphic>
          </wp:inline>
        </w:drawing>
      </w:r>
    </w:p>
    <w:p w:rsidR="005518E4" w:rsidRPr="005518E4" w:rsidRDefault="005518E4" w:rsidP="007A746D">
      <w:pPr>
        <w:pStyle w:val="Heading5"/>
      </w:pPr>
      <w:r>
        <w:br w:type="page"/>
      </w:r>
      <w:r>
        <w:lastRenderedPageBreak/>
        <w:t>Contribution</w:t>
      </w:r>
      <w:r w:rsidR="005703E9">
        <w:t>s</w:t>
      </w:r>
      <w:r>
        <w:t xml:space="preserve"> to Outcome 7</w:t>
      </w:r>
      <w:r w:rsidR="005703E9">
        <w:t>: Indigenous</w:t>
      </w:r>
    </w:p>
    <w:p w:rsidR="007452AA" w:rsidRDefault="007452AA" w:rsidP="007A746D">
      <w:pPr>
        <w:pStyle w:val="Heading6"/>
      </w:pPr>
      <w:r w:rsidRPr="0029642D">
        <w:t>Program 7.1: Economic Development and Participation</w:t>
      </w:r>
    </w:p>
    <w:p w:rsidR="005518E4" w:rsidRPr="005518E4" w:rsidRDefault="005518E4" w:rsidP="005518E4">
      <w:pPr>
        <w:pStyle w:val="SinglePara"/>
      </w:pPr>
    </w:p>
    <w:p w:rsidR="000072B4" w:rsidRDefault="000072B4" w:rsidP="007A746D">
      <w:pPr>
        <w:pStyle w:val="Heading7"/>
      </w:pPr>
      <w:r>
        <w:t xml:space="preserve">Program 7.1 </w:t>
      </w:r>
      <w:r w:rsidR="001274C8">
        <w:t>o</w:t>
      </w:r>
      <w:r>
        <w:t>bjective</w:t>
      </w:r>
    </w:p>
    <w:p w:rsidR="000072B4" w:rsidRDefault="000072B4" w:rsidP="000072B4">
      <w:pPr>
        <w:pStyle w:val="NormalBox"/>
      </w:pPr>
      <w:proofErr w:type="gramStart"/>
      <w:r>
        <w:t>To improve the capacity of Indigenous Australians to participate in the economy.</w:t>
      </w:r>
      <w:proofErr w:type="gramEnd"/>
    </w:p>
    <w:p w:rsidR="000072B4" w:rsidRDefault="000072B4" w:rsidP="007A746D">
      <w:pPr>
        <w:pStyle w:val="Heading7"/>
      </w:pPr>
      <w:r>
        <w:t>Program component objectives</w:t>
      </w:r>
    </w:p>
    <w:p w:rsidR="000072B4" w:rsidRDefault="000072B4" w:rsidP="007A746D">
      <w:pPr>
        <w:pStyle w:val="Heading8"/>
      </w:pPr>
      <w:r>
        <w:t xml:space="preserve">Community Development Employment Projects (CDEP) </w:t>
      </w:r>
      <w:r w:rsidR="00AE638D">
        <w:t>Scheme</w:t>
      </w:r>
    </w:p>
    <w:p w:rsidR="0047418A" w:rsidRPr="0047418A" w:rsidRDefault="008E053C" w:rsidP="0047418A">
      <w:pPr>
        <w:pStyle w:val="NormalBox"/>
      </w:pPr>
      <w:r>
        <w:t>To provide CDEP wages to participants engaged in CDEP-type activities. The extension of wages until 30 June 2017 recognises that some people have been receiving CDEP wages for some time, and continuity of CDEP wages provides stability and certainty until they move into employment</w:t>
      </w:r>
      <w:r w:rsidR="00AE638D" w:rsidRPr="0047418A">
        <w:t>.</w:t>
      </w:r>
    </w:p>
    <w:p w:rsidR="00AE638D" w:rsidRPr="0047418A" w:rsidRDefault="00AE638D" w:rsidP="007A746D">
      <w:pPr>
        <w:pStyle w:val="Heading8"/>
      </w:pPr>
      <w:r w:rsidRPr="0047418A">
        <w:t xml:space="preserve">Remote Jobs and Communities Program </w:t>
      </w:r>
      <w:r w:rsidR="0047418A" w:rsidRPr="0047418A">
        <w:t>–</w:t>
      </w:r>
      <w:r w:rsidR="00CA1838">
        <w:t xml:space="preserve"> </w:t>
      </w:r>
      <w:r w:rsidR="0047418A" w:rsidRPr="0047418A">
        <w:t>Community Development Fund (CDF)</w:t>
      </w:r>
    </w:p>
    <w:p w:rsidR="0047418A" w:rsidRDefault="0047418A" w:rsidP="0047418A">
      <w:pPr>
        <w:pStyle w:val="NormalBox"/>
        <w:pBdr>
          <w:between w:val="single" w:sz="2" w:space="3" w:color="auto"/>
        </w:pBdr>
      </w:pPr>
      <w:proofErr w:type="gramStart"/>
      <w:r w:rsidRPr="0047418A">
        <w:t xml:space="preserve">To </w:t>
      </w:r>
      <w:r w:rsidR="00E91D8F">
        <w:t xml:space="preserve">support social and economic development and participation of Indigenous persons, Indigenous communities and jobseekers in the </w:t>
      </w:r>
      <w:r w:rsidR="005E537C">
        <w:t>RJCP</w:t>
      </w:r>
      <w:r w:rsidR="00E91D8F">
        <w:t xml:space="preserve"> regions.</w:t>
      </w:r>
      <w:proofErr w:type="gramEnd"/>
    </w:p>
    <w:p w:rsidR="000072B4" w:rsidRDefault="000072B4" w:rsidP="0047418A">
      <w:pPr>
        <w:pStyle w:val="NormalBox"/>
      </w:pPr>
      <w:proofErr w:type="gramStart"/>
      <w:r>
        <w:t xml:space="preserve">Linked to: The Community Development Employment Projects (CDEP) </w:t>
      </w:r>
      <w:r w:rsidR="00C12AA6">
        <w:t xml:space="preserve">Scheme </w:t>
      </w:r>
      <w:r>
        <w:t>works in tandem with Job Services Australia</w:t>
      </w:r>
      <w:r w:rsidR="003E1E87">
        <w:t>, the Disability Employment Services</w:t>
      </w:r>
      <w:r w:rsidR="007A6D3C">
        <w:t xml:space="preserve"> and</w:t>
      </w:r>
      <w:r w:rsidR="0047418A">
        <w:t xml:space="preserve"> </w:t>
      </w:r>
      <w:r w:rsidR="001274C8">
        <w:t xml:space="preserve">the </w:t>
      </w:r>
      <w:r w:rsidR="005E537C">
        <w:t>RJCP</w:t>
      </w:r>
      <w:r>
        <w:t>.</w:t>
      </w:r>
      <w:proofErr w:type="gramEnd"/>
      <w:r>
        <w:t xml:space="preserve"> </w:t>
      </w:r>
      <w:r w:rsidR="007A6D3C">
        <w:t xml:space="preserve">The Community Development Fund is a component of the RJCP. </w:t>
      </w:r>
      <w:r>
        <w:t xml:space="preserve">For </w:t>
      </w:r>
      <w:r w:rsidR="007A6D3C">
        <w:t>more</w:t>
      </w:r>
      <w:r>
        <w:t xml:space="preserve"> information refer to DEEWR’s </w:t>
      </w:r>
      <w:r w:rsidR="003818FC">
        <w:t>and DHS’s 2013–14 PB Statements</w:t>
      </w:r>
      <w:r>
        <w:t>.</w:t>
      </w:r>
    </w:p>
    <w:p w:rsidR="003818FC" w:rsidRDefault="003818FC" w:rsidP="003818FC">
      <w:pPr>
        <w:pStyle w:val="NormalBox"/>
      </w:pPr>
      <w:proofErr w:type="gramStart"/>
      <w:r>
        <w:t>Also linked to: Torres Strait Regional Authority (TSRA).</w:t>
      </w:r>
      <w:proofErr w:type="gramEnd"/>
      <w:r>
        <w:t xml:space="preserve"> For more information refer to the TSRA Budget Statements presented in these PB Statements.</w:t>
      </w:r>
    </w:p>
    <w:p w:rsidR="003818FC" w:rsidRPr="003818FC" w:rsidRDefault="003818FC" w:rsidP="003818FC">
      <w:pPr>
        <w:pStyle w:val="NormalBox"/>
      </w:pPr>
      <w:r>
        <w:t>Program 7.5: Stronger Futures in the Northern Territory.</w:t>
      </w:r>
    </w:p>
    <w:p w:rsidR="000072B4" w:rsidRDefault="007A746D" w:rsidP="005518E4">
      <w:pPr>
        <w:rPr>
          <w:lang w:val="en-GB"/>
        </w:rPr>
      </w:pPr>
      <w:r>
        <w:rPr>
          <w:lang w:val="en-GB"/>
        </w:rPr>
        <w:br w:type="page"/>
      </w:r>
    </w:p>
    <w:p w:rsidR="000072B4" w:rsidRDefault="000072B4" w:rsidP="007A746D">
      <w:pPr>
        <w:pStyle w:val="Heading7"/>
      </w:pPr>
      <w:r>
        <w:t xml:space="preserve">Program 7.1 </w:t>
      </w:r>
      <w:r w:rsidR="001274C8">
        <w:t>e</w:t>
      </w:r>
      <w:r>
        <w:t>xpenses</w:t>
      </w:r>
    </w:p>
    <w:p w:rsidR="00293295" w:rsidRPr="00704365" w:rsidRDefault="00603D17" w:rsidP="00293295">
      <w:pPr>
        <w:pStyle w:val="NormalBox"/>
      </w:pPr>
      <w:r w:rsidRPr="00603D17">
        <w:t>The changes in program expenses across the forward years are driven by projected changes in indexation parameters and the impact of policy initiatives.</w:t>
      </w:r>
      <w:r w:rsidR="00C425EC">
        <w:t xml:space="preserve"> </w:t>
      </w:r>
      <w:r w:rsidRPr="00603D17">
        <w:t xml:space="preserve">The decrease </w:t>
      </w:r>
      <w:r w:rsidR="002C5C25">
        <w:t>in</w:t>
      </w:r>
      <w:r w:rsidR="002C5C25" w:rsidRPr="00603D17">
        <w:t xml:space="preserve"> </w:t>
      </w:r>
      <w:r w:rsidRPr="00603D17">
        <w:t>2013</w:t>
      </w:r>
      <w:r w:rsidR="005B380D">
        <w:t>–14</w:t>
      </w:r>
      <w:r w:rsidRPr="00603D17">
        <w:t xml:space="preserve"> reflects the </w:t>
      </w:r>
      <w:r w:rsidR="005B380D">
        <w:t>transition</w:t>
      </w:r>
      <w:r w:rsidR="005B380D" w:rsidRPr="00603D17">
        <w:t xml:space="preserve"> </w:t>
      </w:r>
      <w:r w:rsidRPr="00603D17">
        <w:t xml:space="preserve">of CDEP </w:t>
      </w:r>
      <w:r w:rsidR="005B380D">
        <w:t xml:space="preserve">to the </w:t>
      </w:r>
      <w:r w:rsidR="005E537C">
        <w:t>RJCP</w:t>
      </w:r>
      <w:r w:rsidR="005B380D">
        <w:t>.</w:t>
      </w:r>
    </w:p>
    <w:p w:rsidR="00AB3D4C" w:rsidRDefault="007452AA" w:rsidP="00A227B3">
      <w:pPr>
        <w:pStyle w:val="TableHeading"/>
        <w:rPr>
          <w:lang w:val="en-GB"/>
        </w:rPr>
      </w:pPr>
      <w:r>
        <w:rPr>
          <w:lang w:val="en-GB"/>
        </w:rPr>
        <w:t>T</w:t>
      </w:r>
      <w:r w:rsidR="000072B4">
        <w:rPr>
          <w:lang w:val="en-GB"/>
        </w:rPr>
        <w:t>able 2.</w:t>
      </w:r>
      <w:r>
        <w:rPr>
          <w:lang w:val="en-GB"/>
        </w:rPr>
        <w:t xml:space="preserve">7.1: </w:t>
      </w:r>
      <w:r w:rsidR="004B5D66">
        <w:rPr>
          <w:lang w:val="en-GB"/>
        </w:rPr>
        <w:t xml:space="preserve">Budgeted </w:t>
      </w:r>
      <w:r w:rsidR="001274C8">
        <w:rPr>
          <w:lang w:val="en-GB"/>
        </w:rPr>
        <w:t>e</w:t>
      </w:r>
      <w:r w:rsidR="00C249F9">
        <w:rPr>
          <w:lang w:val="en-GB"/>
        </w:rPr>
        <w:t xml:space="preserve">xpenses </w:t>
      </w:r>
      <w:r w:rsidR="004B5D66">
        <w:rPr>
          <w:lang w:val="en-GB"/>
        </w:rPr>
        <w:t xml:space="preserve">for </w:t>
      </w:r>
      <w:r w:rsidR="00C452FD">
        <w:rPr>
          <w:lang w:val="en-GB"/>
        </w:rPr>
        <w:t>Economic Development and Participation</w:t>
      </w:r>
    </w:p>
    <w:p w:rsidR="008C1F44" w:rsidRDefault="00060D08" w:rsidP="008C1F44">
      <w:pPr>
        <w:pStyle w:val="TableGraphic"/>
        <w:rPr>
          <w:lang w:val="en-GB"/>
        </w:rPr>
      </w:pPr>
      <w:r>
        <w:rPr>
          <w:noProof/>
        </w:rPr>
        <w:drawing>
          <wp:inline distT="0" distB="0" distL="0" distR="0" wp14:anchorId="096FDFFB" wp14:editId="23F06771">
            <wp:extent cx="4878705" cy="2196844"/>
            <wp:effectExtent l="0" t="0" r="0" b="0"/>
            <wp:docPr id="177" name="Picture 177" descr="Table 2.7.1: Budgeted expenses for Economic Development and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78705" cy="2196844"/>
                    </a:xfrm>
                    <a:prstGeom prst="rect">
                      <a:avLst/>
                    </a:prstGeom>
                    <a:noFill/>
                    <a:ln>
                      <a:noFill/>
                    </a:ln>
                  </pic:spPr>
                </pic:pic>
              </a:graphicData>
            </a:graphic>
          </wp:inline>
        </w:drawing>
      </w:r>
    </w:p>
    <w:p w:rsidR="007452AA" w:rsidRDefault="007A746D" w:rsidP="007A746D">
      <w:pPr>
        <w:pStyle w:val="Heading7"/>
      </w:pPr>
      <w:r>
        <w:br w:type="page"/>
      </w:r>
      <w:r w:rsidR="007452AA" w:rsidRPr="00AA278F">
        <w:lastRenderedPageBreak/>
        <w:t xml:space="preserve">Program </w:t>
      </w:r>
      <w:r w:rsidR="00C249F9">
        <w:t xml:space="preserve">7.1 </w:t>
      </w:r>
      <w:r w:rsidR="001274C8">
        <w:t>d</w:t>
      </w:r>
      <w:r w:rsidR="000072B4">
        <w:t>e</w:t>
      </w:r>
      <w:r w:rsidR="00C249F9" w:rsidRPr="00AA278F">
        <w:t xml:space="preserve">liverables </w:t>
      </w:r>
    </w:p>
    <w:p w:rsidR="000072B4" w:rsidRDefault="000072B4" w:rsidP="000072B4">
      <w:pPr>
        <w:pStyle w:val="BulletBox"/>
      </w:pPr>
      <w:r>
        <w:t xml:space="preserve">Number of </w:t>
      </w:r>
      <w:r w:rsidR="0047418A">
        <w:t xml:space="preserve">providers in RJCP </w:t>
      </w:r>
      <w:r w:rsidR="00CA1838">
        <w:t>regions delivering wages</w:t>
      </w:r>
      <w:r>
        <w:t xml:space="preserve"> </w:t>
      </w:r>
    </w:p>
    <w:p w:rsidR="000072B4" w:rsidRPr="000072B4" w:rsidRDefault="000072B4" w:rsidP="000072B4">
      <w:pPr>
        <w:pStyle w:val="BulletBox"/>
      </w:pPr>
      <w:r>
        <w:t xml:space="preserve">Number of </w:t>
      </w:r>
      <w:r w:rsidR="00CA1838">
        <w:t>providers in non</w:t>
      </w:r>
      <w:r w:rsidR="00C11182">
        <w:t>–</w:t>
      </w:r>
      <w:r w:rsidR="00CA1838">
        <w:t>remote</w:t>
      </w:r>
      <w:r w:rsidR="00C11182">
        <w:t xml:space="preserve"> regions delivering wages</w:t>
      </w:r>
    </w:p>
    <w:p w:rsidR="007452AA" w:rsidRPr="00AA278F" w:rsidRDefault="007452AA" w:rsidP="003A485D">
      <w:pPr>
        <w:pStyle w:val="SinglePara"/>
        <w:rPr>
          <w:lang w:val="en-GB"/>
        </w:rPr>
      </w:pPr>
    </w:p>
    <w:p w:rsidR="007452AA" w:rsidRDefault="007452AA" w:rsidP="007A746D">
      <w:pPr>
        <w:pStyle w:val="Heading7"/>
      </w:pPr>
      <w:r w:rsidRPr="00AA278F">
        <w:t xml:space="preserve">Program </w:t>
      </w:r>
      <w:r w:rsidR="00C249F9">
        <w:t xml:space="preserve">7.1 </w:t>
      </w:r>
      <w:r w:rsidR="001274C8">
        <w:t>key performance i</w:t>
      </w:r>
      <w:r w:rsidR="001274C8" w:rsidRPr="00AA278F">
        <w:t xml:space="preserve">ndicators </w:t>
      </w:r>
    </w:p>
    <w:p w:rsidR="00C11182" w:rsidRDefault="00C11182" w:rsidP="007A746D">
      <w:pPr>
        <w:pStyle w:val="Heading8"/>
      </w:pPr>
      <w:r>
        <w:t>CDEP Scheme</w:t>
      </w:r>
    </w:p>
    <w:p w:rsidR="00C11182" w:rsidRDefault="00C11182" w:rsidP="00C11182">
      <w:pPr>
        <w:pStyle w:val="BulletBox"/>
      </w:pPr>
      <w:r>
        <w:t>Number of wage participants in remote regions</w:t>
      </w:r>
    </w:p>
    <w:p w:rsidR="00C11182" w:rsidRDefault="00C11182" w:rsidP="00C11182">
      <w:pPr>
        <w:pStyle w:val="BulletBox"/>
      </w:pPr>
      <w:r>
        <w:t>Number of wage participants in non–remote regions</w:t>
      </w:r>
    </w:p>
    <w:p w:rsidR="00C11182" w:rsidRDefault="00C11182" w:rsidP="007A746D">
      <w:pPr>
        <w:pStyle w:val="Heading8"/>
      </w:pPr>
      <w:r>
        <w:t>Community Development Fund (CDF)</w:t>
      </w:r>
    </w:p>
    <w:p w:rsidR="00C11182" w:rsidRDefault="00C11182" w:rsidP="00C11182">
      <w:pPr>
        <w:pStyle w:val="BulletBox"/>
      </w:pPr>
      <w:r>
        <w:t>Number of regions that have received grants</w:t>
      </w:r>
    </w:p>
    <w:p w:rsidR="00C11182" w:rsidRPr="00C11182" w:rsidRDefault="00C11182" w:rsidP="00C11182">
      <w:pPr>
        <w:pStyle w:val="BulletBox"/>
      </w:pPr>
      <w:r>
        <w:t>Number of grants that have been made</w:t>
      </w:r>
    </w:p>
    <w:p w:rsidR="007452AA" w:rsidRPr="00303AAA" w:rsidRDefault="007A746D" w:rsidP="007A746D">
      <w:pPr>
        <w:pStyle w:val="Heading6"/>
      </w:pPr>
      <w:r>
        <w:rPr>
          <w:highlight w:val="yellow"/>
        </w:rPr>
        <w:br w:type="page"/>
      </w:r>
      <w:r w:rsidR="007452AA" w:rsidRPr="0029642D">
        <w:lastRenderedPageBreak/>
        <w:t>Program 7.2: Indigenous Housing and Infrastructure</w:t>
      </w:r>
    </w:p>
    <w:p w:rsidR="007452AA" w:rsidRDefault="007452AA" w:rsidP="005518E4">
      <w:pPr>
        <w:pStyle w:val="SinglePara"/>
        <w:rPr>
          <w:lang w:val="en-GB"/>
        </w:rPr>
      </w:pPr>
    </w:p>
    <w:p w:rsidR="00C66E58" w:rsidRDefault="00C66E58" w:rsidP="007A746D">
      <w:pPr>
        <w:pStyle w:val="Heading7"/>
      </w:pPr>
      <w:r>
        <w:t xml:space="preserve">Program 7.2 </w:t>
      </w:r>
      <w:r w:rsidR="001274C8">
        <w:t>o</w:t>
      </w:r>
      <w:r>
        <w:t>bjective</w:t>
      </w:r>
    </w:p>
    <w:p w:rsidR="00C66E58" w:rsidRDefault="00C66E58" w:rsidP="00C66E58">
      <w:pPr>
        <w:pStyle w:val="NormalBox"/>
      </w:pPr>
      <w:proofErr w:type="gramStart"/>
      <w:r>
        <w:t>To improve the quality and supply of Indigenous housing and infrastructure in remote communities.</w:t>
      </w:r>
      <w:proofErr w:type="gramEnd"/>
    </w:p>
    <w:p w:rsidR="00C66E58" w:rsidRDefault="00C66E58" w:rsidP="007A746D">
      <w:pPr>
        <w:pStyle w:val="Heading7"/>
      </w:pPr>
      <w:r>
        <w:t xml:space="preserve">Program </w:t>
      </w:r>
      <w:r w:rsidR="001274C8">
        <w:t>component objectives</w:t>
      </w:r>
    </w:p>
    <w:p w:rsidR="00C66E58" w:rsidRDefault="00C66E58" w:rsidP="007A746D">
      <w:pPr>
        <w:pStyle w:val="Heading8"/>
      </w:pPr>
      <w:r>
        <w:t>Remote Indigenous Housing</w:t>
      </w:r>
    </w:p>
    <w:p w:rsidR="00C66E58" w:rsidRDefault="00C66E58" w:rsidP="009A335A">
      <w:pPr>
        <w:pStyle w:val="NormalBox"/>
        <w:pBdr>
          <w:between w:val="single" w:sz="2" w:space="3" w:color="auto"/>
        </w:pBdr>
      </w:pPr>
      <w:r>
        <w:t xml:space="preserve">To deliver programs and projects that support the National Partnership Agreement on Remote Indigenous Housing, as part of the $5.5 billion commitment, including the Remote Indigenous Energy Program, the Army Aboriginal Community Assistance Program, and other housing and infrastructure projects. In addition, funding is provided for delivery of some municipal and essential services to Indigenous communities under existing arrangements pending the implementation of revised arrangements for roles, responsibilities and funding across governments as agreed under the National Partnership Agreement on Remote Indigenous Housing. </w:t>
      </w:r>
    </w:p>
    <w:p w:rsidR="00C66E58" w:rsidRDefault="00C66E58" w:rsidP="0093417E">
      <w:pPr>
        <w:pStyle w:val="NormalBox"/>
      </w:pPr>
      <w:proofErr w:type="gramStart"/>
      <w:r>
        <w:t xml:space="preserve">Linked to: Payments under the National Partnership Agreement on Remote Indigenous Housing </w:t>
      </w:r>
      <w:r w:rsidR="009A335A">
        <w:t xml:space="preserve">and </w:t>
      </w:r>
      <w:r w:rsidR="009A335A" w:rsidRPr="00C11182">
        <w:t xml:space="preserve">the </w:t>
      </w:r>
      <w:r w:rsidR="00537E9E">
        <w:t xml:space="preserve">National Partnership Agreement on </w:t>
      </w:r>
      <w:r w:rsidR="009A335A" w:rsidRPr="00C11182">
        <w:t xml:space="preserve">Stronger Futures in the Northern Territory </w:t>
      </w:r>
      <w:r>
        <w:t>are made by the Treasury.</w:t>
      </w:r>
      <w:proofErr w:type="gramEnd"/>
      <w:r>
        <w:t xml:space="preserve"> For</w:t>
      </w:r>
      <w:r w:rsidR="00FF119A">
        <w:t xml:space="preserve"> more</w:t>
      </w:r>
      <w:r>
        <w:t xml:space="preserve"> information refer to the Treasury’s 2013</w:t>
      </w:r>
      <w:r w:rsidR="003549DF">
        <w:t>–</w:t>
      </w:r>
      <w:r>
        <w:t>14 PB Statements and Budget Paper No. 3, Australia’s Federal Relations</w:t>
      </w:r>
      <w:r w:rsidR="00F015E0">
        <w:t xml:space="preserve"> 2013–14</w:t>
      </w:r>
      <w:r>
        <w:t>.</w:t>
      </w:r>
    </w:p>
    <w:p w:rsidR="002F54DE" w:rsidRPr="002F54DE" w:rsidRDefault="002F54DE" w:rsidP="0093417E">
      <w:pPr>
        <w:pStyle w:val="NormalBox"/>
      </w:pPr>
      <w:r>
        <w:t>Also linked to: Program 7.5: Stronger Futures in the Northern Territory.</w:t>
      </w:r>
    </w:p>
    <w:p w:rsidR="00C66E58" w:rsidRDefault="007A746D" w:rsidP="007A746D">
      <w:pPr>
        <w:pStyle w:val="Heading7"/>
      </w:pPr>
      <w:r>
        <w:br w:type="page"/>
      </w:r>
      <w:r w:rsidR="00C66E58">
        <w:lastRenderedPageBreak/>
        <w:t xml:space="preserve">Program 7.2 </w:t>
      </w:r>
      <w:r w:rsidR="00C354E6">
        <w:t>expenses</w:t>
      </w:r>
    </w:p>
    <w:p w:rsidR="00293295" w:rsidRPr="00704365" w:rsidRDefault="00846F67" w:rsidP="00293295">
      <w:pPr>
        <w:pStyle w:val="NormalBox"/>
      </w:pPr>
      <w:r w:rsidRPr="00846F67">
        <w:t xml:space="preserve">Projected changes across the forward estimates reflect </w:t>
      </w:r>
      <w:r w:rsidR="00330236">
        <w:t>g</w:t>
      </w:r>
      <w:r w:rsidRPr="00846F67">
        <w:t>overnment decisions, in particular additional funding provided through the Remote Indigenous Energy Program, which forms part of the Clean Energy Future Plan</w:t>
      </w:r>
      <w:r w:rsidR="002C5C25">
        <w:t>,</w:t>
      </w:r>
      <w:r w:rsidRPr="00846F67">
        <w:t xml:space="preserve"> and the extension of funding for the Municipal and Essential Services </w:t>
      </w:r>
      <w:r w:rsidR="00C2656B">
        <w:t>p</w:t>
      </w:r>
      <w:r w:rsidRPr="00846F67">
        <w:t>rogram for an additional year while the Commonwealth, the states and the Northern Territory work towards clearer roles and responsibilities for funding and delivery of municipal and essential services and infrastructure.</w:t>
      </w:r>
    </w:p>
    <w:p w:rsidR="007452AA" w:rsidRDefault="00C66E58" w:rsidP="00A227B3">
      <w:pPr>
        <w:pStyle w:val="TableHeading"/>
        <w:rPr>
          <w:lang w:val="en-GB"/>
        </w:rPr>
      </w:pPr>
      <w:r>
        <w:rPr>
          <w:lang w:val="en-GB"/>
        </w:rPr>
        <w:t>Table 2.</w:t>
      </w:r>
      <w:r w:rsidR="007452AA">
        <w:rPr>
          <w:lang w:val="en-GB"/>
        </w:rPr>
        <w:t xml:space="preserve">7.2: </w:t>
      </w:r>
      <w:r w:rsidR="00C452FD">
        <w:rPr>
          <w:lang w:val="en-GB"/>
        </w:rPr>
        <w:t xml:space="preserve">Budgeted </w:t>
      </w:r>
      <w:r w:rsidR="00330236">
        <w:rPr>
          <w:lang w:val="en-GB"/>
        </w:rPr>
        <w:t>e</w:t>
      </w:r>
      <w:r w:rsidR="001F175D">
        <w:rPr>
          <w:lang w:val="en-GB"/>
        </w:rPr>
        <w:t>xpenses</w:t>
      </w:r>
      <w:r w:rsidR="00C452FD">
        <w:rPr>
          <w:lang w:val="en-GB"/>
        </w:rPr>
        <w:t xml:space="preserve"> for Indigenous Housing and Infrastructure</w:t>
      </w:r>
    </w:p>
    <w:p w:rsidR="00DE604F" w:rsidRDefault="00060D08" w:rsidP="00DE604F">
      <w:pPr>
        <w:pStyle w:val="TableGraphic"/>
        <w:rPr>
          <w:lang w:val="en-GB"/>
        </w:rPr>
      </w:pPr>
      <w:r>
        <w:rPr>
          <w:noProof/>
        </w:rPr>
        <w:drawing>
          <wp:inline distT="0" distB="0" distL="0" distR="0" wp14:anchorId="58BD29EC" wp14:editId="6BFE34B3">
            <wp:extent cx="4878705" cy="2035171"/>
            <wp:effectExtent l="0" t="0" r="0" b="3810"/>
            <wp:docPr id="178" name="Picture 178" descr="Table 2.7.2: Budgeted expenses for Indigenous Housing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78705" cy="2035171"/>
                    </a:xfrm>
                    <a:prstGeom prst="rect">
                      <a:avLst/>
                    </a:prstGeom>
                    <a:noFill/>
                    <a:ln>
                      <a:noFill/>
                    </a:ln>
                  </pic:spPr>
                </pic:pic>
              </a:graphicData>
            </a:graphic>
          </wp:inline>
        </w:drawing>
      </w:r>
    </w:p>
    <w:p w:rsidR="007452AA" w:rsidRDefault="007A746D" w:rsidP="007A746D">
      <w:pPr>
        <w:pStyle w:val="Heading7"/>
      </w:pPr>
      <w:r>
        <w:br w:type="page"/>
      </w:r>
      <w:r w:rsidR="007452AA" w:rsidRPr="00303AAA">
        <w:lastRenderedPageBreak/>
        <w:t xml:space="preserve">Program </w:t>
      </w:r>
      <w:r w:rsidR="00C249F9">
        <w:t xml:space="preserve">7.2 </w:t>
      </w:r>
      <w:r w:rsidR="00330236">
        <w:t>d</w:t>
      </w:r>
      <w:r w:rsidR="00C249F9" w:rsidRPr="00A227B3">
        <w:t>eliverables</w:t>
      </w:r>
    </w:p>
    <w:p w:rsidR="00FE7C74" w:rsidRDefault="00FE7C74" w:rsidP="00FE7C74">
      <w:pPr>
        <w:pStyle w:val="BulletBox"/>
      </w:pPr>
      <w:r>
        <w:t>Number of communities receiving municipal and essential services funded by the Commonwealth</w:t>
      </w:r>
    </w:p>
    <w:p w:rsidR="00FE7C74" w:rsidRDefault="00FE7C74" w:rsidP="00C11182">
      <w:pPr>
        <w:pStyle w:val="BulletBox"/>
      </w:pPr>
      <w:r>
        <w:t>Number of renewable energy systems installed</w:t>
      </w:r>
    </w:p>
    <w:p w:rsidR="00C11182" w:rsidRPr="00C11182" w:rsidRDefault="00C11182" w:rsidP="00C11182">
      <w:pPr>
        <w:pStyle w:val="BulletBox"/>
      </w:pPr>
      <w:r w:rsidRPr="00C11182">
        <w:t>Number of Indigenous persons employed in Full Time Equivalent positions</w:t>
      </w:r>
      <w:r w:rsidR="00C425EC">
        <w:t xml:space="preserve"> </w:t>
      </w:r>
      <w:r w:rsidRPr="00C11182">
        <w:t>through the National Jobs Creation/Northern Territory Jobs Packages</w:t>
      </w:r>
    </w:p>
    <w:p w:rsidR="00C11182" w:rsidRPr="00C11182" w:rsidRDefault="00C11182" w:rsidP="00C11182">
      <w:pPr>
        <w:pStyle w:val="BulletBox"/>
      </w:pPr>
      <w:r w:rsidRPr="00C11182">
        <w:t>Number of projects delivered under the Aboriginal Army Community Assistance Program</w:t>
      </w:r>
    </w:p>
    <w:p w:rsidR="007452AA" w:rsidRDefault="00FE7C74" w:rsidP="00FE7C74">
      <w:pPr>
        <w:pStyle w:val="TableHeading"/>
        <w:rPr>
          <w:lang w:val="en-GB"/>
        </w:rPr>
      </w:pPr>
      <w:r>
        <w:rPr>
          <w:lang w:val="en-GB"/>
        </w:rPr>
        <w:t xml:space="preserve">National Programs and Projects </w:t>
      </w:r>
      <w:r w:rsidR="00330236">
        <w:rPr>
          <w:lang w:val="en-GB"/>
        </w:rPr>
        <w:t>deliverables targets</w:t>
      </w:r>
    </w:p>
    <w:tbl>
      <w:tblPr>
        <w:tblW w:w="7642" w:type="dxa"/>
        <w:tblInd w:w="28" w:type="dxa"/>
        <w:tblBorders>
          <w:top w:val="single" w:sz="4" w:space="0" w:color="auto"/>
          <w:bottom w:val="single" w:sz="4" w:space="0" w:color="auto"/>
          <w:insideH w:val="single" w:sz="4" w:space="0" w:color="auto"/>
        </w:tblBorders>
        <w:tblCellMar>
          <w:top w:w="17" w:type="dxa"/>
          <w:left w:w="30" w:type="dxa"/>
          <w:bottom w:w="17" w:type="dxa"/>
          <w:right w:w="30" w:type="dxa"/>
        </w:tblCellMar>
        <w:tblLook w:val="0000" w:firstRow="0" w:lastRow="0" w:firstColumn="0" w:lastColumn="0" w:noHBand="0" w:noVBand="0"/>
        <w:tblDescription w:val="National Programs and Projects deliverables targets"/>
      </w:tblPr>
      <w:tblGrid>
        <w:gridCol w:w="3107"/>
        <w:gridCol w:w="907"/>
        <w:gridCol w:w="907"/>
        <w:gridCol w:w="907"/>
        <w:gridCol w:w="907"/>
        <w:gridCol w:w="907"/>
      </w:tblGrid>
      <w:tr w:rsidR="00A672D0" w:rsidRPr="00893575" w:rsidTr="00C11182">
        <w:trPr>
          <w:trHeight w:val="225"/>
        </w:trPr>
        <w:tc>
          <w:tcPr>
            <w:tcW w:w="3107" w:type="dxa"/>
            <w:tcBorders>
              <w:bottom w:val="single" w:sz="4" w:space="0" w:color="auto"/>
            </w:tcBorders>
          </w:tcPr>
          <w:p w:rsidR="00A672D0" w:rsidRPr="00893575" w:rsidRDefault="00A672D0" w:rsidP="0055792B">
            <w:pPr>
              <w:keepNext/>
              <w:autoSpaceDE w:val="0"/>
              <w:autoSpaceDN w:val="0"/>
              <w:adjustRightInd w:val="0"/>
              <w:spacing w:after="0" w:line="240" w:lineRule="auto"/>
              <w:jc w:val="right"/>
              <w:rPr>
                <w:rFonts w:ascii="Arial" w:hAnsi="Arial" w:cs="Arial"/>
                <w:color w:val="000000"/>
                <w:sz w:val="16"/>
                <w:szCs w:val="16"/>
              </w:rPr>
            </w:pPr>
          </w:p>
        </w:tc>
        <w:tc>
          <w:tcPr>
            <w:tcW w:w="907" w:type="dxa"/>
            <w:tcBorders>
              <w:bottom w:val="single" w:sz="4" w:space="0" w:color="auto"/>
            </w:tcBorders>
            <w:shd w:val="clear" w:color="auto" w:fill="auto"/>
          </w:tcPr>
          <w:p w:rsidR="00A672D0" w:rsidRPr="00893575" w:rsidRDefault="00A672D0" w:rsidP="0055792B">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w:t>
            </w:r>
            <w:r w:rsidRPr="00893575">
              <w:rPr>
                <w:rFonts w:ascii="Arial" w:hAnsi="Arial" w:cs="Arial"/>
                <w:color w:val="000000"/>
                <w:sz w:val="16"/>
                <w:szCs w:val="16"/>
              </w:rPr>
              <w:t>1</w:t>
            </w:r>
            <w:r>
              <w:rPr>
                <w:rFonts w:ascii="Arial" w:hAnsi="Arial" w:cs="Arial"/>
                <w:color w:val="000000"/>
                <w:sz w:val="16"/>
                <w:szCs w:val="16"/>
              </w:rPr>
              <w:t>2</w:t>
            </w:r>
            <w:r w:rsidR="00FE7C74">
              <w:rPr>
                <w:rFonts w:ascii="Arial" w:hAnsi="Arial" w:cs="Arial"/>
                <w:color w:val="000000"/>
                <w:sz w:val="16"/>
                <w:szCs w:val="16"/>
              </w:rPr>
              <w:t>–13</w:t>
            </w:r>
          </w:p>
          <w:p w:rsidR="00A672D0" w:rsidRPr="00893575" w:rsidRDefault="00A672D0" w:rsidP="00E83C8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Revised budget</w:t>
            </w:r>
          </w:p>
        </w:tc>
        <w:tc>
          <w:tcPr>
            <w:tcW w:w="907" w:type="dxa"/>
            <w:tcBorders>
              <w:bottom w:val="single" w:sz="4" w:space="0" w:color="auto"/>
            </w:tcBorders>
            <w:shd w:val="clear" w:color="auto" w:fill="D9D9D9"/>
          </w:tcPr>
          <w:p w:rsidR="00A672D0" w:rsidRPr="00893575" w:rsidRDefault="00A672D0" w:rsidP="00FE7DD3">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2013</w:t>
            </w:r>
            <w:r w:rsidR="00FE7C74">
              <w:rPr>
                <w:rFonts w:ascii="Arial" w:hAnsi="Arial" w:cs="Arial"/>
                <w:color w:val="000000"/>
                <w:sz w:val="16"/>
                <w:szCs w:val="16"/>
              </w:rPr>
              <w:t>–14</w:t>
            </w:r>
          </w:p>
          <w:p w:rsidR="00A672D0" w:rsidRPr="00893575" w:rsidRDefault="00A672D0" w:rsidP="00003143">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B</w:t>
            </w:r>
            <w:r w:rsidRPr="00893575">
              <w:rPr>
                <w:rFonts w:ascii="Arial" w:hAnsi="Arial" w:cs="Arial"/>
                <w:color w:val="000000"/>
                <w:sz w:val="16"/>
                <w:szCs w:val="16"/>
              </w:rPr>
              <w:t>udget</w:t>
            </w:r>
            <w:r>
              <w:rPr>
                <w:rFonts w:ascii="Arial" w:hAnsi="Arial" w:cs="Arial"/>
                <w:color w:val="000000"/>
                <w:sz w:val="16"/>
                <w:szCs w:val="16"/>
              </w:rPr>
              <w:t xml:space="preserve"> </w:t>
            </w:r>
          </w:p>
        </w:tc>
        <w:tc>
          <w:tcPr>
            <w:tcW w:w="907" w:type="dxa"/>
            <w:tcBorders>
              <w:bottom w:val="single" w:sz="4" w:space="0" w:color="auto"/>
            </w:tcBorders>
          </w:tcPr>
          <w:p w:rsidR="00A672D0" w:rsidRPr="00893575" w:rsidRDefault="00A672D0" w:rsidP="00FE7C74">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w:t>
            </w:r>
            <w:r w:rsidR="00FE7C74">
              <w:rPr>
                <w:rFonts w:ascii="Arial" w:hAnsi="Arial" w:cs="Arial"/>
                <w:color w:val="000000"/>
                <w:sz w:val="16"/>
                <w:szCs w:val="16"/>
              </w:rPr>
              <w:t>–15</w:t>
            </w:r>
            <w:r>
              <w:rPr>
                <w:rFonts w:ascii="Arial" w:hAnsi="Arial" w:cs="Arial"/>
                <w:color w:val="000000"/>
                <w:sz w:val="16"/>
                <w:szCs w:val="16"/>
              </w:rPr>
              <w:t xml:space="preserve"> Forward year 1</w:t>
            </w:r>
          </w:p>
        </w:tc>
        <w:tc>
          <w:tcPr>
            <w:tcW w:w="907" w:type="dxa"/>
            <w:tcBorders>
              <w:bottom w:val="single" w:sz="4" w:space="0" w:color="auto"/>
            </w:tcBorders>
          </w:tcPr>
          <w:p w:rsidR="00A672D0" w:rsidRPr="00893575" w:rsidRDefault="00A672D0" w:rsidP="00A227B3">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w:t>
            </w:r>
            <w:r w:rsidR="00FE7C74">
              <w:rPr>
                <w:rFonts w:ascii="Arial" w:hAnsi="Arial" w:cs="Arial"/>
                <w:color w:val="000000"/>
                <w:sz w:val="16"/>
                <w:szCs w:val="16"/>
              </w:rPr>
              <w:t>–16</w:t>
            </w:r>
          </w:p>
          <w:p w:rsidR="00A672D0" w:rsidRPr="00893575" w:rsidRDefault="00A672D0" w:rsidP="00A227B3">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A672D0" w:rsidRPr="00893575" w:rsidRDefault="00A672D0" w:rsidP="00E83C8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2</w:t>
            </w:r>
          </w:p>
        </w:tc>
        <w:tc>
          <w:tcPr>
            <w:tcW w:w="907" w:type="dxa"/>
            <w:tcBorders>
              <w:bottom w:val="single" w:sz="4" w:space="0" w:color="auto"/>
            </w:tcBorders>
          </w:tcPr>
          <w:p w:rsidR="00A672D0" w:rsidRPr="00893575" w:rsidRDefault="00A672D0" w:rsidP="00A227B3">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w:t>
            </w:r>
            <w:r w:rsidRPr="00893575">
              <w:rPr>
                <w:rFonts w:ascii="Arial" w:hAnsi="Arial" w:cs="Arial"/>
                <w:color w:val="000000"/>
                <w:sz w:val="16"/>
                <w:szCs w:val="16"/>
              </w:rPr>
              <w:t>1</w:t>
            </w:r>
            <w:r>
              <w:rPr>
                <w:rFonts w:ascii="Arial" w:hAnsi="Arial" w:cs="Arial"/>
                <w:color w:val="000000"/>
                <w:sz w:val="16"/>
                <w:szCs w:val="16"/>
              </w:rPr>
              <w:t>6</w:t>
            </w:r>
            <w:r w:rsidR="00FE7C74">
              <w:rPr>
                <w:rFonts w:ascii="Arial" w:hAnsi="Arial" w:cs="Arial"/>
                <w:color w:val="000000"/>
                <w:sz w:val="16"/>
                <w:szCs w:val="16"/>
              </w:rPr>
              <w:t>–17</w:t>
            </w:r>
          </w:p>
          <w:p w:rsidR="00A672D0" w:rsidRPr="00893575" w:rsidRDefault="00A672D0" w:rsidP="00A227B3">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A672D0" w:rsidRPr="00893575" w:rsidRDefault="00A672D0" w:rsidP="00E83C8A">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year 3</w:t>
            </w:r>
          </w:p>
        </w:tc>
      </w:tr>
      <w:tr w:rsidR="00A227B3" w:rsidRPr="00893575" w:rsidTr="00C11182">
        <w:trPr>
          <w:trHeight w:val="225"/>
        </w:trPr>
        <w:tc>
          <w:tcPr>
            <w:tcW w:w="3107" w:type="dxa"/>
            <w:tcBorders>
              <w:bottom w:val="nil"/>
            </w:tcBorders>
            <w:vAlign w:val="bottom"/>
          </w:tcPr>
          <w:p w:rsidR="00A227B3" w:rsidRPr="00893575" w:rsidRDefault="00A227B3" w:rsidP="001205C8">
            <w:pPr>
              <w:keepNext/>
              <w:autoSpaceDE w:val="0"/>
              <w:autoSpaceDN w:val="0"/>
              <w:adjustRightInd w:val="0"/>
              <w:spacing w:before="60" w:after="0" w:line="240" w:lineRule="auto"/>
              <w:jc w:val="left"/>
              <w:rPr>
                <w:rFonts w:ascii="Arial" w:hAnsi="Arial" w:cs="Arial"/>
                <w:color w:val="000000"/>
                <w:sz w:val="16"/>
                <w:szCs w:val="16"/>
              </w:rPr>
            </w:pPr>
            <w:r>
              <w:rPr>
                <w:rFonts w:ascii="Arial" w:hAnsi="Arial" w:cs="Arial"/>
                <w:color w:val="000000"/>
                <w:sz w:val="16"/>
                <w:szCs w:val="16"/>
              </w:rPr>
              <w:t>Number of renewable energy systems installed</w:t>
            </w:r>
          </w:p>
        </w:tc>
        <w:tc>
          <w:tcPr>
            <w:tcW w:w="907" w:type="dxa"/>
            <w:tcBorders>
              <w:bottom w:val="nil"/>
            </w:tcBorders>
            <w:shd w:val="clear" w:color="auto" w:fill="auto"/>
            <w:vAlign w:val="bottom"/>
          </w:tcPr>
          <w:p w:rsidR="00A227B3" w:rsidRPr="00893575" w:rsidRDefault="00A227B3"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w:t>
            </w:r>
          </w:p>
        </w:tc>
        <w:tc>
          <w:tcPr>
            <w:tcW w:w="907" w:type="dxa"/>
            <w:tcBorders>
              <w:bottom w:val="nil"/>
            </w:tcBorders>
            <w:shd w:val="clear" w:color="auto" w:fill="D9D9D9"/>
            <w:vAlign w:val="bottom"/>
          </w:tcPr>
          <w:p w:rsidR="00A227B3" w:rsidRPr="00893575" w:rsidRDefault="00FE7C74"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up to 15</w:t>
            </w:r>
          </w:p>
        </w:tc>
        <w:tc>
          <w:tcPr>
            <w:tcW w:w="907" w:type="dxa"/>
            <w:tcBorders>
              <w:bottom w:val="nil"/>
            </w:tcBorders>
            <w:vAlign w:val="bottom"/>
          </w:tcPr>
          <w:p w:rsidR="00A227B3" w:rsidRPr="00893575" w:rsidRDefault="00FE7C74"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up to 20</w:t>
            </w:r>
          </w:p>
        </w:tc>
        <w:tc>
          <w:tcPr>
            <w:tcW w:w="907" w:type="dxa"/>
            <w:tcBorders>
              <w:bottom w:val="nil"/>
            </w:tcBorders>
            <w:vAlign w:val="bottom"/>
          </w:tcPr>
          <w:p w:rsidR="00A227B3" w:rsidRPr="00893575" w:rsidRDefault="00FE7C74"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up to 15</w:t>
            </w:r>
          </w:p>
        </w:tc>
        <w:tc>
          <w:tcPr>
            <w:tcW w:w="907" w:type="dxa"/>
            <w:tcBorders>
              <w:bottom w:val="nil"/>
            </w:tcBorders>
            <w:vAlign w:val="bottom"/>
          </w:tcPr>
          <w:p w:rsidR="00A227B3" w:rsidRPr="00893575" w:rsidRDefault="00846F67" w:rsidP="001205C8">
            <w:pPr>
              <w:keepNext/>
              <w:autoSpaceDE w:val="0"/>
              <w:autoSpaceDN w:val="0"/>
              <w:adjustRightInd w:val="0"/>
              <w:spacing w:before="60" w:after="0" w:line="240" w:lineRule="auto"/>
              <w:jc w:val="right"/>
              <w:rPr>
                <w:rFonts w:ascii="Arial" w:hAnsi="Arial" w:cs="Arial"/>
                <w:color w:val="000000"/>
                <w:sz w:val="16"/>
                <w:szCs w:val="16"/>
              </w:rPr>
            </w:pPr>
            <w:r w:rsidRPr="002E45C0">
              <w:rPr>
                <w:rFonts w:ascii="Arial" w:hAnsi="Arial" w:cs="Arial"/>
                <w:sz w:val="16"/>
                <w:szCs w:val="16"/>
              </w:rPr>
              <w:t>–</w:t>
            </w:r>
          </w:p>
        </w:tc>
      </w:tr>
      <w:tr w:rsidR="00C11182" w:rsidRPr="00893575" w:rsidTr="002E45C0">
        <w:trPr>
          <w:trHeight w:val="225"/>
        </w:trPr>
        <w:tc>
          <w:tcPr>
            <w:tcW w:w="3107" w:type="dxa"/>
            <w:tcBorders>
              <w:top w:val="nil"/>
              <w:bottom w:val="nil"/>
            </w:tcBorders>
            <w:vAlign w:val="bottom"/>
          </w:tcPr>
          <w:p w:rsidR="00C11182" w:rsidRDefault="00C11182" w:rsidP="001205C8">
            <w:pPr>
              <w:keepNext/>
              <w:autoSpaceDE w:val="0"/>
              <w:autoSpaceDN w:val="0"/>
              <w:adjustRightInd w:val="0"/>
              <w:spacing w:before="60" w:after="0" w:line="240" w:lineRule="auto"/>
              <w:jc w:val="left"/>
              <w:rPr>
                <w:rFonts w:ascii="Arial" w:hAnsi="Arial" w:cs="Arial"/>
                <w:color w:val="000000"/>
                <w:sz w:val="16"/>
                <w:szCs w:val="16"/>
              </w:rPr>
            </w:pPr>
            <w:r w:rsidRPr="00C11182">
              <w:rPr>
                <w:rFonts w:ascii="Arial" w:hAnsi="Arial" w:cs="Arial"/>
                <w:color w:val="000000"/>
                <w:sz w:val="16"/>
                <w:szCs w:val="16"/>
              </w:rPr>
              <w:t>Number of Indigenous persons employed in Full Time Equivalent positions</w:t>
            </w:r>
            <w:r w:rsidR="00C425EC">
              <w:rPr>
                <w:rFonts w:ascii="Arial" w:hAnsi="Arial" w:cs="Arial"/>
                <w:color w:val="000000"/>
                <w:sz w:val="16"/>
                <w:szCs w:val="16"/>
              </w:rPr>
              <w:t xml:space="preserve"> </w:t>
            </w:r>
            <w:r w:rsidRPr="00C11182">
              <w:rPr>
                <w:rFonts w:ascii="Arial" w:hAnsi="Arial" w:cs="Arial"/>
                <w:color w:val="000000"/>
                <w:sz w:val="16"/>
                <w:szCs w:val="16"/>
              </w:rPr>
              <w:t>through the National Jobs Creation/Northern Territory Jobs packages</w:t>
            </w:r>
          </w:p>
        </w:tc>
        <w:tc>
          <w:tcPr>
            <w:tcW w:w="907" w:type="dxa"/>
            <w:tcBorders>
              <w:top w:val="nil"/>
              <w:bottom w:val="nil"/>
            </w:tcBorders>
            <w:shd w:val="clear" w:color="auto" w:fill="auto"/>
            <w:vAlign w:val="bottom"/>
          </w:tcPr>
          <w:p w:rsidR="00C11182" w:rsidRDefault="002E45C0"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w:t>
            </w:r>
          </w:p>
        </w:tc>
        <w:tc>
          <w:tcPr>
            <w:tcW w:w="907" w:type="dxa"/>
            <w:tcBorders>
              <w:top w:val="nil"/>
              <w:bottom w:val="nil"/>
            </w:tcBorders>
            <w:shd w:val="clear" w:color="auto" w:fill="D9D9D9"/>
            <w:vAlign w:val="bottom"/>
          </w:tcPr>
          <w:p w:rsidR="00C11182" w:rsidRDefault="00C11182"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250</w:t>
            </w:r>
          </w:p>
        </w:tc>
        <w:tc>
          <w:tcPr>
            <w:tcW w:w="907" w:type="dxa"/>
            <w:tcBorders>
              <w:top w:val="nil"/>
              <w:bottom w:val="nil"/>
            </w:tcBorders>
            <w:vAlign w:val="bottom"/>
          </w:tcPr>
          <w:p w:rsidR="00C11182" w:rsidRDefault="002E45C0"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250</w:t>
            </w:r>
          </w:p>
        </w:tc>
        <w:tc>
          <w:tcPr>
            <w:tcW w:w="907" w:type="dxa"/>
            <w:tcBorders>
              <w:top w:val="nil"/>
              <w:bottom w:val="nil"/>
            </w:tcBorders>
            <w:vAlign w:val="bottom"/>
          </w:tcPr>
          <w:p w:rsidR="00C11182" w:rsidRDefault="002E45C0"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250</w:t>
            </w:r>
          </w:p>
        </w:tc>
        <w:tc>
          <w:tcPr>
            <w:tcW w:w="907" w:type="dxa"/>
            <w:tcBorders>
              <w:top w:val="nil"/>
              <w:bottom w:val="nil"/>
            </w:tcBorders>
            <w:vAlign w:val="bottom"/>
          </w:tcPr>
          <w:p w:rsidR="00C11182" w:rsidRPr="002E45C0" w:rsidRDefault="002E45C0" w:rsidP="001205C8">
            <w:pPr>
              <w:keepNext/>
              <w:autoSpaceDE w:val="0"/>
              <w:autoSpaceDN w:val="0"/>
              <w:adjustRightInd w:val="0"/>
              <w:spacing w:before="60" w:after="0" w:line="240" w:lineRule="auto"/>
              <w:jc w:val="right"/>
              <w:rPr>
                <w:rFonts w:ascii="Arial" w:hAnsi="Arial" w:cs="Arial"/>
                <w:sz w:val="16"/>
                <w:szCs w:val="16"/>
              </w:rPr>
            </w:pPr>
            <w:r>
              <w:rPr>
                <w:rFonts w:ascii="Arial" w:hAnsi="Arial" w:cs="Arial"/>
                <w:sz w:val="16"/>
                <w:szCs w:val="16"/>
              </w:rPr>
              <w:t>250</w:t>
            </w:r>
          </w:p>
        </w:tc>
      </w:tr>
      <w:tr w:rsidR="002E45C0" w:rsidRPr="00893575" w:rsidTr="00C11182">
        <w:trPr>
          <w:trHeight w:val="225"/>
        </w:trPr>
        <w:tc>
          <w:tcPr>
            <w:tcW w:w="3107" w:type="dxa"/>
            <w:tcBorders>
              <w:top w:val="nil"/>
            </w:tcBorders>
            <w:vAlign w:val="bottom"/>
          </w:tcPr>
          <w:p w:rsidR="002E45C0" w:rsidRPr="00C11182" w:rsidRDefault="002E45C0" w:rsidP="001205C8">
            <w:pPr>
              <w:keepNext/>
              <w:autoSpaceDE w:val="0"/>
              <w:autoSpaceDN w:val="0"/>
              <w:adjustRightInd w:val="0"/>
              <w:spacing w:before="60" w:after="0" w:line="240" w:lineRule="auto"/>
              <w:jc w:val="left"/>
              <w:rPr>
                <w:rFonts w:ascii="Arial" w:hAnsi="Arial" w:cs="Arial"/>
                <w:color w:val="000000"/>
                <w:sz w:val="16"/>
                <w:szCs w:val="16"/>
              </w:rPr>
            </w:pPr>
            <w:r w:rsidRPr="002E368D">
              <w:rPr>
                <w:rFonts w:ascii="Arial" w:hAnsi="Arial" w:cs="Arial"/>
                <w:color w:val="000000"/>
                <w:sz w:val="16"/>
                <w:szCs w:val="16"/>
              </w:rPr>
              <w:t>Aboriginal Army Community Assistance Program delivered</w:t>
            </w:r>
            <w:r>
              <w:rPr>
                <w:rStyle w:val="FootnoteReference"/>
                <w:rFonts w:ascii="Arial" w:hAnsi="Arial" w:cs="Arial"/>
                <w:color w:val="000000"/>
                <w:sz w:val="16"/>
                <w:szCs w:val="16"/>
              </w:rPr>
              <w:footnoteReference w:id="37"/>
            </w:r>
          </w:p>
        </w:tc>
        <w:tc>
          <w:tcPr>
            <w:tcW w:w="907" w:type="dxa"/>
            <w:tcBorders>
              <w:top w:val="nil"/>
            </w:tcBorders>
            <w:shd w:val="clear" w:color="auto" w:fill="auto"/>
            <w:vAlign w:val="bottom"/>
          </w:tcPr>
          <w:p w:rsidR="002E45C0" w:rsidRDefault="002E45C0"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w:t>
            </w:r>
          </w:p>
        </w:tc>
        <w:tc>
          <w:tcPr>
            <w:tcW w:w="907" w:type="dxa"/>
            <w:tcBorders>
              <w:top w:val="nil"/>
            </w:tcBorders>
            <w:shd w:val="clear" w:color="auto" w:fill="D9D9D9"/>
            <w:vAlign w:val="bottom"/>
          </w:tcPr>
          <w:p w:rsidR="002E45C0" w:rsidRDefault="002E45C0"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1</w:t>
            </w:r>
          </w:p>
        </w:tc>
        <w:tc>
          <w:tcPr>
            <w:tcW w:w="907" w:type="dxa"/>
            <w:tcBorders>
              <w:top w:val="nil"/>
            </w:tcBorders>
            <w:vAlign w:val="bottom"/>
          </w:tcPr>
          <w:p w:rsidR="002E45C0" w:rsidRDefault="002E45C0"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1</w:t>
            </w:r>
          </w:p>
        </w:tc>
        <w:tc>
          <w:tcPr>
            <w:tcW w:w="907" w:type="dxa"/>
            <w:tcBorders>
              <w:top w:val="nil"/>
            </w:tcBorders>
            <w:vAlign w:val="bottom"/>
          </w:tcPr>
          <w:p w:rsidR="002E45C0" w:rsidRDefault="002E45C0"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color w:val="000000"/>
                <w:sz w:val="16"/>
                <w:szCs w:val="16"/>
              </w:rPr>
              <w:t>1</w:t>
            </w:r>
          </w:p>
        </w:tc>
        <w:tc>
          <w:tcPr>
            <w:tcW w:w="907" w:type="dxa"/>
            <w:tcBorders>
              <w:top w:val="nil"/>
            </w:tcBorders>
            <w:vAlign w:val="bottom"/>
          </w:tcPr>
          <w:p w:rsidR="002E45C0" w:rsidRDefault="002E45C0" w:rsidP="001205C8">
            <w:pPr>
              <w:keepNext/>
              <w:autoSpaceDE w:val="0"/>
              <w:autoSpaceDN w:val="0"/>
              <w:adjustRightInd w:val="0"/>
              <w:spacing w:before="60" w:after="0" w:line="240" w:lineRule="auto"/>
              <w:jc w:val="right"/>
              <w:rPr>
                <w:rFonts w:ascii="Arial" w:hAnsi="Arial" w:cs="Arial"/>
                <w:sz w:val="16"/>
                <w:szCs w:val="16"/>
              </w:rPr>
            </w:pPr>
            <w:r>
              <w:rPr>
                <w:rFonts w:ascii="Arial" w:hAnsi="Arial" w:cs="Arial"/>
                <w:sz w:val="16"/>
                <w:szCs w:val="16"/>
              </w:rPr>
              <w:t>1</w:t>
            </w:r>
          </w:p>
        </w:tc>
      </w:tr>
    </w:tbl>
    <w:p w:rsidR="00A227B3" w:rsidRDefault="00A227B3" w:rsidP="005703E9"/>
    <w:p w:rsidR="00FE7C74" w:rsidRPr="002E45C0" w:rsidRDefault="00FE7C74" w:rsidP="007A746D">
      <w:pPr>
        <w:pStyle w:val="Heading7"/>
      </w:pPr>
      <w:r w:rsidRPr="002E45C0">
        <w:t>COAG</w:t>
      </w:r>
    </w:p>
    <w:p w:rsidR="00FE7C74" w:rsidRDefault="00FE7C74" w:rsidP="00FE7C74">
      <w:pPr>
        <w:pStyle w:val="NormalBox"/>
      </w:pPr>
      <w:r w:rsidRPr="002E45C0">
        <w:t xml:space="preserve">This program also contributes to the objectives of the National Partnership Agreement on Remote Indigenous Housing and the </w:t>
      </w:r>
      <w:r w:rsidR="00537E9E" w:rsidRPr="002E45C0">
        <w:t xml:space="preserve">National Partnership Agreement </w:t>
      </w:r>
      <w:r w:rsidR="00537E9E">
        <w:t xml:space="preserve">on </w:t>
      </w:r>
      <w:r w:rsidRPr="002E45C0">
        <w:t>Stronger Futures in the Northern Territory</w:t>
      </w:r>
      <w:r w:rsidR="00767D03">
        <w:t>.</w:t>
      </w:r>
    </w:p>
    <w:p w:rsidR="00C452FD" w:rsidRDefault="00C452FD" w:rsidP="003A485D">
      <w:pPr>
        <w:pStyle w:val="SinglePara"/>
        <w:rPr>
          <w:lang w:val="en-GB"/>
        </w:rPr>
      </w:pPr>
    </w:p>
    <w:p w:rsidR="007452AA" w:rsidRDefault="007452AA" w:rsidP="007A746D">
      <w:pPr>
        <w:pStyle w:val="Heading7"/>
      </w:pPr>
      <w:r w:rsidRPr="00303AAA">
        <w:t xml:space="preserve">Program </w:t>
      </w:r>
      <w:r w:rsidR="00C249F9">
        <w:t xml:space="preserve">7.2 </w:t>
      </w:r>
      <w:r w:rsidR="00330236">
        <w:t>k</w:t>
      </w:r>
      <w:r w:rsidR="00330236" w:rsidRPr="00303AAA">
        <w:t xml:space="preserve">ey </w:t>
      </w:r>
      <w:r w:rsidR="00330236">
        <w:t>p</w:t>
      </w:r>
      <w:r w:rsidR="00330236" w:rsidRPr="00A227B3">
        <w:t>erformance</w:t>
      </w:r>
      <w:r w:rsidR="00330236">
        <w:t xml:space="preserve"> i</w:t>
      </w:r>
      <w:r w:rsidR="00330236" w:rsidRPr="00303AAA">
        <w:t>ndicators</w:t>
      </w:r>
    </w:p>
    <w:p w:rsidR="00091692" w:rsidRPr="00091692" w:rsidRDefault="007237B9" w:rsidP="007237B9">
      <w:pPr>
        <w:pStyle w:val="BulletBox"/>
      </w:pPr>
      <w:r w:rsidRPr="007237B9">
        <w:t>Percentage and number of programs and projects that met specified pr</w:t>
      </w:r>
      <w:r w:rsidR="002E45C0">
        <w:t>oject objectives by 30 June 2014</w:t>
      </w:r>
    </w:p>
    <w:p w:rsidR="007452AA" w:rsidRPr="00C44531" w:rsidRDefault="007A746D" w:rsidP="007A746D">
      <w:pPr>
        <w:pStyle w:val="Heading6"/>
      </w:pPr>
      <w:r>
        <w:rPr>
          <w:lang w:val="en-GB"/>
        </w:rPr>
        <w:br w:type="page"/>
      </w:r>
      <w:r w:rsidR="007452AA" w:rsidRPr="00BC7E8D">
        <w:lastRenderedPageBreak/>
        <w:t>Program 7.3: Native Title and Land Rights</w:t>
      </w:r>
    </w:p>
    <w:p w:rsidR="007237B9" w:rsidRDefault="007237B9" w:rsidP="005518E4">
      <w:pPr>
        <w:pStyle w:val="SinglePara"/>
        <w:rPr>
          <w:lang w:val="en-GB"/>
        </w:rPr>
      </w:pPr>
    </w:p>
    <w:p w:rsidR="007237B9" w:rsidRDefault="007237B9" w:rsidP="007A746D">
      <w:pPr>
        <w:pStyle w:val="Heading7"/>
      </w:pPr>
      <w:r>
        <w:t xml:space="preserve">Program 7.3 </w:t>
      </w:r>
      <w:r w:rsidR="00330236">
        <w:t>o</w:t>
      </w:r>
      <w:r>
        <w:t>bjective</w:t>
      </w:r>
    </w:p>
    <w:p w:rsidR="007237B9" w:rsidRDefault="007237B9" w:rsidP="007237B9">
      <w:pPr>
        <w:pStyle w:val="NormalBox"/>
      </w:pPr>
      <w:r>
        <w:t>To support Indigenous rights to land recognised or provided through Commonwealth land rights legislation and facilitate the representation and assistance of native title claimants and holders in the pursuit and exercise of native title rights.</w:t>
      </w:r>
    </w:p>
    <w:p w:rsidR="0024453B" w:rsidRPr="0024453B" w:rsidRDefault="0024453B" w:rsidP="0024453B">
      <w:pPr>
        <w:pStyle w:val="NormalBox"/>
      </w:pPr>
      <w:r>
        <w:t>The formal recognition and exercise of native title rights can contribute to closing the gap for affected communities by facilitating greater economic and social participation.</w:t>
      </w:r>
    </w:p>
    <w:p w:rsidR="007237B9" w:rsidRDefault="007237B9" w:rsidP="007A746D">
      <w:pPr>
        <w:pStyle w:val="Heading7"/>
      </w:pPr>
      <w:r>
        <w:t xml:space="preserve">Program </w:t>
      </w:r>
      <w:r w:rsidR="00330236">
        <w:t>component objectives</w:t>
      </w:r>
    </w:p>
    <w:p w:rsidR="007237B9" w:rsidRDefault="007237B9" w:rsidP="007A746D">
      <w:pPr>
        <w:pStyle w:val="Heading8"/>
      </w:pPr>
      <w:r>
        <w:t>Native Title</w:t>
      </w:r>
    </w:p>
    <w:p w:rsidR="007237B9" w:rsidRDefault="007237B9" w:rsidP="007237B9">
      <w:pPr>
        <w:pStyle w:val="NormalBox"/>
      </w:pPr>
      <w:r>
        <w:t>To provide representation and assistance for native title holders and claimants in their efforts to gain formal recognition of native title rights and in the exercise of those rights, through a network of funded native title representative bodies and native title service providers.</w:t>
      </w:r>
    </w:p>
    <w:p w:rsidR="007237B9" w:rsidRDefault="007237B9" w:rsidP="007A746D">
      <w:pPr>
        <w:pStyle w:val="Heading8"/>
      </w:pPr>
      <w:r>
        <w:t>Land Rights</w:t>
      </w:r>
    </w:p>
    <w:p w:rsidR="007237B9" w:rsidRDefault="007237B9" w:rsidP="007237B9">
      <w:pPr>
        <w:pStyle w:val="NormalBox"/>
        <w:pBdr>
          <w:between w:val="single" w:sz="2" w:space="3" w:color="auto"/>
        </w:pBdr>
      </w:pPr>
      <w:r>
        <w:t>To support Indigenous rights to land recognised or provided for through Commonwealth land rights legislation.</w:t>
      </w:r>
    </w:p>
    <w:p w:rsidR="007237B9" w:rsidRPr="007237B9" w:rsidRDefault="007237B9" w:rsidP="007237B9">
      <w:pPr>
        <w:pStyle w:val="NormalBox"/>
        <w:pBdr>
          <w:between w:val="single" w:sz="2" w:space="3" w:color="auto"/>
        </w:pBdr>
      </w:pPr>
      <w:proofErr w:type="gramStart"/>
      <w:r>
        <w:t xml:space="preserve">Linked to: </w:t>
      </w:r>
      <w:r w:rsidR="00025F50">
        <w:t xml:space="preserve">For other </w:t>
      </w:r>
      <w:r>
        <w:t xml:space="preserve">Commonwealth expenditure on the native title system </w:t>
      </w:r>
      <w:r w:rsidR="002F54DE">
        <w:t>refer to AGD’s</w:t>
      </w:r>
      <w:r>
        <w:t xml:space="preserve"> 2013</w:t>
      </w:r>
      <w:r w:rsidR="003549DF">
        <w:t>–</w:t>
      </w:r>
      <w:r>
        <w:t>14 PB Statements.</w:t>
      </w:r>
      <w:proofErr w:type="gramEnd"/>
    </w:p>
    <w:p w:rsidR="007237B9" w:rsidRDefault="007A746D" w:rsidP="007A746D">
      <w:pPr>
        <w:pStyle w:val="Heading7"/>
      </w:pPr>
      <w:r>
        <w:br w:type="page"/>
      </w:r>
      <w:r w:rsidR="007237B9">
        <w:lastRenderedPageBreak/>
        <w:t xml:space="preserve">Program 7.3 </w:t>
      </w:r>
      <w:r w:rsidR="00330236">
        <w:t>e</w:t>
      </w:r>
      <w:r w:rsidR="007237B9">
        <w:t>xpenses</w:t>
      </w:r>
    </w:p>
    <w:p w:rsidR="00293295" w:rsidRPr="00704365" w:rsidRDefault="00603D17" w:rsidP="00293295">
      <w:pPr>
        <w:pStyle w:val="NormalBox"/>
      </w:pPr>
      <w:r w:rsidRPr="00603D17">
        <w:t>The increase in program expenses across the forward years reflects projected changes in indexation parameters and the impact of policy initiatives.</w:t>
      </w:r>
    </w:p>
    <w:p w:rsidR="007452AA" w:rsidRPr="007237B9" w:rsidRDefault="007237B9" w:rsidP="007237B9">
      <w:pPr>
        <w:pStyle w:val="TableHeading"/>
      </w:pPr>
      <w:r w:rsidRPr="007237B9">
        <w:t>Table 2.</w:t>
      </w:r>
      <w:r w:rsidR="007452AA" w:rsidRPr="007237B9">
        <w:t xml:space="preserve">7.3: </w:t>
      </w:r>
      <w:r>
        <w:t xml:space="preserve">Budgeted </w:t>
      </w:r>
      <w:r w:rsidR="00330236">
        <w:t>e</w:t>
      </w:r>
      <w:r>
        <w:t>xpenses for Native Title and Land Rights</w:t>
      </w:r>
      <w:r w:rsidR="00C249F9" w:rsidRPr="007237B9">
        <w:t xml:space="preserve"> </w:t>
      </w:r>
    </w:p>
    <w:p w:rsidR="002649AE" w:rsidRPr="002649AE" w:rsidRDefault="00060D08" w:rsidP="00060D08">
      <w:pPr>
        <w:pStyle w:val="TableGraphic"/>
      </w:pPr>
      <w:r>
        <w:rPr>
          <w:noProof/>
        </w:rPr>
        <w:drawing>
          <wp:inline distT="0" distB="0" distL="0" distR="0" wp14:anchorId="12389B6F" wp14:editId="20AFB416">
            <wp:extent cx="4878705" cy="2035171"/>
            <wp:effectExtent l="0" t="0" r="0" b="3810"/>
            <wp:docPr id="179" name="Picture 179" descr="Table 2.7.3: Budgeted expenses for Native Title and Land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78705" cy="2035171"/>
                    </a:xfrm>
                    <a:prstGeom prst="rect">
                      <a:avLst/>
                    </a:prstGeom>
                    <a:noFill/>
                    <a:ln>
                      <a:noFill/>
                    </a:ln>
                  </pic:spPr>
                </pic:pic>
              </a:graphicData>
            </a:graphic>
          </wp:inline>
        </w:drawing>
      </w:r>
    </w:p>
    <w:p w:rsidR="007452AA" w:rsidRDefault="007452AA" w:rsidP="007A746D">
      <w:pPr>
        <w:pStyle w:val="Heading7"/>
      </w:pPr>
      <w:r w:rsidRPr="00C44531">
        <w:t xml:space="preserve">Program </w:t>
      </w:r>
      <w:r w:rsidR="00C249F9">
        <w:t xml:space="preserve">7.3 </w:t>
      </w:r>
      <w:r w:rsidR="00330236">
        <w:t>d</w:t>
      </w:r>
      <w:r w:rsidR="00C249F9" w:rsidRPr="00A227B3">
        <w:t>eliverables</w:t>
      </w:r>
      <w:r w:rsidR="00C249F9" w:rsidRPr="00C44531">
        <w:t xml:space="preserve"> </w:t>
      </w:r>
    </w:p>
    <w:p w:rsidR="007237B9" w:rsidRPr="007237B9" w:rsidRDefault="007237B9" w:rsidP="007237B9">
      <w:pPr>
        <w:pStyle w:val="NormalBox"/>
      </w:pPr>
      <w:r w:rsidRPr="007237B9">
        <w:t>Deliverables cannot be forecast over the forward years as services under this program are demand driven, and completion rates are determined in a complex interaction with other stakeholders, often with conflicting interests</w:t>
      </w:r>
      <w:r w:rsidR="00A31B87">
        <w:t>.</w:t>
      </w:r>
    </w:p>
    <w:p w:rsidR="007452AA" w:rsidRPr="00C44531" w:rsidRDefault="007452AA" w:rsidP="003A485D">
      <w:pPr>
        <w:pStyle w:val="SinglePara"/>
        <w:rPr>
          <w:lang w:val="en-GB"/>
        </w:rPr>
      </w:pPr>
    </w:p>
    <w:p w:rsidR="007452AA" w:rsidRDefault="007452AA" w:rsidP="007A746D">
      <w:pPr>
        <w:pStyle w:val="Heading7"/>
      </w:pPr>
      <w:r w:rsidRPr="00C44531">
        <w:t xml:space="preserve">Program </w:t>
      </w:r>
      <w:r w:rsidR="00C249F9">
        <w:t xml:space="preserve">7.3 </w:t>
      </w:r>
      <w:r w:rsidR="00330236">
        <w:t>key performance i</w:t>
      </w:r>
      <w:r w:rsidR="00330236" w:rsidRPr="00C44531">
        <w:t xml:space="preserve">ndicators </w:t>
      </w:r>
    </w:p>
    <w:p w:rsidR="007237B9" w:rsidRPr="00BF3EEB" w:rsidRDefault="007237B9" w:rsidP="007A746D">
      <w:pPr>
        <w:pStyle w:val="Heading8"/>
      </w:pPr>
      <w:r w:rsidRPr="00BF3EEB">
        <w:t>Native Title</w:t>
      </w:r>
    </w:p>
    <w:p w:rsidR="007237B9" w:rsidRDefault="007237B9" w:rsidP="007237B9">
      <w:pPr>
        <w:pStyle w:val="BulletBox"/>
      </w:pPr>
      <w:r>
        <w:t xml:space="preserve">Proportion of native title claims </w:t>
      </w:r>
      <w:r w:rsidR="002E45C0">
        <w:t>assisted</w:t>
      </w:r>
    </w:p>
    <w:p w:rsidR="007237B9" w:rsidRDefault="007237B9" w:rsidP="007237B9">
      <w:pPr>
        <w:pStyle w:val="BulletBox"/>
      </w:pPr>
      <w:r>
        <w:t>Proportion of native title claims concluded</w:t>
      </w:r>
    </w:p>
    <w:p w:rsidR="007237B9" w:rsidRPr="007237B9" w:rsidRDefault="007237B9" w:rsidP="007237B9">
      <w:pPr>
        <w:pStyle w:val="BulletBox"/>
      </w:pPr>
      <w:r>
        <w:t>Number of future act agreements concluded</w:t>
      </w:r>
    </w:p>
    <w:p w:rsidR="007452AA" w:rsidRPr="00C44531" w:rsidRDefault="007A746D" w:rsidP="007A746D">
      <w:pPr>
        <w:pStyle w:val="Heading6"/>
      </w:pPr>
      <w:r>
        <w:rPr>
          <w:lang w:val="en-GB"/>
        </w:rPr>
        <w:br w:type="page"/>
      </w:r>
      <w:r w:rsidR="007452AA" w:rsidRPr="00BC7E8D">
        <w:lastRenderedPageBreak/>
        <w:t>Program 7.4: Indigenous Capability and Development</w:t>
      </w:r>
    </w:p>
    <w:p w:rsidR="007452AA" w:rsidRDefault="007452AA" w:rsidP="005518E4">
      <w:pPr>
        <w:pStyle w:val="SinglePara"/>
        <w:rPr>
          <w:lang w:val="en-GB"/>
        </w:rPr>
      </w:pPr>
    </w:p>
    <w:p w:rsidR="00D70EF6" w:rsidRDefault="00D70EF6" w:rsidP="007A746D">
      <w:pPr>
        <w:pStyle w:val="Heading7"/>
      </w:pPr>
      <w:r>
        <w:t xml:space="preserve">Program 7.4 </w:t>
      </w:r>
      <w:r w:rsidR="00330236">
        <w:t>o</w:t>
      </w:r>
      <w:r>
        <w:t>bjective</w:t>
      </w:r>
    </w:p>
    <w:p w:rsidR="00D70EF6" w:rsidRDefault="00D70EF6" w:rsidP="00D70EF6">
      <w:pPr>
        <w:pStyle w:val="NormalBox"/>
      </w:pPr>
      <w:proofErr w:type="gramStart"/>
      <w:r>
        <w:t>To provide support for individuals, families and communities to improve wellbeing, capability and governance.</w:t>
      </w:r>
      <w:proofErr w:type="gramEnd"/>
    </w:p>
    <w:p w:rsidR="00D70EF6" w:rsidRDefault="00D70EF6" w:rsidP="007A746D">
      <w:pPr>
        <w:pStyle w:val="Heading7"/>
      </w:pPr>
      <w:r>
        <w:t xml:space="preserve">Program </w:t>
      </w:r>
      <w:r w:rsidR="00330236">
        <w:t>component o</w:t>
      </w:r>
      <w:r>
        <w:t>bjectives</w:t>
      </w:r>
    </w:p>
    <w:p w:rsidR="00D70EF6" w:rsidRDefault="00D70EF6" w:rsidP="007A746D">
      <w:pPr>
        <w:pStyle w:val="Heading8"/>
      </w:pPr>
      <w:r>
        <w:t>Aboriginal and Torres Strait Islander Land Account</w:t>
      </w:r>
    </w:p>
    <w:p w:rsidR="00D70EF6" w:rsidRDefault="00D70EF6" w:rsidP="00D70EF6">
      <w:pPr>
        <w:pStyle w:val="NormalBox"/>
      </w:pPr>
      <w:r>
        <w:t xml:space="preserve">To provide a secure and </w:t>
      </w:r>
      <w:proofErr w:type="spellStart"/>
      <w:r>
        <w:t>ongoing</w:t>
      </w:r>
      <w:proofErr w:type="spellEnd"/>
      <w:r>
        <w:t xml:space="preserve"> source of funds to the Indigenous Land Corporation in perpetuity to provide economic, environmental, social and cultural benefits for Aboriginal people and Torres Strait Islanders by assisting in the acquisition and management of land. From 1 July 2010, the Indigenous Land Corporation was provided a minimum guaranteed annual payment of $45 million indexed each year by the consumer price index.</w:t>
      </w:r>
    </w:p>
    <w:p w:rsidR="00D70EF6" w:rsidRDefault="00D70EF6" w:rsidP="007A746D">
      <w:pPr>
        <w:pStyle w:val="Heading8"/>
      </w:pPr>
      <w:r>
        <w:t>Aboriginals Benefit Account (Special Appropriation)</w:t>
      </w:r>
    </w:p>
    <w:p w:rsidR="00D70EF6" w:rsidRDefault="00D70EF6" w:rsidP="00D70EF6">
      <w:pPr>
        <w:pStyle w:val="NormalBox"/>
      </w:pPr>
      <w:r>
        <w:t xml:space="preserve">To administer statutory royalty equivalent monies calculated from royalties paid to Government from mining on Aboriginal land in the Northern Territory under the </w:t>
      </w:r>
      <w:r w:rsidRPr="00D70EF6">
        <w:rPr>
          <w:i/>
        </w:rPr>
        <w:t>Aboriginal Land Rights (Northern Territory) Act 1976</w:t>
      </w:r>
      <w:r>
        <w:t>, consistent with the FMA Act. The Aboriginals Benefit Account (ABA) funds are held in trust and distributed for the benefit of Aboriginal people living in the Northern Territory. Funds are distributed to the four Northern Territory land councils for administrative purposes; to royalty associations for areas affected by mining; to the Office of Township Leasing for administration costs and rental payments associated with township leases; as grants for the benefit of Aboriginal people living in the Northern Territory; and to meet expenses associated with administering the ABA.</w:t>
      </w:r>
    </w:p>
    <w:p w:rsidR="00D70EF6" w:rsidRDefault="00D70EF6" w:rsidP="007A746D">
      <w:pPr>
        <w:pStyle w:val="Heading8"/>
      </w:pPr>
      <w:r>
        <w:t>Flexible Funding</w:t>
      </w:r>
    </w:p>
    <w:p w:rsidR="00D70EF6" w:rsidRDefault="00D70EF6" w:rsidP="00D70EF6">
      <w:pPr>
        <w:pStyle w:val="NormalBox"/>
      </w:pPr>
      <w:r>
        <w:t xml:space="preserve">To address priority needs through flexible funding for strategic investments, including community projects in Remote Service Delivery National Partnership Agreement priority </w:t>
      </w:r>
      <w:r w:rsidR="008F50DA">
        <w:t xml:space="preserve">locations </w:t>
      </w:r>
      <w:r>
        <w:t>and elsewhere.</w:t>
      </w:r>
    </w:p>
    <w:p w:rsidR="00D70EF6" w:rsidRDefault="00D70EF6" w:rsidP="007A746D">
      <w:pPr>
        <w:pStyle w:val="Heading8"/>
      </w:pPr>
      <w:r>
        <w:t>Breaking the Cycle of Alcohol and Drug Abuse in In</w:t>
      </w:r>
      <w:r w:rsidR="002E45C0">
        <w:t>digenous Communities a</w:t>
      </w:r>
      <w:r>
        <w:t>ctivity</w:t>
      </w:r>
    </w:p>
    <w:p w:rsidR="00D70EF6" w:rsidRDefault="00D70EF6" w:rsidP="00D70EF6">
      <w:pPr>
        <w:pStyle w:val="NormalBox"/>
      </w:pPr>
      <w:r>
        <w:t>Under the Breaking the Cycle of Alcohol and Drug A</w:t>
      </w:r>
      <w:r w:rsidR="002E45C0">
        <w:t>buse in Indigenous Communities a</w:t>
      </w:r>
      <w:r>
        <w:t xml:space="preserve">ctivity, the Government has committed $20 million over three years (2011–12 to </w:t>
      </w:r>
      <w:r w:rsidR="00330236">
        <w:br/>
      </w:r>
      <w:r>
        <w:t>2013</w:t>
      </w:r>
      <w:r w:rsidR="003549DF">
        <w:t>–</w:t>
      </w:r>
      <w:r>
        <w:t>14) to assist a number of communities in remote</w:t>
      </w:r>
      <w:r w:rsidR="00767D03">
        <w:t xml:space="preserve"> and</w:t>
      </w:r>
      <w:r>
        <w:t xml:space="preserve"> regional areas address alcohol and substance misuse issues through the development and implementation of </w:t>
      </w:r>
      <w:r w:rsidR="002E45C0">
        <w:t xml:space="preserve">Community </w:t>
      </w:r>
      <w:r>
        <w:t>Alcohol and Substance Abuse Management Plans.</w:t>
      </w:r>
      <w:r w:rsidRPr="00D70EF6">
        <w:t xml:space="preserve"> </w:t>
      </w:r>
    </w:p>
    <w:p w:rsidR="00D70EF6" w:rsidRPr="00D70EF6" w:rsidRDefault="00D70EF6" w:rsidP="007A746D">
      <w:pPr>
        <w:pStyle w:val="Heading8"/>
      </w:pPr>
      <w:r>
        <w:t>Ranger Agreement</w:t>
      </w:r>
    </w:p>
    <w:p w:rsidR="00D70EF6" w:rsidRDefault="00D70EF6" w:rsidP="002E45C0">
      <w:pPr>
        <w:pStyle w:val="NormalBox"/>
      </w:pPr>
      <w:proofErr w:type="gramStart"/>
      <w:r>
        <w:t>To make payments to the Northern Land Council as a form of rental to ensure access to the Ranger Project area for the purposes of mining.</w:t>
      </w:r>
      <w:proofErr w:type="gramEnd"/>
    </w:p>
    <w:p w:rsidR="006A13E8" w:rsidRPr="00D70EF6" w:rsidRDefault="006A13E8" w:rsidP="007A746D">
      <w:pPr>
        <w:pStyle w:val="Heading7"/>
      </w:pPr>
      <w:r>
        <w:br w:type="page"/>
      </w:r>
      <w:r w:rsidRPr="00D70EF6">
        <w:lastRenderedPageBreak/>
        <w:t xml:space="preserve">Program </w:t>
      </w:r>
      <w:r w:rsidR="00330236" w:rsidRPr="00D70EF6">
        <w:t xml:space="preserve">component objectives </w:t>
      </w:r>
      <w:r w:rsidRPr="00D70EF6">
        <w:t>(continued)</w:t>
      </w:r>
    </w:p>
    <w:p w:rsidR="002E45C0" w:rsidRDefault="002E45C0" w:rsidP="007A746D">
      <w:pPr>
        <w:pStyle w:val="Heading8"/>
      </w:pPr>
      <w:r>
        <w:t>Reconciliation Australia</w:t>
      </w:r>
    </w:p>
    <w:p w:rsidR="002E45C0" w:rsidRDefault="002E45C0" w:rsidP="002E45C0">
      <w:pPr>
        <w:pStyle w:val="NormalBox"/>
      </w:pPr>
      <w:r w:rsidRPr="002E45C0">
        <w:t>Reconciliation Australia is funded to raise awareness of the need for reconciliation among individuals, organisations and communities and in particular to improve relationships between Indigenous and non-Indigenous Australians, building respect, trust and opportunities to reduce disadvantage.</w:t>
      </w:r>
    </w:p>
    <w:p w:rsidR="002E45C0" w:rsidRDefault="002E45C0" w:rsidP="007A746D">
      <w:pPr>
        <w:pStyle w:val="Heading8"/>
      </w:pPr>
      <w:r>
        <w:t>Support for Constitutional Recognition of Indigenous Australians</w:t>
      </w:r>
    </w:p>
    <w:p w:rsidR="002E45C0" w:rsidRDefault="002E45C0" w:rsidP="002E45C0">
      <w:pPr>
        <w:pStyle w:val="NormalBox"/>
      </w:pPr>
      <w:r w:rsidRPr="002E45C0">
        <w:t>Reconciliation Australia is being funded to build public awareness and community support for the recognition of Aboriginal and Torres Strait Islander peoples in the Constitution. Guided by a reference group of several former Expert Panel members and business and community groups, it is supporting community groups and a range of other activities aimed at increasing public awareness and support for constitutional recognition.</w:t>
      </w:r>
    </w:p>
    <w:p w:rsidR="002E45C0" w:rsidRPr="002E45C0" w:rsidRDefault="002E45C0" w:rsidP="007A746D">
      <w:pPr>
        <w:pStyle w:val="Heading8"/>
      </w:pPr>
      <w:r w:rsidRPr="002E45C0">
        <w:t xml:space="preserve">National Congress of Australia’s First </w:t>
      </w:r>
      <w:r w:rsidR="005676D1">
        <w:t>P</w:t>
      </w:r>
      <w:r w:rsidRPr="002E45C0">
        <w:t>eople</w:t>
      </w:r>
      <w:r w:rsidR="005676D1">
        <w:t>s</w:t>
      </w:r>
    </w:p>
    <w:p w:rsidR="002E45C0" w:rsidRPr="002E45C0" w:rsidRDefault="002E45C0" w:rsidP="002E45C0">
      <w:pPr>
        <w:pStyle w:val="NormalBox"/>
      </w:pPr>
      <w:r w:rsidRPr="002E45C0">
        <w:t>The Australian Government supports the National Congress of Australia’s First Peoples to provide a national voice for Aboriginal and Torres Strait Islander peoples in matters of strategic importance to Indigenous peoples in Australia.</w:t>
      </w:r>
    </w:p>
    <w:p w:rsidR="002E45C0" w:rsidRPr="002E45C0" w:rsidRDefault="002E45C0" w:rsidP="007A746D">
      <w:pPr>
        <w:pStyle w:val="Heading8"/>
      </w:pPr>
      <w:r w:rsidRPr="002E45C0">
        <w:t>Indigenous Capability and Development</w:t>
      </w:r>
    </w:p>
    <w:p w:rsidR="002E45C0" w:rsidRPr="002E45C0" w:rsidRDefault="002E45C0" w:rsidP="002E45C0">
      <w:pPr>
        <w:pStyle w:val="NormalBox"/>
      </w:pPr>
      <w:r w:rsidRPr="002E45C0">
        <w:t>To deliver services that support Indigenous individuals, families and communities to improve their wellbeing and engagement with government, with a focus on leadership, capacity building and promoting Indigenous culture and knowledge, and to provide funding for independent organisations that deliver similar functions.</w:t>
      </w:r>
    </w:p>
    <w:p w:rsidR="00D70EF6" w:rsidRDefault="00D70EF6" w:rsidP="00BC7C6B">
      <w:pPr>
        <w:pStyle w:val="Heading8"/>
      </w:pPr>
      <w:r>
        <w:t>Registrar of Indigenous Corporations</w:t>
      </w:r>
    </w:p>
    <w:p w:rsidR="00D70EF6" w:rsidRDefault="00D70EF6" w:rsidP="00D70EF6">
      <w:pPr>
        <w:pStyle w:val="NormalBox"/>
        <w:pBdr>
          <w:between w:val="single" w:sz="2" w:space="3" w:color="auto"/>
        </w:pBdr>
      </w:pPr>
      <w:r>
        <w:t>To register, regulate and provide services that address the specific needs of Aboriginal and Torres Strait Islander corporations in improving their corporate governance.</w:t>
      </w:r>
    </w:p>
    <w:p w:rsidR="002F54DE" w:rsidRDefault="00D70EF6" w:rsidP="00D70EF6">
      <w:pPr>
        <w:pStyle w:val="NormalBox"/>
      </w:pPr>
      <w:r>
        <w:t xml:space="preserve">Linked to: </w:t>
      </w:r>
      <w:r w:rsidR="002F54DE">
        <w:t>DHA Program 1.3: Drug Strategy and Program 8.1: Aboriginal and Torres Strait Islander Health. For more information refer to DHA’s 2013–14 PB Statements.</w:t>
      </w:r>
    </w:p>
    <w:p w:rsidR="002F54DE" w:rsidRDefault="002F54DE" w:rsidP="00D70EF6">
      <w:pPr>
        <w:pStyle w:val="NormalBox"/>
      </w:pPr>
      <w:proofErr w:type="gramStart"/>
      <w:r>
        <w:t xml:space="preserve">Also linked to: </w:t>
      </w:r>
      <w:r w:rsidR="00D70EF6" w:rsidRPr="00140CF3">
        <w:t>The Indigenous Land Corporation</w:t>
      </w:r>
      <w:r>
        <w:t xml:space="preserve"> (ILC).</w:t>
      </w:r>
      <w:proofErr w:type="gramEnd"/>
      <w:r>
        <w:t xml:space="preserve"> For more information refer to the ILC Budget Statements presented in these PB Statements.</w:t>
      </w:r>
      <w:r w:rsidR="00D70EF6" w:rsidRPr="00140CF3">
        <w:t xml:space="preserve"> </w:t>
      </w:r>
    </w:p>
    <w:p w:rsidR="00D70EF6" w:rsidRDefault="002F54DE" w:rsidP="00E0479D">
      <w:pPr>
        <w:pStyle w:val="NormalBox"/>
      </w:pPr>
      <w:r>
        <w:t>Program 7.5: Stronger Futures in the Northern Territory.</w:t>
      </w:r>
    </w:p>
    <w:p w:rsidR="00BC7C6B" w:rsidRDefault="00BC7C6B" w:rsidP="00BC7C6B">
      <w:pPr>
        <w:rPr>
          <w:lang w:val="en-GB"/>
        </w:rPr>
      </w:pPr>
    </w:p>
    <w:p w:rsidR="00BC7C6B" w:rsidRPr="00BC7C6B" w:rsidRDefault="00BC7C6B" w:rsidP="00BC7C6B">
      <w:pPr>
        <w:rPr>
          <w:lang w:val="en-GB"/>
        </w:rPr>
      </w:pPr>
    </w:p>
    <w:p w:rsidR="00D70EF6" w:rsidRDefault="00D70EF6" w:rsidP="00BC7C6B">
      <w:pPr>
        <w:pStyle w:val="Heading7"/>
      </w:pPr>
      <w:r>
        <w:lastRenderedPageBreak/>
        <w:t xml:space="preserve">Program 7.4 </w:t>
      </w:r>
      <w:r w:rsidR="00330236" w:rsidRPr="00BC7C6B">
        <w:t>e</w:t>
      </w:r>
      <w:r w:rsidRPr="00BC7C6B">
        <w:t>xpenses</w:t>
      </w:r>
    </w:p>
    <w:p w:rsidR="00603D17" w:rsidRDefault="00603D17" w:rsidP="00603D17">
      <w:pPr>
        <w:pStyle w:val="NormalBox"/>
      </w:pPr>
      <w:r>
        <w:t>The changes in program expenses across the forward years reflect projected changes in indexation parameters and the impact of policy initiatives. The major policy initiatives affecting program estimates relate to</w:t>
      </w:r>
      <w:r w:rsidR="00BB4331">
        <w:t xml:space="preserve"> new</w:t>
      </w:r>
      <w:r>
        <w:t xml:space="preserve"> funding for Reconciliation Australia</w:t>
      </w:r>
      <w:r w:rsidR="00767D03">
        <w:t xml:space="preserve"> </w:t>
      </w:r>
      <w:r w:rsidR="0024453B">
        <w:t>and the National Aboriginal and Torres Strait Islander Representative Body</w:t>
      </w:r>
      <w:r w:rsidR="00FD4B30">
        <w:t>.</w:t>
      </w:r>
    </w:p>
    <w:p w:rsidR="00293295" w:rsidRPr="00704365" w:rsidRDefault="00603D17" w:rsidP="00603D17">
      <w:pPr>
        <w:pStyle w:val="NormalBox"/>
      </w:pPr>
      <w:r>
        <w:t xml:space="preserve">Variations in </w:t>
      </w:r>
      <w:r w:rsidR="00A31B87">
        <w:t>ABA</w:t>
      </w:r>
      <w:r>
        <w:t xml:space="preserve"> royalty equivalent revenue across the forward years are </w:t>
      </w:r>
      <w:r w:rsidR="00F47D90">
        <w:t>determined by</w:t>
      </w:r>
      <w:r>
        <w:t xml:space="preserve"> the taxable </w:t>
      </w:r>
      <w:r w:rsidR="00F47D90">
        <w:t xml:space="preserve">revenues </w:t>
      </w:r>
      <w:r>
        <w:t>recorded by individual mines</w:t>
      </w:r>
      <w:r w:rsidR="00F47D90">
        <w:t>, which are themselves influenced by variations in global commodity prices</w:t>
      </w:r>
      <w:r>
        <w:t>.</w:t>
      </w:r>
    </w:p>
    <w:p w:rsidR="007452AA" w:rsidRDefault="002F2820" w:rsidP="00A227B3">
      <w:pPr>
        <w:pStyle w:val="TableHeading"/>
        <w:rPr>
          <w:lang w:val="en-GB"/>
        </w:rPr>
      </w:pPr>
      <w:r>
        <w:rPr>
          <w:lang w:val="en-GB"/>
        </w:rPr>
        <w:br w:type="page"/>
      </w:r>
      <w:r w:rsidR="00D70EF6">
        <w:rPr>
          <w:lang w:val="en-GB"/>
        </w:rPr>
        <w:lastRenderedPageBreak/>
        <w:t>Table 2.</w:t>
      </w:r>
      <w:r w:rsidR="007452AA">
        <w:rPr>
          <w:lang w:val="en-GB"/>
        </w:rPr>
        <w:t>7.4:</w:t>
      </w:r>
      <w:r w:rsidR="007452AA" w:rsidRPr="00C44531">
        <w:t xml:space="preserve"> </w:t>
      </w:r>
      <w:r w:rsidR="00D70EF6">
        <w:rPr>
          <w:lang w:val="en-GB"/>
        </w:rPr>
        <w:t xml:space="preserve">Budgeted </w:t>
      </w:r>
      <w:r w:rsidR="00330236">
        <w:rPr>
          <w:lang w:val="en-GB"/>
        </w:rPr>
        <w:t>e</w:t>
      </w:r>
      <w:r w:rsidR="00D70EF6">
        <w:rPr>
          <w:lang w:val="en-GB"/>
        </w:rPr>
        <w:t>xpenses for Indigenous Capability</w:t>
      </w:r>
      <w:r w:rsidR="001F0E68">
        <w:rPr>
          <w:lang w:val="en-GB"/>
        </w:rPr>
        <w:t xml:space="preserve"> and</w:t>
      </w:r>
      <w:r w:rsidR="00D70EF6">
        <w:rPr>
          <w:lang w:val="en-GB"/>
        </w:rPr>
        <w:t xml:space="preserve"> Development</w:t>
      </w:r>
    </w:p>
    <w:p w:rsidR="00C37600" w:rsidRDefault="003B0256" w:rsidP="00C37600">
      <w:pPr>
        <w:pStyle w:val="TableGraphic"/>
        <w:rPr>
          <w:lang w:val="en-GB"/>
        </w:rPr>
      </w:pPr>
      <w:r>
        <w:rPr>
          <w:noProof/>
        </w:rPr>
        <w:drawing>
          <wp:inline distT="0" distB="0" distL="0" distR="0" wp14:anchorId="0F9C83C4" wp14:editId="0277AC88">
            <wp:extent cx="4878705" cy="5953352"/>
            <wp:effectExtent l="0" t="0" r="0" b="9525"/>
            <wp:docPr id="262" name="Picture 262" descr="Table 2.7.4: Budgeted expenses for Indigenous Capability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78705" cy="5953352"/>
                    </a:xfrm>
                    <a:prstGeom prst="rect">
                      <a:avLst/>
                    </a:prstGeom>
                    <a:noFill/>
                    <a:ln>
                      <a:noFill/>
                    </a:ln>
                  </pic:spPr>
                </pic:pic>
              </a:graphicData>
            </a:graphic>
          </wp:inline>
        </w:drawing>
      </w:r>
    </w:p>
    <w:p w:rsidR="007452AA" w:rsidRDefault="00BC7C6B" w:rsidP="00BC7C6B">
      <w:pPr>
        <w:pStyle w:val="Heading7"/>
      </w:pPr>
      <w:r>
        <w:br w:type="page"/>
      </w:r>
      <w:r w:rsidR="007452AA" w:rsidRPr="00C44531">
        <w:lastRenderedPageBreak/>
        <w:t xml:space="preserve">Program </w:t>
      </w:r>
      <w:r w:rsidR="00C249F9">
        <w:t xml:space="preserve">7.4 </w:t>
      </w:r>
      <w:r w:rsidR="00330236">
        <w:t>d</w:t>
      </w:r>
      <w:r w:rsidR="00C249F9" w:rsidRPr="00C44531">
        <w:t xml:space="preserve">eliverables </w:t>
      </w:r>
    </w:p>
    <w:p w:rsidR="006A13E8" w:rsidRPr="00BF3EEB" w:rsidRDefault="006A13E8" w:rsidP="00BC7C6B">
      <w:pPr>
        <w:pStyle w:val="Heading8"/>
      </w:pPr>
      <w:r w:rsidRPr="00BF3EEB">
        <w:t>Flexible Funding</w:t>
      </w:r>
    </w:p>
    <w:p w:rsidR="006A13E8" w:rsidRDefault="006A13E8" w:rsidP="006A13E8">
      <w:pPr>
        <w:pStyle w:val="BulletBox"/>
      </w:pPr>
      <w:r>
        <w:t>Number of flexible funding projects</w:t>
      </w:r>
    </w:p>
    <w:p w:rsidR="00D70EF6" w:rsidRPr="00BF3EEB" w:rsidRDefault="00D70EF6" w:rsidP="00BC7C6B">
      <w:pPr>
        <w:pStyle w:val="Heading8"/>
      </w:pPr>
      <w:r w:rsidRPr="00BF3EEB">
        <w:t>Indigenous Capability and Development</w:t>
      </w:r>
    </w:p>
    <w:p w:rsidR="00D70EF6" w:rsidRDefault="00D70EF6" w:rsidP="00A62136">
      <w:pPr>
        <w:pStyle w:val="BulletBox"/>
      </w:pPr>
      <w:r>
        <w:t>Number of Indigenous people who participated in supported leadership activities</w:t>
      </w:r>
    </w:p>
    <w:p w:rsidR="00D70EF6" w:rsidRDefault="00D70EF6" w:rsidP="00A62136">
      <w:pPr>
        <w:pStyle w:val="BulletBox"/>
      </w:pPr>
      <w:r>
        <w:t xml:space="preserve">Number of Indigenous leadership development activities </w:t>
      </w:r>
    </w:p>
    <w:p w:rsidR="00D70EF6" w:rsidRDefault="00D70EF6" w:rsidP="00BC7C6B">
      <w:pPr>
        <w:pStyle w:val="Heading8"/>
      </w:pPr>
      <w:r>
        <w:t>Registrar of Indigenous Corporations</w:t>
      </w:r>
    </w:p>
    <w:p w:rsidR="00430B3C" w:rsidRPr="00430B3C" w:rsidRDefault="00430B3C" w:rsidP="00430B3C">
      <w:pPr>
        <w:pStyle w:val="BulletBox"/>
      </w:pPr>
      <w:r w:rsidRPr="00430B3C">
        <w:t>Registration and reporting services for Aboriginal and Torres Strait Islander corporations</w:t>
      </w:r>
    </w:p>
    <w:p w:rsidR="00430B3C" w:rsidRPr="00430B3C" w:rsidRDefault="00430B3C" w:rsidP="00430B3C">
      <w:pPr>
        <w:pStyle w:val="BulletBox"/>
      </w:pPr>
      <w:r w:rsidRPr="00430B3C">
        <w:t>Public access to information about Aboriginal and Torres Strait Islander corporations</w:t>
      </w:r>
    </w:p>
    <w:p w:rsidR="00430B3C" w:rsidRPr="00430B3C" w:rsidRDefault="00430B3C" w:rsidP="00430B3C">
      <w:pPr>
        <w:pStyle w:val="BulletBox"/>
      </w:pPr>
      <w:r w:rsidRPr="00430B3C">
        <w:t>Support services provided to Aboriginal and Torres Strait Islander corporations</w:t>
      </w:r>
    </w:p>
    <w:p w:rsidR="00430B3C" w:rsidRPr="00430B3C" w:rsidRDefault="00430B3C" w:rsidP="00430B3C">
      <w:pPr>
        <w:pStyle w:val="BulletBox"/>
      </w:pPr>
      <w:r w:rsidRPr="00430B3C">
        <w:t>Regulatory program to improve corporate governance in Aboriginal and Torres Strait Islander corporations</w:t>
      </w:r>
    </w:p>
    <w:p w:rsidR="00430B3C" w:rsidRPr="00430B3C" w:rsidRDefault="00430B3C" w:rsidP="00430B3C">
      <w:pPr>
        <w:pStyle w:val="BulletBox"/>
      </w:pPr>
      <w:r w:rsidRPr="00430B3C">
        <w:t>Improve sector behaviour by investigating suspicious conduct and taking appropriate action</w:t>
      </w:r>
    </w:p>
    <w:p w:rsidR="007452AA" w:rsidRDefault="00A62136" w:rsidP="00A62136">
      <w:pPr>
        <w:pStyle w:val="TableHeading"/>
        <w:rPr>
          <w:lang w:val="en-GB"/>
        </w:rPr>
      </w:pPr>
      <w:r>
        <w:rPr>
          <w:lang w:val="en-GB"/>
        </w:rPr>
        <w:t xml:space="preserve">Indigenous Capability and Development </w:t>
      </w:r>
      <w:r w:rsidR="00330236">
        <w:rPr>
          <w:lang w:val="en-GB"/>
        </w:rPr>
        <w:t>deliverables targets</w:t>
      </w:r>
    </w:p>
    <w:tbl>
      <w:tblPr>
        <w:tblW w:w="7642" w:type="dxa"/>
        <w:tblInd w:w="28" w:type="dxa"/>
        <w:tblCellMar>
          <w:top w:w="17" w:type="dxa"/>
          <w:left w:w="28" w:type="dxa"/>
          <w:bottom w:w="17" w:type="dxa"/>
          <w:right w:w="28" w:type="dxa"/>
        </w:tblCellMar>
        <w:tblLook w:val="00A0" w:firstRow="1" w:lastRow="0" w:firstColumn="1" w:lastColumn="0" w:noHBand="0" w:noVBand="0"/>
        <w:tblDescription w:val="Indigenous Capability and Development deliverables targets"/>
      </w:tblPr>
      <w:tblGrid>
        <w:gridCol w:w="3107"/>
        <w:gridCol w:w="907"/>
        <w:gridCol w:w="907"/>
        <w:gridCol w:w="907"/>
        <w:gridCol w:w="907"/>
        <w:gridCol w:w="907"/>
      </w:tblGrid>
      <w:tr w:rsidR="00A62136" w:rsidRPr="00A62136" w:rsidTr="00483813">
        <w:trPr>
          <w:trHeight w:val="222"/>
        </w:trPr>
        <w:tc>
          <w:tcPr>
            <w:tcW w:w="3107" w:type="dxa"/>
            <w:tcBorders>
              <w:top w:val="single" w:sz="4" w:space="0" w:color="auto"/>
              <w:left w:val="nil"/>
              <w:bottom w:val="single" w:sz="4" w:space="0" w:color="auto"/>
              <w:right w:val="nil"/>
            </w:tcBorders>
          </w:tcPr>
          <w:p w:rsidR="00A62136" w:rsidRPr="00A62136" w:rsidRDefault="00A62136" w:rsidP="00A62136">
            <w:pPr>
              <w:spacing w:before="60" w:after="60" w:line="240" w:lineRule="auto"/>
              <w:jc w:val="left"/>
              <w:rPr>
                <w:rFonts w:ascii="Arial" w:hAnsi="Arial" w:cs="Arial"/>
                <w:b/>
                <w:bCs/>
                <w:sz w:val="16"/>
                <w:szCs w:val="16"/>
              </w:rPr>
            </w:pPr>
          </w:p>
        </w:tc>
        <w:tc>
          <w:tcPr>
            <w:tcW w:w="907" w:type="dxa"/>
            <w:tcBorders>
              <w:top w:val="single" w:sz="4" w:space="0" w:color="auto"/>
              <w:left w:val="nil"/>
              <w:bottom w:val="single" w:sz="4" w:space="0" w:color="auto"/>
              <w:right w:val="nil"/>
            </w:tcBorders>
            <w:shd w:val="clear" w:color="000000" w:fill="FFFFFF"/>
            <w:noWrap/>
          </w:tcPr>
          <w:p w:rsidR="00A62136" w:rsidRPr="00A62136" w:rsidRDefault="00A62136" w:rsidP="00C8767D">
            <w:pPr>
              <w:spacing w:before="60" w:after="60" w:line="240" w:lineRule="auto"/>
              <w:jc w:val="right"/>
              <w:rPr>
                <w:rFonts w:ascii="Arial" w:hAnsi="Arial" w:cs="Arial"/>
                <w:sz w:val="16"/>
                <w:szCs w:val="16"/>
              </w:rPr>
            </w:pPr>
            <w:r w:rsidRPr="00A62136">
              <w:rPr>
                <w:rFonts w:ascii="Arial" w:hAnsi="Arial" w:cs="Arial"/>
                <w:sz w:val="16"/>
                <w:szCs w:val="16"/>
              </w:rPr>
              <w:t>2012</w:t>
            </w:r>
            <w:r>
              <w:rPr>
                <w:rFonts w:ascii="Arial" w:hAnsi="Arial" w:cs="Arial"/>
                <w:sz w:val="16"/>
                <w:szCs w:val="16"/>
              </w:rPr>
              <w:t>–13</w:t>
            </w:r>
            <w:r w:rsidRPr="00A62136">
              <w:rPr>
                <w:rFonts w:ascii="Arial" w:hAnsi="Arial" w:cs="Arial"/>
                <w:sz w:val="16"/>
                <w:szCs w:val="16"/>
              </w:rPr>
              <w:t xml:space="preserve"> Revised </w:t>
            </w:r>
            <w:r w:rsidR="00330236" w:rsidRPr="00A62136">
              <w:rPr>
                <w:rFonts w:ascii="Arial" w:hAnsi="Arial" w:cs="Arial"/>
                <w:sz w:val="16"/>
                <w:szCs w:val="16"/>
              </w:rPr>
              <w:t>b</w:t>
            </w:r>
            <w:r w:rsidRPr="00A62136">
              <w:rPr>
                <w:rFonts w:ascii="Arial" w:hAnsi="Arial" w:cs="Arial"/>
                <w:sz w:val="16"/>
                <w:szCs w:val="16"/>
              </w:rPr>
              <w:t>udget</w:t>
            </w:r>
          </w:p>
        </w:tc>
        <w:tc>
          <w:tcPr>
            <w:tcW w:w="907" w:type="dxa"/>
            <w:tcBorders>
              <w:top w:val="single" w:sz="4" w:space="0" w:color="auto"/>
              <w:left w:val="nil"/>
              <w:bottom w:val="single" w:sz="4" w:space="0" w:color="auto"/>
              <w:right w:val="nil"/>
            </w:tcBorders>
            <w:shd w:val="clear" w:color="000000" w:fill="E6E6E6"/>
            <w:noWrap/>
          </w:tcPr>
          <w:p w:rsidR="00A62136" w:rsidRPr="00A62136" w:rsidRDefault="00A62136" w:rsidP="00C8767D">
            <w:pPr>
              <w:spacing w:before="60" w:after="60" w:line="240" w:lineRule="auto"/>
              <w:jc w:val="right"/>
              <w:rPr>
                <w:rFonts w:ascii="Arial" w:hAnsi="Arial" w:cs="Arial"/>
                <w:sz w:val="16"/>
                <w:szCs w:val="16"/>
              </w:rPr>
            </w:pPr>
            <w:r w:rsidRPr="00A62136">
              <w:rPr>
                <w:rFonts w:ascii="Arial" w:hAnsi="Arial" w:cs="Arial"/>
                <w:sz w:val="16"/>
                <w:szCs w:val="16"/>
              </w:rPr>
              <w:t>2013</w:t>
            </w:r>
            <w:r>
              <w:rPr>
                <w:rFonts w:ascii="Arial" w:hAnsi="Arial" w:cs="Arial"/>
                <w:sz w:val="16"/>
                <w:szCs w:val="16"/>
              </w:rPr>
              <w:t>–14</w:t>
            </w:r>
            <w:r w:rsidRPr="00A62136">
              <w:rPr>
                <w:rFonts w:ascii="Arial" w:hAnsi="Arial" w:cs="Arial"/>
                <w:sz w:val="16"/>
                <w:szCs w:val="16"/>
              </w:rPr>
              <w:t xml:space="preserve"> Budget</w:t>
            </w:r>
          </w:p>
        </w:tc>
        <w:tc>
          <w:tcPr>
            <w:tcW w:w="907" w:type="dxa"/>
            <w:tcBorders>
              <w:top w:val="single" w:sz="4" w:space="0" w:color="auto"/>
              <w:left w:val="nil"/>
              <w:bottom w:val="single" w:sz="4" w:space="0" w:color="auto"/>
              <w:right w:val="nil"/>
            </w:tcBorders>
            <w:shd w:val="clear" w:color="000000" w:fill="FFFFFF"/>
            <w:noWrap/>
          </w:tcPr>
          <w:p w:rsidR="00A62136" w:rsidRPr="00A62136" w:rsidRDefault="00A62136" w:rsidP="00C8767D">
            <w:pPr>
              <w:spacing w:before="60" w:after="60" w:line="240" w:lineRule="auto"/>
              <w:jc w:val="right"/>
              <w:rPr>
                <w:rFonts w:ascii="Arial" w:hAnsi="Arial" w:cs="Arial"/>
                <w:sz w:val="16"/>
                <w:szCs w:val="16"/>
              </w:rPr>
            </w:pPr>
            <w:r w:rsidRPr="00A62136">
              <w:rPr>
                <w:rFonts w:ascii="Arial" w:hAnsi="Arial" w:cs="Arial"/>
                <w:sz w:val="16"/>
                <w:szCs w:val="16"/>
              </w:rPr>
              <w:t>2014</w:t>
            </w:r>
            <w:r>
              <w:rPr>
                <w:rFonts w:ascii="Arial" w:hAnsi="Arial" w:cs="Arial"/>
                <w:sz w:val="16"/>
                <w:szCs w:val="16"/>
              </w:rPr>
              <w:t>–15</w:t>
            </w:r>
            <w:r w:rsidRPr="00A62136">
              <w:rPr>
                <w:rFonts w:ascii="Arial" w:hAnsi="Arial" w:cs="Arial"/>
                <w:sz w:val="16"/>
                <w:szCs w:val="16"/>
              </w:rPr>
              <w:t xml:space="preserve"> Forward year 1</w:t>
            </w:r>
          </w:p>
        </w:tc>
        <w:tc>
          <w:tcPr>
            <w:tcW w:w="907" w:type="dxa"/>
            <w:tcBorders>
              <w:top w:val="single" w:sz="4" w:space="0" w:color="auto"/>
              <w:left w:val="nil"/>
              <w:bottom w:val="single" w:sz="4" w:space="0" w:color="auto"/>
              <w:right w:val="nil"/>
            </w:tcBorders>
            <w:shd w:val="clear" w:color="000000" w:fill="FFFFFF"/>
            <w:noWrap/>
          </w:tcPr>
          <w:p w:rsidR="00A62136" w:rsidRPr="00A62136" w:rsidRDefault="00A62136" w:rsidP="00C8767D">
            <w:pPr>
              <w:spacing w:before="60" w:after="60" w:line="240" w:lineRule="auto"/>
              <w:jc w:val="right"/>
              <w:rPr>
                <w:rFonts w:ascii="Arial" w:hAnsi="Arial" w:cs="Arial"/>
                <w:sz w:val="16"/>
                <w:szCs w:val="16"/>
              </w:rPr>
            </w:pPr>
            <w:r w:rsidRPr="00A62136">
              <w:rPr>
                <w:rFonts w:ascii="Arial" w:hAnsi="Arial" w:cs="Arial"/>
                <w:sz w:val="16"/>
                <w:szCs w:val="16"/>
              </w:rPr>
              <w:t>2015</w:t>
            </w:r>
            <w:r>
              <w:rPr>
                <w:rFonts w:ascii="Arial" w:hAnsi="Arial" w:cs="Arial"/>
                <w:sz w:val="16"/>
                <w:szCs w:val="16"/>
              </w:rPr>
              <w:t>–16</w:t>
            </w:r>
            <w:r w:rsidRPr="00A62136">
              <w:rPr>
                <w:rFonts w:ascii="Arial" w:hAnsi="Arial" w:cs="Arial"/>
                <w:sz w:val="16"/>
                <w:szCs w:val="16"/>
              </w:rPr>
              <w:t xml:space="preserve"> Forward year 2</w:t>
            </w:r>
          </w:p>
        </w:tc>
        <w:tc>
          <w:tcPr>
            <w:tcW w:w="907" w:type="dxa"/>
            <w:tcBorders>
              <w:top w:val="single" w:sz="4" w:space="0" w:color="auto"/>
              <w:left w:val="nil"/>
              <w:bottom w:val="single" w:sz="4" w:space="0" w:color="auto"/>
              <w:right w:val="nil"/>
            </w:tcBorders>
            <w:shd w:val="clear" w:color="000000" w:fill="FFFFFF"/>
            <w:noWrap/>
          </w:tcPr>
          <w:p w:rsidR="00A62136" w:rsidRPr="00A62136" w:rsidRDefault="00A62136" w:rsidP="00CA75DC">
            <w:pPr>
              <w:spacing w:before="60" w:after="60" w:line="240" w:lineRule="auto"/>
              <w:jc w:val="right"/>
              <w:rPr>
                <w:rFonts w:ascii="Arial" w:hAnsi="Arial" w:cs="Arial"/>
                <w:sz w:val="16"/>
                <w:szCs w:val="16"/>
              </w:rPr>
            </w:pPr>
            <w:r>
              <w:rPr>
                <w:rFonts w:ascii="Arial" w:hAnsi="Arial" w:cs="Arial"/>
                <w:sz w:val="16"/>
                <w:szCs w:val="16"/>
              </w:rPr>
              <w:t>20</w:t>
            </w:r>
            <w:r w:rsidRPr="00A62136">
              <w:rPr>
                <w:rFonts w:ascii="Arial" w:hAnsi="Arial" w:cs="Arial"/>
                <w:sz w:val="16"/>
                <w:szCs w:val="16"/>
              </w:rPr>
              <w:t>16</w:t>
            </w:r>
            <w:r>
              <w:rPr>
                <w:rFonts w:ascii="Arial" w:hAnsi="Arial" w:cs="Arial"/>
                <w:sz w:val="16"/>
                <w:szCs w:val="16"/>
              </w:rPr>
              <w:t>–17</w:t>
            </w:r>
            <w:r w:rsidRPr="00A62136">
              <w:rPr>
                <w:rFonts w:ascii="Arial" w:hAnsi="Arial" w:cs="Arial"/>
                <w:sz w:val="16"/>
                <w:szCs w:val="16"/>
              </w:rPr>
              <w:t xml:space="preserve"> Forward year </w:t>
            </w:r>
            <w:r w:rsidR="00CA75DC">
              <w:rPr>
                <w:rFonts w:ascii="Arial" w:hAnsi="Arial" w:cs="Arial"/>
                <w:sz w:val="16"/>
                <w:szCs w:val="16"/>
              </w:rPr>
              <w:t>3</w:t>
            </w:r>
          </w:p>
        </w:tc>
      </w:tr>
      <w:tr w:rsidR="00A62136" w:rsidRPr="00A62136" w:rsidTr="001205C8">
        <w:trPr>
          <w:trHeight w:val="222"/>
        </w:trPr>
        <w:tc>
          <w:tcPr>
            <w:tcW w:w="3107" w:type="dxa"/>
            <w:tcBorders>
              <w:top w:val="nil"/>
              <w:left w:val="nil"/>
              <w:bottom w:val="single" w:sz="2" w:space="0" w:color="auto"/>
              <w:right w:val="nil"/>
            </w:tcBorders>
            <w:noWrap/>
            <w:vAlign w:val="bottom"/>
          </w:tcPr>
          <w:p w:rsidR="00A62136" w:rsidRPr="00A62136" w:rsidRDefault="00A62136" w:rsidP="001205C8">
            <w:pPr>
              <w:spacing w:before="60" w:after="0" w:line="240" w:lineRule="auto"/>
              <w:jc w:val="left"/>
              <w:rPr>
                <w:rFonts w:ascii="Arial" w:hAnsi="Arial" w:cs="Arial"/>
                <w:sz w:val="16"/>
                <w:szCs w:val="16"/>
              </w:rPr>
            </w:pPr>
            <w:r w:rsidRPr="00A62136">
              <w:rPr>
                <w:rFonts w:ascii="Arial" w:hAnsi="Arial" w:cs="Arial"/>
                <w:sz w:val="16"/>
                <w:szCs w:val="16"/>
              </w:rPr>
              <w:t>Number of Indigenous people who participated in supported leadership activities</w:t>
            </w:r>
          </w:p>
        </w:tc>
        <w:tc>
          <w:tcPr>
            <w:tcW w:w="907" w:type="dxa"/>
            <w:tcBorders>
              <w:top w:val="nil"/>
              <w:left w:val="nil"/>
              <w:bottom w:val="single" w:sz="2" w:space="0" w:color="auto"/>
              <w:right w:val="nil"/>
            </w:tcBorders>
            <w:vAlign w:val="bottom"/>
          </w:tcPr>
          <w:p w:rsidR="00A62136" w:rsidRPr="00A62136" w:rsidRDefault="00A62136" w:rsidP="001205C8">
            <w:pPr>
              <w:spacing w:after="0" w:line="240" w:lineRule="auto"/>
              <w:jc w:val="right"/>
              <w:rPr>
                <w:rFonts w:ascii="Arial" w:hAnsi="Arial" w:cs="Arial"/>
                <w:sz w:val="16"/>
                <w:szCs w:val="16"/>
              </w:rPr>
            </w:pPr>
            <w:r w:rsidRPr="00A62136">
              <w:rPr>
                <w:rFonts w:ascii="Arial" w:hAnsi="Arial" w:cs="Arial"/>
                <w:sz w:val="16"/>
                <w:szCs w:val="16"/>
              </w:rPr>
              <w:t>800</w:t>
            </w:r>
          </w:p>
        </w:tc>
        <w:tc>
          <w:tcPr>
            <w:tcW w:w="907" w:type="dxa"/>
            <w:tcBorders>
              <w:top w:val="nil"/>
              <w:left w:val="nil"/>
              <w:bottom w:val="single" w:sz="2" w:space="0" w:color="auto"/>
              <w:right w:val="nil"/>
            </w:tcBorders>
            <w:shd w:val="clear" w:color="000000" w:fill="E6E6E6"/>
            <w:vAlign w:val="bottom"/>
          </w:tcPr>
          <w:p w:rsidR="00A62136" w:rsidRPr="00A62136" w:rsidRDefault="00A62136" w:rsidP="001205C8">
            <w:pPr>
              <w:spacing w:after="0" w:line="240" w:lineRule="auto"/>
              <w:jc w:val="right"/>
              <w:rPr>
                <w:rFonts w:ascii="Arial" w:hAnsi="Arial" w:cs="Arial"/>
                <w:sz w:val="16"/>
                <w:szCs w:val="16"/>
              </w:rPr>
            </w:pPr>
            <w:r w:rsidRPr="00A62136">
              <w:rPr>
                <w:rFonts w:ascii="Arial" w:hAnsi="Arial" w:cs="Arial"/>
                <w:sz w:val="16"/>
                <w:szCs w:val="16"/>
              </w:rPr>
              <w:t>800</w:t>
            </w:r>
          </w:p>
        </w:tc>
        <w:tc>
          <w:tcPr>
            <w:tcW w:w="907" w:type="dxa"/>
            <w:tcBorders>
              <w:top w:val="nil"/>
              <w:left w:val="nil"/>
              <w:bottom w:val="single" w:sz="2" w:space="0" w:color="auto"/>
              <w:right w:val="nil"/>
            </w:tcBorders>
            <w:vAlign w:val="bottom"/>
          </w:tcPr>
          <w:p w:rsidR="00A62136" w:rsidRPr="00A62136" w:rsidRDefault="00A62136" w:rsidP="001205C8">
            <w:pPr>
              <w:spacing w:after="0" w:line="240" w:lineRule="auto"/>
              <w:jc w:val="right"/>
              <w:rPr>
                <w:rFonts w:ascii="Arial" w:hAnsi="Arial" w:cs="Arial"/>
                <w:sz w:val="16"/>
                <w:szCs w:val="16"/>
              </w:rPr>
            </w:pPr>
            <w:r w:rsidRPr="00A62136">
              <w:rPr>
                <w:rFonts w:ascii="Arial" w:hAnsi="Arial" w:cs="Arial"/>
                <w:sz w:val="16"/>
                <w:szCs w:val="16"/>
              </w:rPr>
              <w:t>800</w:t>
            </w:r>
          </w:p>
        </w:tc>
        <w:tc>
          <w:tcPr>
            <w:tcW w:w="907" w:type="dxa"/>
            <w:tcBorders>
              <w:top w:val="nil"/>
              <w:left w:val="nil"/>
              <w:bottom w:val="single" w:sz="2" w:space="0" w:color="auto"/>
              <w:right w:val="nil"/>
            </w:tcBorders>
            <w:vAlign w:val="bottom"/>
          </w:tcPr>
          <w:p w:rsidR="00A62136" w:rsidRPr="00A62136" w:rsidRDefault="00846F67" w:rsidP="001205C8">
            <w:pPr>
              <w:spacing w:after="0" w:line="240" w:lineRule="auto"/>
              <w:jc w:val="right"/>
              <w:rPr>
                <w:rFonts w:ascii="Arial" w:hAnsi="Arial" w:cs="Arial"/>
                <w:sz w:val="16"/>
                <w:szCs w:val="16"/>
              </w:rPr>
            </w:pPr>
            <w:r w:rsidRPr="00A62136">
              <w:rPr>
                <w:rFonts w:ascii="Arial" w:hAnsi="Arial" w:cs="Arial"/>
                <w:sz w:val="16"/>
                <w:szCs w:val="16"/>
              </w:rPr>
              <w:t>800</w:t>
            </w:r>
          </w:p>
        </w:tc>
        <w:tc>
          <w:tcPr>
            <w:tcW w:w="907" w:type="dxa"/>
            <w:tcBorders>
              <w:top w:val="nil"/>
              <w:left w:val="nil"/>
              <w:bottom w:val="single" w:sz="2" w:space="0" w:color="auto"/>
              <w:right w:val="nil"/>
            </w:tcBorders>
            <w:vAlign w:val="bottom"/>
          </w:tcPr>
          <w:p w:rsidR="00A62136" w:rsidRPr="00A62136" w:rsidRDefault="00846F67" w:rsidP="001205C8">
            <w:pPr>
              <w:spacing w:after="0" w:line="240" w:lineRule="auto"/>
              <w:jc w:val="right"/>
              <w:rPr>
                <w:rFonts w:ascii="Arial" w:hAnsi="Arial" w:cs="Arial"/>
                <w:sz w:val="16"/>
                <w:szCs w:val="16"/>
              </w:rPr>
            </w:pPr>
            <w:r w:rsidRPr="00A62136">
              <w:rPr>
                <w:rFonts w:ascii="Arial" w:hAnsi="Arial" w:cs="Arial"/>
                <w:sz w:val="16"/>
                <w:szCs w:val="16"/>
              </w:rPr>
              <w:t>800</w:t>
            </w:r>
          </w:p>
        </w:tc>
      </w:tr>
    </w:tbl>
    <w:p w:rsidR="009201CC" w:rsidRDefault="009201CC" w:rsidP="00DC71E6">
      <w:pPr>
        <w:rPr>
          <w:lang w:val="en-GB"/>
        </w:rPr>
      </w:pPr>
    </w:p>
    <w:p w:rsidR="007452AA" w:rsidRDefault="009201CC" w:rsidP="009201CC">
      <w:pPr>
        <w:pStyle w:val="Heading7"/>
      </w:pPr>
      <w:r>
        <w:br w:type="page"/>
      </w:r>
      <w:r w:rsidR="007452AA" w:rsidRPr="00C44531">
        <w:lastRenderedPageBreak/>
        <w:t xml:space="preserve">Program </w:t>
      </w:r>
      <w:r w:rsidR="00C249F9">
        <w:t xml:space="preserve">7.4 </w:t>
      </w:r>
      <w:r w:rsidR="00330236">
        <w:t>k</w:t>
      </w:r>
      <w:r w:rsidR="00330236" w:rsidRPr="00A227B3">
        <w:t>ey</w:t>
      </w:r>
      <w:r w:rsidR="00330236">
        <w:t xml:space="preserve"> performance i</w:t>
      </w:r>
      <w:r w:rsidR="00330236" w:rsidRPr="00C44531">
        <w:t xml:space="preserve">ndicators </w:t>
      </w:r>
    </w:p>
    <w:p w:rsidR="006A13E8" w:rsidRPr="00BF3EEB" w:rsidRDefault="006A13E8" w:rsidP="009201CC">
      <w:pPr>
        <w:pStyle w:val="Heading8"/>
      </w:pPr>
      <w:r w:rsidRPr="00BF3EEB">
        <w:t>Flexible Funding</w:t>
      </w:r>
    </w:p>
    <w:p w:rsidR="006A13E8" w:rsidRDefault="006A13E8" w:rsidP="006A13E8">
      <w:pPr>
        <w:pStyle w:val="BulletBox"/>
      </w:pPr>
      <w:r>
        <w:t>Percentage and number of flexible funding projects that have met specified project objectives</w:t>
      </w:r>
    </w:p>
    <w:p w:rsidR="006A13E8" w:rsidRPr="00BF3EEB" w:rsidRDefault="006A13E8" w:rsidP="009201CC">
      <w:pPr>
        <w:pStyle w:val="Heading8"/>
      </w:pPr>
      <w:r w:rsidRPr="00BF3EEB">
        <w:t xml:space="preserve">Breaking the Cycle </w:t>
      </w:r>
      <w:r w:rsidR="00330236">
        <w:t>a</w:t>
      </w:r>
      <w:r w:rsidRPr="00BF3EEB">
        <w:t xml:space="preserve">ctivity </w:t>
      </w:r>
    </w:p>
    <w:p w:rsidR="006A13E8" w:rsidRDefault="006A13E8" w:rsidP="006A13E8">
      <w:pPr>
        <w:pStyle w:val="BulletBox"/>
      </w:pPr>
      <w:r>
        <w:t xml:space="preserve">Number and type of services delivered to support </w:t>
      </w:r>
      <w:r w:rsidR="00E122E6">
        <w:t xml:space="preserve">Community </w:t>
      </w:r>
      <w:r>
        <w:t>Alcohol and Substance Abuse Plans</w:t>
      </w:r>
    </w:p>
    <w:p w:rsidR="006A13E8" w:rsidRPr="00A62136" w:rsidRDefault="006A13E8" w:rsidP="006A13E8">
      <w:pPr>
        <w:pStyle w:val="BulletBox"/>
      </w:pPr>
      <w:r>
        <w:t>Number of clients accessing these services</w:t>
      </w:r>
    </w:p>
    <w:p w:rsidR="00A62136" w:rsidRDefault="00A62136" w:rsidP="009201CC">
      <w:pPr>
        <w:pStyle w:val="Heading8"/>
      </w:pPr>
      <w:r>
        <w:t>Indigenous Capability and Development</w:t>
      </w:r>
    </w:p>
    <w:p w:rsidR="00A62136" w:rsidRDefault="00A62136" w:rsidP="00BF3EEB">
      <w:pPr>
        <w:pStyle w:val="BulletBox"/>
      </w:pPr>
      <w:r>
        <w:t xml:space="preserve">Percentage and number of participants in Indigenous leadership programs who reported that they benefited from increased knowledge, skills and capabilities gained from their </w:t>
      </w:r>
      <w:r w:rsidRPr="00BF3EEB">
        <w:t>participation</w:t>
      </w:r>
    </w:p>
    <w:p w:rsidR="00A62136" w:rsidRPr="00BF3EEB" w:rsidRDefault="00A62136" w:rsidP="009201CC">
      <w:pPr>
        <w:pStyle w:val="Heading8"/>
      </w:pPr>
      <w:r w:rsidRPr="00BF3EEB">
        <w:t>Registrar of Indigenous Corporations</w:t>
      </w:r>
    </w:p>
    <w:p w:rsidR="00CA663D" w:rsidRPr="00CA663D" w:rsidRDefault="00CA663D" w:rsidP="00CA663D">
      <w:pPr>
        <w:pStyle w:val="BulletBox"/>
      </w:pPr>
      <w:r w:rsidRPr="00CA663D">
        <w:t>Number of new corporations registered</w:t>
      </w:r>
    </w:p>
    <w:p w:rsidR="00CA663D" w:rsidRPr="00CA663D" w:rsidRDefault="00CA663D" w:rsidP="00CA663D">
      <w:pPr>
        <w:pStyle w:val="BulletBox"/>
      </w:pPr>
      <w:r w:rsidRPr="00CA663D">
        <w:t>Percentage and number of Aboriginal and Torres Strait Islander corporations that are compliant with reporting requirements</w:t>
      </w:r>
    </w:p>
    <w:p w:rsidR="00CA663D" w:rsidRPr="00CA663D" w:rsidRDefault="00CA663D" w:rsidP="00CA663D">
      <w:pPr>
        <w:pStyle w:val="BulletBox"/>
      </w:pPr>
      <w:r w:rsidRPr="00CA663D">
        <w:t xml:space="preserve">Number of online searches of the </w:t>
      </w:r>
      <w:r w:rsidR="00FF620C">
        <w:t>p</w:t>
      </w:r>
      <w:r w:rsidRPr="00CA663D">
        <w:t>ublic Register of Aboriginal and Torres Strait Islander corporations</w:t>
      </w:r>
    </w:p>
    <w:p w:rsidR="00CA663D" w:rsidRPr="00CA663D" w:rsidRDefault="00CA663D" w:rsidP="00CA663D">
      <w:pPr>
        <w:pStyle w:val="BulletBox"/>
      </w:pPr>
      <w:r w:rsidRPr="00CA663D">
        <w:t>Number of call centre enquiries answered</w:t>
      </w:r>
    </w:p>
    <w:p w:rsidR="00CA663D" w:rsidRPr="00CA663D" w:rsidRDefault="00CA663D" w:rsidP="00CA663D">
      <w:pPr>
        <w:pStyle w:val="BulletBox"/>
      </w:pPr>
      <w:r w:rsidRPr="00CA663D">
        <w:t>Number of participants and corporations in corporate governance training activities</w:t>
      </w:r>
    </w:p>
    <w:p w:rsidR="00CA663D" w:rsidRPr="00CA663D" w:rsidRDefault="00CA663D" w:rsidP="00CA663D">
      <w:pPr>
        <w:pStyle w:val="BulletBox"/>
      </w:pPr>
      <w:r w:rsidRPr="00CA663D">
        <w:t>Number of corporations provided with support services</w:t>
      </w:r>
    </w:p>
    <w:p w:rsidR="00CA663D" w:rsidRPr="00CA663D" w:rsidRDefault="00CA663D" w:rsidP="00CA663D">
      <w:pPr>
        <w:pStyle w:val="BulletBox"/>
      </w:pPr>
      <w:r w:rsidRPr="00CA663D">
        <w:t>Percentage and number of</w:t>
      </w:r>
      <w:r w:rsidR="00C425EC">
        <w:t xml:space="preserve"> </w:t>
      </w:r>
      <w:r w:rsidRPr="00CA663D">
        <w:t>corporations issued with section 439-20 notices that are compliant with notice requirements</w:t>
      </w:r>
    </w:p>
    <w:p w:rsidR="00CA663D" w:rsidRPr="00CA663D" w:rsidRDefault="00CA663D" w:rsidP="00CA663D">
      <w:pPr>
        <w:pStyle w:val="BulletBox"/>
      </w:pPr>
      <w:r w:rsidRPr="00CA663D">
        <w:t>Percentage and number of special administrations with successful outcomes</w:t>
      </w:r>
    </w:p>
    <w:p w:rsidR="00CA663D" w:rsidRPr="00CA663D" w:rsidRDefault="00CA663D" w:rsidP="00CA663D">
      <w:pPr>
        <w:pStyle w:val="BulletBox"/>
      </w:pPr>
      <w:r w:rsidRPr="00CA663D">
        <w:t xml:space="preserve">Number of </w:t>
      </w:r>
      <w:r w:rsidR="00FF620C">
        <w:t>briefs of evidence</w:t>
      </w:r>
      <w:r w:rsidRPr="00CA663D">
        <w:t xml:space="preserve"> referred to the Commonwealth Director of Public Prosecutions</w:t>
      </w:r>
    </w:p>
    <w:p w:rsidR="00CA663D" w:rsidRPr="00CA663D" w:rsidRDefault="00CA663D" w:rsidP="00CA663D">
      <w:pPr>
        <w:pStyle w:val="BulletBox"/>
      </w:pPr>
      <w:r w:rsidRPr="00CA663D">
        <w:t>Number of directors disqualified or removed from managing corporations</w:t>
      </w:r>
    </w:p>
    <w:p w:rsidR="007452AA" w:rsidRPr="00C44531" w:rsidRDefault="009201CC" w:rsidP="009201CC">
      <w:pPr>
        <w:pStyle w:val="Heading6"/>
      </w:pPr>
      <w:r>
        <w:rPr>
          <w:lang w:val="en-GB"/>
        </w:rPr>
        <w:br w:type="page"/>
      </w:r>
      <w:r w:rsidR="007452AA" w:rsidRPr="00BC7E8D">
        <w:lastRenderedPageBreak/>
        <w:t xml:space="preserve">Program 7.5: </w:t>
      </w:r>
      <w:r w:rsidR="00B208E4">
        <w:t>Stronger Futures in the Northern Territory</w:t>
      </w:r>
    </w:p>
    <w:p w:rsidR="007452AA" w:rsidRDefault="007452AA" w:rsidP="005518E4">
      <w:pPr>
        <w:pStyle w:val="SinglePara"/>
      </w:pPr>
    </w:p>
    <w:p w:rsidR="000B0E3E" w:rsidRDefault="000B0E3E" w:rsidP="009201CC">
      <w:pPr>
        <w:pStyle w:val="Heading7"/>
      </w:pPr>
      <w:r>
        <w:t xml:space="preserve">Program 7.5 </w:t>
      </w:r>
      <w:r w:rsidR="00330236">
        <w:t>o</w:t>
      </w:r>
      <w:r>
        <w:t>bjective</w:t>
      </w:r>
    </w:p>
    <w:p w:rsidR="00DC7EF6" w:rsidRDefault="0070464A" w:rsidP="00DC7EF6">
      <w:pPr>
        <w:pStyle w:val="NormalBox"/>
      </w:pPr>
      <w:r>
        <w:t xml:space="preserve">Stronger Futures in the Northern Territory </w:t>
      </w:r>
      <w:r w:rsidR="00C9262E">
        <w:t>represents a commitment to work with Aboriginal people in the Northern Territory to build strong, independent lives, where communities, families and children are safe and health</w:t>
      </w:r>
      <w:r w:rsidR="00FE08D4">
        <w:t>y</w:t>
      </w:r>
      <w:r w:rsidR="00C9262E">
        <w:t>. It provides for investment in programs and services that are critical to closing the gap in Indigenous disadvantage and making communities safer</w:t>
      </w:r>
      <w:r w:rsidR="00DC7EF6">
        <w:t>.</w:t>
      </w:r>
    </w:p>
    <w:p w:rsidR="00DC7EF6" w:rsidRDefault="00DC7EF6" w:rsidP="009201CC">
      <w:pPr>
        <w:pStyle w:val="Heading7"/>
      </w:pPr>
      <w:r>
        <w:t xml:space="preserve">Program </w:t>
      </w:r>
      <w:r w:rsidR="00330236">
        <w:t>component objectives</w:t>
      </w:r>
    </w:p>
    <w:p w:rsidR="00DC7EF6" w:rsidRDefault="00235B65" w:rsidP="00235B65">
      <w:pPr>
        <w:pStyle w:val="ProgramHeading3"/>
      </w:pPr>
      <w:r>
        <w:t>Food Secu</w:t>
      </w:r>
      <w:r w:rsidRPr="009201CC">
        <w:rPr>
          <w:rStyle w:val="Heading8Char"/>
        </w:rPr>
        <w:t>r</w:t>
      </w:r>
      <w:r>
        <w:t>ity</w:t>
      </w:r>
    </w:p>
    <w:p w:rsidR="00DC7EF6" w:rsidRDefault="00DC7EF6" w:rsidP="00DC7EF6">
      <w:pPr>
        <w:pStyle w:val="NormalBox"/>
      </w:pPr>
      <w:r>
        <w:t>To promote food security for Aboriginal communities in the Northern Territory and enhance the contribution that community stores make to this.</w:t>
      </w:r>
    </w:p>
    <w:p w:rsidR="00DC7EF6" w:rsidRDefault="00235B65" w:rsidP="009201CC">
      <w:pPr>
        <w:pStyle w:val="Heading8"/>
      </w:pPr>
      <w:r>
        <w:t>Tackling Alcohol Abuse</w:t>
      </w:r>
    </w:p>
    <w:p w:rsidR="00DC7EF6" w:rsidRDefault="00DC7EF6" w:rsidP="00807BCE">
      <w:pPr>
        <w:pStyle w:val="NormalBox"/>
      </w:pPr>
      <w:r>
        <w:t xml:space="preserve">To contribute to the safety of women and children, reduce violence associated </w:t>
      </w:r>
      <w:r w:rsidR="00767D03">
        <w:t xml:space="preserve">with </w:t>
      </w:r>
      <w:r>
        <w:t>alcohol and substance abuse and promote personal responsibility and community norms.</w:t>
      </w:r>
    </w:p>
    <w:p w:rsidR="00E91D8F" w:rsidRDefault="00E91D8F" w:rsidP="009201CC">
      <w:pPr>
        <w:pStyle w:val="Heading8"/>
      </w:pPr>
      <w:r>
        <w:t>Lease Payments to Traditional Owners of Land</w:t>
      </w:r>
    </w:p>
    <w:p w:rsidR="00E91D8F" w:rsidRPr="00E91D8F" w:rsidRDefault="00E91D8F" w:rsidP="00AE1889">
      <w:pPr>
        <w:pStyle w:val="NormalBox"/>
        <w:pBdr>
          <w:between w:val="single" w:sz="2" w:space="3" w:color="auto"/>
        </w:pBdr>
      </w:pPr>
      <w:r>
        <w:t xml:space="preserve">Under Schedule 1 of the </w:t>
      </w:r>
      <w:r w:rsidRPr="00807BCE">
        <w:rPr>
          <w:i/>
        </w:rPr>
        <w:t>Stronger Futures in the Northern Territory (Consequential and Transitional Provisions) Act 2012</w:t>
      </w:r>
      <w:r>
        <w:t xml:space="preserve">, rent and compensation is being paid for areas of land which </w:t>
      </w:r>
      <w:r w:rsidR="00FF620C">
        <w:t>were</w:t>
      </w:r>
      <w:r>
        <w:t xml:space="preserve"> acquired under the </w:t>
      </w:r>
      <w:r w:rsidRPr="00807BCE">
        <w:rPr>
          <w:i/>
        </w:rPr>
        <w:t>Northern Territory National Emergency Response Act 2007</w:t>
      </w:r>
      <w:r>
        <w:t>.</w:t>
      </w:r>
      <w:r w:rsidR="00C425EC">
        <w:t xml:space="preserve"> </w:t>
      </w:r>
      <w:r>
        <w:t>Settlement agreements with relevant Aboriginal land owners and associated payments are expected to be completed in 2012–13.</w:t>
      </w:r>
    </w:p>
    <w:p w:rsidR="00C13EC6" w:rsidRPr="00C13EC6" w:rsidRDefault="00C13EC6" w:rsidP="00C13EC6">
      <w:pPr>
        <w:pStyle w:val="NormalBox"/>
      </w:pPr>
      <w:proofErr w:type="gramStart"/>
      <w:r>
        <w:t>Linked to: Health, education and elements of community safety</w:t>
      </w:r>
      <w:r w:rsidR="00D75752">
        <w:t xml:space="preserve"> that</w:t>
      </w:r>
      <w:r>
        <w:t xml:space="preserve"> are managed by DHA, DEEWR and AGD.</w:t>
      </w:r>
      <w:proofErr w:type="gramEnd"/>
      <w:r>
        <w:t xml:space="preserve"> For more information refer to each agency’s </w:t>
      </w:r>
      <w:r>
        <w:br/>
        <w:t>2013–14 PB Statements.</w:t>
      </w:r>
    </w:p>
    <w:p w:rsidR="00DC7EF6" w:rsidRDefault="00C13EC6" w:rsidP="00D75752">
      <w:pPr>
        <w:pStyle w:val="NormalBox"/>
      </w:pPr>
      <w:proofErr w:type="gramStart"/>
      <w:r>
        <w:t xml:space="preserve">Also linked to: Payments under the National Partnership Agreement on Stronger Futures in the Northern Territory </w:t>
      </w:r>
      <w:r w:rsidR="00D75752">
        <w:t>are</w:t>
      </w:r>
      <w:r>
        <w:t xml:space="preserve"> made by </w:t>
      </w:r>
      <w:r w:rsidR="00D75752">
        <w:t xml:space="preserve">the </w:t>
      </w:r>
      <w:r>
        <w:t>Treasury through the COAG Reform Special Account.</w:t>
      </w:r>
      <w:proofErr w:type="gramEnd"/>
      <w:r>
        <w:t xml:space="preserve"> For </w:t>
      </w:r>
      <w:r w:rsidR="00D75752">
        <w:t xml:space="preserve">more </w:t>
      </w:r>
      <w:r>
        <w:t>information refer to</w:t>
      </w:r>
      <w:r w:rsidR="00D75752">
        <w:t xml:space="preserve"> the</w:t>
      </w:r>
      <w:r>
        <w:t xml:space="preserve"> Treasury’s 2013–14 </w:t>
      </w:r>
      <w:r w:rsidR="00025F50">
        <w:t>PB </w:t>
      </w:r>
      <w:r>
        <w:t>Statements and Budget Paper No. 3, Australia’s Federal Relations</w:t>
      </w:r>
      <w:r w:rsidR="00025F50">
        <w:t xml:space="preserve"> 2013–14</w:t>
      </w:r>
      <w:r>
        <w:t>.</w:t>
      </w:r>
    </w:p>
    <w:p w:rsidR="00C13EC6" w:rsidRDefault="00C13EC6" w:rsidP="00D75752">
      <w:pPr>
        <w:pStyle w:val="NormalBox"/>
      </w:pPr>
      <w:r>
        <w:t>Program 1.1: Family Support.</w:t>
      </w:r>
    </w:p>
    <w:p w:rsidR="00C13EC6" w:rsidRDefault="00C13EC6" w:rsidP="00D75752">
      <w:pPr>
        <w:pStyle w:val="NormalBox"/>
      </w:pPr>
      <w:r>
        <w:t>Program 3.1: Financial Management.</w:t>
      </w:r>
    </w:p>
    <w:p w:rsidR="00C13EC6" w:rsidRDefault="00C13EC6" w:rsidP="00D75752">
      <w:pPr>
        <w:pStyle w:val="NormalBox"/>
      </w:pPr>
      <w:r>
        <w:t>Program 7.1: Economic Development and Participation.</w:t>
      </w:r>
    </w:p>
    <w:p w:rsidR="00C13EC6" w:rsidRDefault="00C13EC6" w:rsidP="00D75752">
      <w:pPr>
        <w:pStyle w:val="NormalBox"/>
      </w:pPr>
      <w:r>
        <w:t>Program 7.2: Indigenous Housing and Infrastructure.</w:t>
      </w:r>
    </w:p>
    <w:p w:rsidR="00C13EC6" w:rsidRPr="00C13EC6" w:rsidRDefault="00C13EC6" w:rsidP="00D75752">
      <w:pPr>
        <w:pStyle w:val="NormalBox"/>
      </w:pPr>
      <w:r>
        <w:t>Program 7.4: Indigenous Capability and Development.</w:t>
      </w:r>
    </w:p>
    <w:p w:rsidR="00DC7EF6" w:rsidRDefault="00DC7EF6" w:rsidP="009201CC">
      <w:pPr>
        <w:pStyle w:val="Heading7"/>
      </w:pPr>
      <w:r>
        <w:lastRenderedPageBreak/>
        <w:t xml:space="preserve">Program 7.5 </w:t>
      </w:r>
      <w:r w:rsidR="0025667B">
        <w:t>e</w:t>
      </w:r>
      <w:r>
        <w:t>xpenses</w:t>
      </w:r>
    </w:p>
    <w:p w:rsidR="00293295" w:rsidRPr="00704365" w:rsidRDefault="00603D17" w:rsidP="00293295">
      <w:pPr>
        <w:pStyle w:val="NormalBox"/>
      </w:pPr>
      <w:r w:rsidRPr="00603D17">
        <w:t>The estimates in 2012</w:t>
      </w:r>
      <w:r w:rsidR="00C425EC">
        <w:t>–</w:t>
      </w:r>
      <w:r w:rsidRPr="00603D17">
        <w:t>13 reflect the amount of rental and other payments associated with the five year leases over Aboriginal land under the Northern Territory Emergency Response.</w:t>
      </w:r>
    </w:p>
    <w:p w:rsidR="007452AA" w:rsidRDefault="00384B2C" w:rsidP="00A227B3">
      <w:pPr>
        <w:pStyle w:val="TableHeading"/>
      </w:pPr>
      <w:r>
        <w:t>Table 2</w:t>
      </w:r>
      <w:r w:rsidR="007452AA">
        <w:t xml:space="preserve">.7.5: </w:t>
      </w:r>
      <w:r>
        <w:t xml:space="preserve">Budgeted </w:t>
      </w:r>
      <w:r w:rsidR="0025667B">
        <w:t>e</w:t>
      </w:r>
      <w:r w:rsidR="001F175D">
        <w:t>xpenses</w:t>
      </w:r>
      <w:r>
        <w:t xml:space="preserve"> for Stronger Futures in the Northern Territory</w:t>
      </w:r>
    </w:p>
    <w:p w:rsidR="00DE604F" w:rsidRDefault="00060D08" w:rsidP="00DE604F">
      <w:pPr>
        <w:pStyle w:val="TableGraphic"/>
      </w:pPr>
      <w:r>
        <w:rPr>
          <w:noProof/>
        </w:rPr>
        <w:drawing>
          <wp:inline distT="0" distB="0" distL="0" distR="0" wp14:anchorId="442284F8" wp14:editId="7B53F456">
            <wp:extent cx="4878705" cy="3309531"/>
            <wp:effectExtent l="0" t="0" r="0" b="5715"/>
            <wp:docPr id="181" name="Picture 181" descr="Table 2.7.5: Budgeted expenses for Stronger Future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78705" cy="3309531"/>
                    </a:xfrm>
                    <a:prstGeom prst="rect">
                      <a:avLst/>
                    </a:prstGeom>
                    <a:noFill/>
                    <a:ln>
                      <a:noFill/>
                    </a:ln>
                  </pic:spPr>
                </pic:pic>
              </a:graphicData>
            </a:graphic>
          </wp:inline>
        </w:drawing>
      </w:r>
    </w:p>
    <w:p w:rsidR="007452AA" w:rsidRDefault="009201CC" w:rsidP="009201CC">
      <w:pPr>
        <w:pStyle w:val="Heading7"/>
      </w:pPr>
      <w:r>
        <w:br w:type="page"/>
      </w:r>
      <w:r w:rsidR="007452AA" w:rsidRPr="00C44531">
        <w:lastRenderedPageBreak/>
        <w:t xml:space="preserve">Program </w:t>
      </w:r>
      <w:r w:rsidR="00C249F9">
        <w:t xml:space="preserve">7.5 </w:t>
      </w:r>
      <w:r w:rsidR="0025667B">
        <w:t>d</w:t>
      </w:r>
      <w:r w:rsidR="00C249F9" w:rsidRPr="00A227B3">
        <w:t>eliverables</w:t>
      </w:r>
    </w:p>
    <w:p w:rsidR="0070464A" w:rsidRPr="0070464A" w:rsidRDefault="0070464A" w:rsidP="009201CC">
      <w:pPr>
        <w:pStyle w:val="Heading8"/>
      </w:pPr>
      <w:r>
        <w:t>Food Security</w:t>
      </w:r>
    </w:p>
    <w:p w:rsidR="00DC7EF6" w:rsidRDefault="00384B2C" w:rsidP="00384B2C">
      <w:pPr>
        <w:pStyle w:val="BulletBox"/>
      </w:pPr>
      <w:r>
        <w:t>Number of community stores licensed</w:t>
      </w:r>
    </w:p>
    <w:p w:rsidR="0070464A" w:rsidRDefault="0070464A" w:rsidP="009201CC">
      <w:pPr>
        <w:pStyle w:val="Heading8"/>
      </w:pPr>
      <w:r>
        <w:t>Tackling Alcohol Abuse</w:t>
      </w:r>
    </w:p>
    <w:p w:rsidR="0070464A" w:rsidRPr="0070464A" w:rsidRDefault="0070464A" w:rsidP="0070464A">
      <w:pPr>
        <w:pStyle w:val="BulletBox"/>
      </w:pPr>
      <w:r>
        <w:t xml:space="preserve">Deliverables are currently being developed in negotiations with the Northern Territory Government through the </w:t>
      </w:r>
      <w:r w:rsidR="00537E9E">
        <w:t xml:space="preserve">National Partnership Agreement on </w:t>
      </w:r>
      <w:r>
        <w:t>Stronger Futures in the Northern Territory Implementation Plan</w:t>
      </w:r>
    </w:p>
    <w:p w:rsidR="00384B2C" w:rsidRDefault="00384B2C" w:rsidP="003A485D">
      <w:pPr>
        <w:pStyle w:val="SinglePara"/>
      </w:pPr>
    </w:p>
    <w:p w:rsidR="007452AA" w:rsidRDefault="007452AA" w:rsidP="009201CC">
      <w:pPr>
        <w:pStyle w:val="Heading7"/>
      </w:pPr>
      <w:r w:rsidRPr="00C44531">
        <w:t xml:space="preserve">Program </w:t>
      </w:r>
      <w:r w:rsidR="00C249F9">
        <w:t xml:space="preserve">7.5 </w:t>
      </w:r>
      <w:r w:rsidR="0025667B">
        <w:t>k</w:t>
      </w:r>
      <w:r w:rsidR="0025667B" w:rsidRPr="00C44531">
        <w:t xml:space="preserve">ey </w:t>
      </w:r>
      <w:r w:rsidR="0025667B">
        <w:t>p</w:t>
      </w:r>
      <w:r w:rsidR="0025667B" w:rsidRPr="00A227B3">
        <w:t>erformance</w:t>
      </w:r>
      <w:r w:rsidR="0025667B" w:rsidRPr="00C44531">
        <w:t xml:space="preserve"> </w:t>
      </w:r>
      <w:r w:rsidR="0025667B">
        <w:t>i</w:t>
      </w:r>
      <w:r w:rsidR="0025667B" w:rsidRPr="00C44531">
        <w:t>ndicators</w:t>
      </w:r>
    </w:p>
    <w:p w:rsidR="0001421B" w:rsidRPr="0001421B" w:rsidRDefault="0001421B" w:rsidP="009201CC">
      <w:pPr>
        <w:pStyle w:val="Heading8"/>
      </w:pPr>
      <w:r>
        <w:t>Food Security</w:t>
      </w:r>
    </w:p>
    <w:p w:rsidR="00C8767D" w:rsidRDefault="00C8767D" w:rsidP="00C8767D">
      <w:pPr>
        <w:pStyle w:val="BulletBox"/>
      </w:pPr>
      <w:r>
        <w:t>Percentage and number of communities in the food security area served by a licensed store</w:t>
      </w:r>
    </w:p>
    <w:p w:rsidR="0070464A" w:rsidRDefault="0001421B" w:rsidP="009201CC">
      <w:pPr>
        <w:pStyle w:val="Heading8"/>
      </w:pPr>
      <w:r>
        <w:t>Tackling Alcohol Abuse</w:t>
      </w:r>
    </w:p>
    <w:p w:rsidR="0001421B" w:rsidRPr="0001421B" w:rsidRDefault="0001421B" w:rsidP="0001421B">
      <w:pPr>
        <w:pStyle w:val="BulletBox"/>
      </w:pPr>
      <w:r>
        <w:t xml:space="preserve">Key performance indicators will be developed through the </w:t>
      </w:r>
      <w:r w:rsidR="00537E9E">
        <w:t xml:space="preserve">National Partnership Agreement on </w:t>
      </w:r>
      <w:r>
        <w:t>Stronger Futures in the Northern Territory Implementation Plan</w:t>
      </w:r>
      <w:r w:rsidR="005E537C">
        <w:t>,</w:t>
      </w:r>
      <w:r>
        <w:t xml:space="preserve"> currently under negotiation</w:t>
      </w:r>
    </w:p>
    <w:p w:rsidR="007452AA" w:rsidRDefault="001D0659" w:rsidP="00F51DAC">
      <w:pPr>
        <w:pStyle w:val="Heading2"/>
      </w:pPr>
      <w:r>
        <w:br w:type="page"/>
      </w:r>
      <w:r w:rsidR="007452AA" w:rsidRPr="0088503F">
        <w:lastRenderedPageBreak/>
        <w:t>Section 3</w:t>
      </w:r>
      <w:bookmarkStart w:id="209" w:name="_Toc436624159"/>
      <w:bookmarkStart w:id="210" w:name="_Toc436625460"/>
      <w:bookmarkStart w:id="211" w:name="_Toc446237038"/>
      <w:bookmarkStart w:id="212" w:name="_Toc449255782"/>
      <w:r w:rsidR="007452AA" w:rsidRPr="0088503F">
        <w:t>: Explanatory tables and budgeted financial statements</w:t>
      </w:r>
      <w:bookmarkEnd w:id="180"/>
      <w:bookmarkEnd w:id="181"/>
      <w:bookmarkEnd w:id="182"/>
      <w:bookmarkEnd w:id="183"/>
      <w:bookmarkEnd w:id="184"/>
      <w:bookmarkEnd w:id="209"/>
      <w:bookmarkEnd w:id="210"/>
      <w:bookmarkEnd w:id="211"/>
      <w:bookmarkEnd w:id="212"/>
    </w:p>
    <w:p w:rsidR="009C7F86" w:rsidRPr="009C7F86" w:rsidRDefault="009C7F86" w:rsidP="009C7F86">
      <w:r>
        <w:t>Section 3 presents explanatory tables and budgeted financial statements that provide a comprehensive snapshot of agency finances for the 201</w:t>
      </w:r>
      <w:r w:rsidR="00C05025">
        <w:t>3</w:t>
      </w:r>
      <w:r>
        <w:t>–1</w:t>
      </w:r>
      <w:r w:rsidR="00C05025">
        <w:t>4</w:t>
      </w:r>
      <w:r>
        <w:t xml:space="preserve"> budget </w:t>
      </w:r>
      <w:proofErr w:type="gramStart"/>
      <w:r>
        <w:t>year</w:t>
      </w:r>
      <w:proofErr w:type="gramEnd"/>
      <w:r>
        <w:t>. It explains how budget plans are incorporated into the financial statements and provides further details of the reconciliation between appropriations and program expenses, movements in administered funds, special accounts and government Indigenous expenditure.</w:t>
      </w:r>
    </w:p>
    <w:p w:rsidR="007452AA" w:rsidRPr="00AD1D92" w:rsidRDefault="007452AA" w:rsidP="00AD1D92">
      <w:pPr>
        <w:pStyle w:val="Heading3"/>
      </w:pPr>
      <w:bookmarkStart w:id="213" w:name="_Toc190682316"/>
      <w:bookmarkStart w:id="214" w:name="_Toc190682533"/>
      <w:bookmarkStart w:id="215" w:name="_Toc210703218"/>
      <w:r w:rsidRPr="00AD1D92">
        <w:t>3.1</w:t>
      </w:r>
      <w:r w:rsidRPr="00AD1D92">
        <w:tab/>
        <w:t>Explanatory tables</w:t>
      </w:r>
      <w:bookmarkEnd w:id="213"/>
      <w:bookmarkEnd w:id="214"/>
      <w:bookmarkEnd w:id="215"/>
    </w:p>
    <w:p w:rsidR="00C05025" w:rsidRDefault="00C05025" w:rsidP="000B5844">
      <w:pPr>
        <w:pStyle w:val="Heading4"/>
      </w:pPr>
      <w:bookmarkStart w:id="216" w:name="_Toc143309827"/>
      <w:bookmarkStart w:id="217" w:name="OLE_LINK7"/>
      <w:bookmarkStart w:id="218" w:name="OLE_LINK8"/>
      <w:bookmarkStart w:id="219" w:name="_Toc35936966"/>
      <w:bookmarkStart w:id="220" w:name="_Toc77998691"/>
      <w:bookmarkStart w:id="221" w:name="_Toc79406120"/>
      <w:bookmarkStart w:id="222" w:name="_Toc79467822"/>
      <w:bookmarkStart w:id="223" w:name="_Toc112137881"/>
      <w:bookmarkStart w:id="224" w:name="_Toc112137903"/>
      <w:bookmarkStart w:id="225" w:name="_Toc210646456"/>
      <w:bookmarkStart w:id="226" w:name="_Toc210698435"/>
      <w:r>
        <w:t>3.1.1</w:t>
      </w:r>
      <w:r>
        <w:tab/>
        <w:t>Movement of administered funds between years</w:t>
      </w:r>
    </w:p>
    <w:p w:rsidR="00C05025" w:rsidRDefault="00C05025" w:rsidP="00C05025">
      <w:r>
        <w:t>Administered funds can be provided for a specified period, for example under annual Appropriation Acts. Funds not used in the specified period with the agreement of the Finance Minister may be moved to a future year. Table 3.1.1 show</w:t>
      </w:r>
      <w:r w:rsidR="0025667B">
        <w:t>s</w:t>
      </w:r>
      <w:r>
        <w:t xml:space="preserve"> the movement of administered funds approved between years.</w:t>
      </w:r>
    </w:p>
    <w:p w:rsidR="00C05025" w:rsidRDefault="00C05025" w:rsidP="00C05025">
      <w:pPr>
        <w:pStyle w:val="TableHeading"/>
        <w:rPr>
          <w:b w:val="0"/>
          <w:vertAlign w:val="superscript"/>
        </w:rPr>
      </w:pPr>
      <w:r>
        <w:lastRenderedPageBreak/>
        <w:t>Table 3.1.1: Movement of administered funds between years</w:t>
      </w:r>
    </w:p>
    <w:p w:rsidR="00060D08" w:rsidRPr="00060D08" w:rsidRDefault="00EF7998" w:rsidP="00060D08">
      <w:pPr>
        <w:pStyle w:val="TableGraphic"/>
      </w:pPr>
      <w:r>
        <w:rPr>
          <w:noProof/>
        </w:rPr>
        <w:drawing>
          <wp:inline distT="0" distB="0" distL="0" distR="0" wp14:anchorId="5ED17AB5" wp14:editId="255D4826">
            <wp:extent cx="4878705" cy="3839803"/>
            <wp:effectExtent l="0" t="0" r="0" b="8890"/>
            <wp:docPr id="329" name="Picture 329" descr="Table 3.1.1: Movement of administered funds between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78705" cy="3839803"/>
                    </a:xfrm>
                    <a:prstGeom prst="rect">
                      <a:avLst/>
                    </a:prstGeom>
                    <a:noFill/>
                    <a:ln>
                      <a:noFill/>
                    </a:ln>
                  </pic:spPr>
                </pic:pic>
              </a:graphicData>
            </a:graphic>
          </wp:inline>
        </w:drawing>
      </w:r>
    </w:p>
    <w:p w:rsidR="007452AA" w:rsidRPr="0088503F" w:rsidRDefault="00C05025" w:rsidP="000B5844">
      <w:pPr>
        <w:pStyle w:val="Heading4"/>
      </w:pPr>
      <w:r>
        <w:br w:type="page"/>
      </w:r>
      <w:r>
        <w:lastRenderedPageBreak/>
        <w:t>3.1.2</w:t>
      </w:r>
      <w:r>
        <w:tab/>
        <w:t>S</w:t>
      </w:r>
      <w:r w:rsidR="007452AA" w:rsidRPr="0088503F">
        <w:t xml:space="preserve">pecial </w:t>
      </w:r>
      <w:r w:rsidR="0025667B">
        <w:t>a</w:t>
      </w:r>
      <w:r w:rsidR="007452AA" w:rsidRPr="0088503F">
        <w:t>ccount</w:t>
      </w:r>
      <w:bookmarkEnd w:id="216"/>
      <w:r w:rsidR="00D413A5">
        <w:t>s</w:t>
      </w:r>
    </w:p>
    <w:bookmarkEnd w:id="217"/>
    <w:bookmarkEnd w:id="218"/>
    <w:p w:rsidR="007452AA" w:rsidRDefault="007452AA" w:rsidP="000D5F9B">
      <w:r w:rsidRPr="0088503F">
        <w:t xml:space="preserve">Special accounts provide a means to set aside and record amounts used for specified purposes. </w:t>
      </w:r>
      <w:r w:rsidR="00C05025">
        <w:t xml:space="preserve">Special accounts can be created by a Finance Minister’s Determination under the FMA Act or under separate enabling legislation. </w:t>
      </w:r>
      <w:r w:rsidRPr="0088503F">
        <w:t>Table 3.1.</w:t>
      </w:r>
      <w:r w:rsidR="00C05025">
        <w:t>2</w:t>
      </w:r>
      <w:r w:rsidRPr="0088503F">
        <w:t xml:space="preserve"> shows the expected additions (receipts) and reductions (payments) for each account used by FaHCSIA.</w:t>
      </w:r>
      <w:bookmarkStart w:id="227" w:name="_Toc190682317"/>
      <w:bookmarkStart w:id="228" w:name="_Toc210703219"/>
    </w:p>
    <w:p w:rsidR="007452AA" w:rsidRDefault="00C05025" w:rsidP="00A227B3">
      <w:pPr>
        <w:pStyle w:val="TableHeading"/>
      </w:pPr>
      <w:r>
        <w:t>Table 3.1.2</w:t>
      </w:r>
      <w:r w:rsidR="007452AA">
        <w:t xml:space="preserve">: Estimates of special account flows </w:t>
      </w:r>
      <w:r>
        <w:t>and balances</w:t>
      </w:r>
    </w:p>
    <w:p w:rsidR="00060D08" w:rsidRPr="00060D08" w:rsidRDefault="00EF7998" w:rsidP="00060D08">
      <w:pPr>
        <w:pStyle w:val="TableGraphic"/>
      </w:pPr>
      <w:r>
        <w:rPr>
          <w:noProof/>
        </w:rPr>
        <w:drawing>
          <wp:inline distT="0" distB="0" distL="0" distR="0" wp14:anchorId="06A59DD8" wp14:editId="1AA51840">
            <wp:extent cx="4878705" cy="5818378"/>
            <wp:effectExtent l="0" t="0" r="0" b="0"/>
            <wp:docPr id="331" name="Picture 331" descr="Table 3.1.2: Estimates of special account flows and bal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78705" cy="5818378"/>
                    </a:xfrm>
                    <a:prstGeom prst="rect">
                      <a:avLst/>
                    </a:prstGeom>
                    <a:noFill/>
                    <a:ln>
                      <a:noFill/>
                    </a:ln>
                  </pic:spPr>
                </pic:pic>
              </a:graphicData>
            </a:graphic>
          </wp:inline>
        </w:drawing>
      </w:r>
    </w:p>
    <w:p w:rsidR="007452AA" w:rsidRDefault="007452AA" w:rsidP="00A227B3">
      <w:pPr>
        <w:pStyle w:val="TableHeading"/>
      </w:pPr>
      <w:r w:rsidRPr="00B06D93">
        <w:rPr>
          <w:highlight w:val="yellow"/>
        </w:rPr>
        <w:br w:type="page"/>
      </w:r>
      <w:r w:rsidR="00C05025">
        <w:lastRenderedPageBreak/>
        <w:t>Table 3.1.2</w:t>
      </w:r>
      <w:r>
        <w:t xml:space="preserve">: Estimates of special </w:t>
      </w:r>
      <w:r w:rsidRPr="00A227B3">
        <w:t>account</w:t>
      </w:r>
      <w:r>
        <w:t xml:space="preserve"> flows</w:t>
      </w:r>
      <w:r w:rsidR="00C05025">
        <w:t xml:space="preserve"> and balances </w:t>
      </w:r>
      <w:r>
        <w:t>(continued)</w:t>
      </w:r>
    </w:p>
    <w:p w:rsidR="00CD069A" w:rsidRPr="00CD069A" w:rsidRDefault="00EF7998" w:rsidP="00CD069A">
      <w:pPr>
        <w:pStyle w:val="TableGraphic"/>
      </w:pPr>
      <w:r>
        <w:rPr>
          <w:noProof/>
        </w:rPr>
        <w:drawing>
          <wp:inline distT="0" distB="0" distL="0" distR="0" wp14:anchorId="4AA00C3E" wp14:editId="79027AD1">
            <wp:extent cx="4878705" cy="5941769"/>
            <wp:effectExtent l="0" t="0" r="0" b="1905"/>
            <wp:docPr id="332" name="Picture 332" descr="Table 3.1.2: Estimates of special account flows and balance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78705" cy="5941769"/>
                    </a:xfrm>
                    <a:prstGeom prst="rect">
                      <a:avLst/>
                    </a:prstGeom>
                    <a:noFill/>
                    <a:ln>
                      <a:noFill/>
                    </a:ln>
                  </pic:spPr>
                </pic:pic>
              </a:graphicData>
            </a:graphic>
          </wp:inline>
        </w:drawing>
      </w:r>
    </w:p>
    <w:p w:rsidR="00C05025" w:rsidRPr="00C05025" w:rsidRDefault="00C05025" w:rsidP="00C05025">
      <w:pPr>
        <w:pStyle w:val="Heading4"/>
      </w:pPr>
      <w:r>
        <w:rPr>
          <w:highlight w:val="yellow"/>
        </w:rPr>
        <w:br w:type="page"/>
      </w:r>
      <w:r w:rsidRPr="00C05025">
        <w:lastRenderedPageBreak/>
        <w:t>3.1.3</w:t>
      </w:r>
      <w:r w:rsidRPr="00C05025">
        <w:tab/>
        <w:t>Australian Government Indigenous Expenditure</w:t>
      </w:r>
    </w:p>
    <w:p w:rsidR="003D1159" w:rsidRPr="003D1159" w:rsidRDefault="003D1159" w:rsidP="0040773D">
      <w:r w:rsidRPr="003D1159">
        <w:t xml:space="preserve">The Australian Government Indigenous Expenditure report provides a breakdown of estimated Indigenous expenditure administered by each portfolio. </w:t>
      </w:r>
    </w:p>
    <w:p w:rsidR="003D1159" w:rsidRPr="003D1159" w:rsidRDefault="003D1159" w:rsidP="0040773D">
      <w:r w:rsidRPr="003D1159">
        <w:t>Table 3.1.3 shows the estimated Indigenous expenditure in 2012</w:t>
      </w:r>
      <w:r>
        <w:rPr>
          <w:b/>
          <w:bCs/>
        </w:rPr>
        <w:t>–</w:t>
      </w:r>
      <w:r w:rsidRPr="003D1159">
        <w:t>13 and 2013</w:t>
      </w:r>
      <w:r>
        <w:rPr>
          <w:b/>
          <w:bCs/>
        </w:rPr>
        <w:t>–</w:t>
      </w:r>
      <w:r w:rsidRPr="003D1159">
        <w:t>14 by appropriation and outcome that is administered by FaHCSIA only. The reduction in 2013</w:t>
      </w:r>
      <w:r>
        <w:rPr>
          <w:b/>
          <w:bCs/>
        </w:rPr>
        <w:t>–</w:t>
      </w:r>
      <w:r w:rsidRPr="003D1159">
        <w:t>14 is primarily due to the completion of the five-year lease payments to traditional owners of land in 2012–13 and the movement of funds to other portfolios as part of the Remote Jobs and Communities program.</w:t>
      </w:r>
    </w:p>
    <w:p w:rsidR="00C05025" w:rsidRDefault="003D1159">
      <w:r w:rsidRPr="003D1159">
        <w:t>Indigenous expenditure administered by other portfolios is reported in their respective Portfolio Budget Statements.</w:t>
      </w:r>
    </w:p>
    <w:p w:rsidR="00C05025" w:rsidRDefault="00C05025" w:rsidP="00C05025">
      <w:pPr>
        <w:pStyle w:val="TableHeading"/>
      </w:pPr>
      <w:r>
        <w:t>Table 3.1.3: Australian Government Indigenous Expenditure</w:t>
      </w:r>
    </w:p>
    <w:p w:rsidR="00C05025" w:rsidRPr="00C05025" w:rsidRDefault="00EF7998" w:rsidP="00C05025">
      <w:pPr>
        <w:pStyle w:val="TableGraphic"/>
      </w:pPr>
      <w:r>
        <w:rPr>
          <w:noProof/>
        </w:rPr>
        <w:drawing>
          <wp:inline distT="0" distB="0" distL="0" distR="0" wp14:anchorId="6F2E8B06" wp14:editId="679862FB">
            <wp:extent cx="4878705" cy="3065067"/>
            <wp:effectExtent l="0" t="0" r="0" b="2540"/>
            <wp:docPr id="334" name="Picture 334" descr="Table 3.1.3: Australian Government Indigenous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78705" cy="3065067"/>
                    </a:xfrm>
                    <a:prstGeom prst="rect">
                      <a:avLst/>
                    </a:prstGeom>
                    <a:noFill/>
                    <a:ln>
                      <a:noFill/>
                    </a:ln>
                  </pic:spPr>
                </pic:pic>
              </a:graphicData>
            </a:graphic>
          </wp:inline>
        </w:drawing>
      </w:r>
    </w:p>
    <w:p w:rsidR="00C05025" w:rsidRDefault="00C05025" w:rsidP="00C05025">
      <w:pPr>
        <w:pStyle w:val="TableHeading"/>
      </w:pPr>
      <w:r>
        <w:rPr>
          <w:highlight w:val="yellow"/>
        </w:rPr>
        <w:br w:type="page"/>
      </w:r>
      <w:r>
        <w:lastRenderedPageBreak/>
        <w:t>Table 3.1.3: Australian Government Indigenous Expenditure (continued)</w:t>
      </w:r>
    </w:p>
    <w:p w:rsidR="00C05025" w:rsidRPr="00C05025" w:rsidRDefault="00EF7998" w:rsidP="00C05025">
      <w:pPr>
        <w:pStyle w:val="TableGraphic"/>
      </w:pPr>
      <w:r>
        <w:rPr>
          <w:noProof/>
        </w:rPr>
        <w:drawing>
          <wp:inline distT="0" distB="0" distL="0" distR="0" wp14:anchorId="5C1A367C" wp14:editId="74A92430">
            <wp:extent cx="4878705" cy="5128991"/>
            <wp:effectExtent l="0" t="0" r="0" b="0"/>
            <wp:docPr id="335" name="Picture 335" descr="Table 3.1.3: Australian Government Indigenous Expenditur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78705" cy="5128991"/>
                    </a:xfrm>
                    <a:prstGeom prst="rect">
                      <a:avLst/>
                    </a:prstGeom>
                    <a:noFill/>
                    <a:ln>
                      <a:noFill/>
                    </a:ln>
                  </pic:spPr>
                </pic:pic>
              </a:graphicData>
            </a:graphic>
          </wp:inline>
        </w:drawing>
      </w:r>
    </w:p>
    <w:p w:rsidR="007452AA" w:rsidRDefault="007452AA" w:rsidP="00C05025">
      <w:pPr>
        <w:pStyle w:val="Heading3"/>
      </w:pPr>
      <w:r w:rsidRPr="00B06D93">
        <w:rPr>
          <w:highlight w:val="yellow"/>
        </w:rPr>
        <w:br w:type="page"/>
      </w:r>
      <w:bookmarkStart w:id="229" w:name="_Toc533506534"/>
      <w:bookmarkStart w:id="230" w:name="_Toc533506609"/>
      <w:bookmarkStart w:id="231" w:name="_Toc533507059"/>
      <w:bookmarkEnd w:id="219"/>
      <w:bookmarkEnd w:id="220"/>
      <w:bookmarkEnd w:id="221"/>
      <w:bookmarkEnd w:id="222"/>
      <w:bookmarkEnd w:id="223"/>
      <w:bookmarkEnd w:id="224"/>
      <w:bookmarkEnd w:id="225"/>
      <w:bookmarkEnd w:id="226"/>
      <w:bookmarkEnd w:id="227"/>
      <w:bookmarkEnd w:id="228"/>
      <w:r>
        <w:lastRenderedPageBreak/>
        <w:t>3.2</w:t>
      </w:r>
      <w:r>
        <w:tab/>
        <w:t>Budgeted financial statements</w:t>
      </w:r>
    </w:p>
    <w:p w:rsidR="00C05025" w:rsidRDefault="00C05025" w:rsidP="00C05025">
      <w:pPr>
        <w:pStyle w:val="Heading4"/>
      </w:pPr>
      <w:r>
        <w:t>3.2.1</w:t>
      </w:r>
      <w:r>
        <w:tab/>
        <w:t>Differences in agency resourcing and financial statements</w:t>
      </w:r>
    </w:p>
    <w:p w:rsidR="00C05025" w:rsidRPr="00C05025" w:rsidRDefault="00C05025" w:rsidP="00C05025">
      <w:r>
        <w:t>Table 3.2.1 recognises the full year revenue for 2013–14 on the basis of accrual accounting principles.</w:t>
      </w:r>
    </w:p>
    <w:p w:rsidR="007452AA" w:rsidRDefault="00C05025" w:rsidP="00F54FB8">
      <w:pPr>
        <w:pStyle w:val="Heading4"/>
      </w:pPr>
      <w:r>
        <w:t>3.2.2</w:t>
      </w:r>
      <w:r w:rsidR="007452AA">
        <w:tab/>
        <w:t>Analysis of budgeted financial statements</w:t>
      </w:r>
    </w:p>
    <w:p w:rsidR="007452AA" w:rsidRDefault="007452AA" w:rsidP="00D413A5">
      <w:pPr>
        <w:pStyle w:val="Heading5"/>
      </w:pPr>
      <w:r w:rsidRPr="00D33D7A">
        <w:t>Departmental</w:t>
      </w:r>
    </w:p>
    <w:p w:rsidR="00CF29B7" w:rsidRPr="00CF29B7" w:rsidRDefault="00CF29B7" w:rsidP="0017779B">
      <w:pPr>
        <w:pStyle w:val="H6"/>
      </w:pPr>
      <w:r>
        <w:t>Income and expenses</w:t>
      </w:r>
    </w:p>
    <w:p w:rsidR="00BD79D2" w:rsidRDefault="00BD79D2" w:rsidP="00BD79D2">
      <w:r>
        <w:t>FaHCSIA is budgeting for an operating deficit of $53.3 million for 2013–14. This is the result of the revised net cash funding arrangements introduced under Operation Sunlight whereby asset replacement is now funded through a capital appropriation rather than the departmental operating appropriation. After allowing for depreciation expenses the reconciliation table at the bottom of Table 3.2.1 shows that the operating result attributable to FaHCSIA is a balanced operating result.</w:t>
      </w:r>
    </w:p>
    <w:p w:rsidR="00BD79D2" w:rsidRDefault="00BD79D2" w:rsidP="00BD79D2">
      <w:r>
        <w:t>Total operating revenue for 2013–14 is estimated at $604.5 million, comprising of an increase in government appropriations of $56.1 million. The increase in revenue of $56.1 million is primarily due to funding through Government decisions and measures.</w:t>
      </w:r>
    </w:p>
    <w:p w:rsidR="007452AA" w:rsidRDefault="00BD79D2" w:rsidP="00BD79D2">
      <w:r>
        <w:t>Total expenses for 2013–14 are estimated to be $683.1 million. The increase in expenses of $51.9 million is primarily attributable to the increase in employee benefits and supplier expenses as a result of Government decisions and measures.</w:t>
      </w:r>
    </w:p>
    <w:p w:rsidR="00CF29B7" w:rsidRDefault="00CF29B7" w:rsidP="0017779B">
      <w:pPr>
        <w:pStyle w:val="H6"/>
      </w:pPr>
      <w:r>
        <w:t xml:space="preserve">Balance </w:t>
      </w:r>
      <w:r w:rsidR="004E5764">
        <w:t>sheet</w:t>
      </w:r>
    </w:p>
    <w:p w:rsidR="00CF29B7" w:rsidRDefault="00BD79D2" w:rsidP="00CF29B7">
      <w:r w:rsidRPr="00BD79D2">
        <w:t>The Department’s net asset position is expected to increase by $25.2 million. This is due to contributed equity from the capital appropriations of $77.9 million</w:t>
      </w:r>
      <w:r w:rsidR="00CA1C9F">
        <w:t>, offset by the operating loss</w:t>
      </w:r>
      <w:r w:rsidRPr="00BD79D2">
        <w:t>.</w:t>
      </w:r>
    </w:p>
    <w:p w:rsidR="007452AA" w:rsidRDefault="007452AA" w:rsidP="00D413A5">
      <w:pPr>
        <w:pStyle w:val="Heading5"/>
      </w:pPr>
      <w:r w:rsidRPr="00D33D7A">
        <w:t>Administered</w:t>
      </w:r>
    </w:p>
    <w:p w:rsidR="00CF29B7" w:rsidRPr="00CF29B7" w:rsidRDefault="00CF29B7" w:rsidP="0017779B">
      <w:pPr>
        <w:pStyle w:val="H6"/>
      </w:pPr>
      <w:r>
        <w:t>Income and expenses</w:t>
      </w:r>
    </w:p>
    <w:p w:rsidR="00BD79D2" w:rsidRDefault="00BD79D2" w:rsidP="00BD79D2">
      <w:r>
        <w:t xml:space="preserve">FaHCSIA will administer the collection of non-taxation revenue estimated at $124.5 million in 2013–14, a net </w:t>
      </w:r>
      <w:r w:rsidR="00CA1C9F">
        <w:t>decrease of $27.1 million from</w:t>
      </w:r>
      <w:r>
        <w:t xml:space="preserve"> 2012–13 estimated revenues. The net decrease is due to reduced returns from investments and receipts to special accounts.</w:t>
      </w:r>
    </w:p>
    <w:p w:rsidR="00CF29B7" w:rsidRDefault="00BD79D2" w:rsidP="00BD79D2">
      <w:r>
        <w:t>FaHCSIA will administer programs totalling $86,822.7 million in expenses in 2013–14. The increase of $4,109.1 million principally reflects customer trends, indexation of income support payments and measures.</w:t>
      </w:r>
    </w:p>
    <w:p w:rsidR="00CF29B7" w:rsidRDefault="00CF29B7" w:rsidP="0017779B">
      <w:pPr>
        <w:pStyle w:val="H6"/>
      </w:pPr>
      <w:r>
        <w:lastRenderedPageBreak/>
        <w:t xml:space="preserve">Balance </w:t>
      </w:r>
      <w:r w:rsidR="004E5764">
        <w:t>sheet</w:t>
      </w:r>
    </w:p>
    <w:p w:rsidR="00BD79D2" w:rsidRDefault="00BD79D2" w:rsidP="00BD79D2">
      <w:r>
        <w:t>Total assets administered on behalf of Government are expected to decrease by $542.9 million to $5,519.8 million. This is primarily due to a decrease of $616.3 million in receivables</w:t>
      </w:r>
      <w:r w:rsidR="00CA1C9F">
        <w:t>,</w:t>
      </w:r>
      <w:r>
        <w:t xml:space="preserve"> offset by an increase of $73.2 million in investments.</w:t>
      </w:r>
    </w:p>
    <w:p w:rsidR="007452AA" w:rsidRDefault="00BD79D2" w:rsidP="00BD79D2">
      <w:r>
        <w:t>Total liabilities administered on behalf of the Government are expected to decrease by $542.9 million to $8,916.4 million which is primarily driven by decrease</w:t>
      </w:r>
      <w:r w:rsidR="00CB7DE1">
        <w:t>s</w:t>
      </w:r>
      <w:r>
        <w:t xml:space="preserve"> in the personal benefits provision and personal benefits payable.</w:t>
      </w:r>
    </w:p>
    <w:p w:rsidR="009C089E" w:rsidRDefault="007452AA" w:rsidP="009C089E">
      <w:pPr>
        <w:pStyle w:val="Heading4"/>
        <w:rPr>
          <w:snapToGrid w:val="0"/>
        </w:rPr>
      </w:pPr>
      <w:r>
        <w:rPr>
          <w:snapToGrid w:val="0"/>
          <w:highlight w:val="yellow"/>
        </w:rPr>
        <w:br w:type="page"/>
      </w:r>
      <w:r w:rsidR="00CF29B7">
        <w:rPr>
          <w:snapToGrid w:val="0"/>
        </w:rPr>
        <w:lastRenderedPageBreak/>
        <w:t>3.2.3</w:t>
      </w:r>
      <w:r w:rsidR="00AD1D92">
        <w:rPr>
          <w:snapToGrid w:val="0"/>
        </w:rPr>
        <w:tab/>
      </w:r>
      <w:r w:rsidR="009C089E">
        <w:rPr>
          <w:snapToGrid w:val="0"/>
        </w:rPr>
        <w:t xml:space="preserve">Budgeted </w:t>
      </w:r>
      <w:r w:rsidR="00AD1D92">
        <w:rPr>
          <w:snapToGrid w:val="0"/>
        </w:rPr>
        <w:t>f</w:t>
      </w:r>
      <w:r w:rsidR="009C089E">
        <w:rPr>
          <w:snapToGrid w:val="0"/>
        </w:rPr>
        <w:t xml:space="preserve">inancial </w:t>
      </w:r>
      <w:r w:rsidR="00AD1D92">
        <w:rPr>
          <w:snapToGrid w:val="0"/>
        </w:rPr>
        <w:t>s</w:t>
      </w:r>
      <w:r w:rsidR="009C089E">
        <w:rPr>
          <w:snapToGrid w:val="0"/>
        </w:rPr>
        <w:t>tatements</w:t>
      </w:r>
      <w:r w:rsidR="00CF29B7">
        <w:rPr>
          <w:snapToGrid w:val="0"/>
        </w:rPr>
        <w:t xml:space="preserve"> tables</w:t>
      </w:r>
    </w:p>
    <w:p w:rsidR="009C089E" w:rsidRDefault="009C089E" w:rsidP="009C089E">
      <w:pPr>
        <w:pStyle w:val="TableHeading"/>
        <w:spacing w:before="0"/>
      </w:pPr>
      <w:r>
        <w:t xml:space="preserve">Table 3.2.1: Comprehensive </w:t>
      </w:r>
      <w:r w:rsidR="00AD1D92">
        <w:t>i</w:t>
      </w:r>
      <w:r>
        <w:t xml:space="preserve">ncome </w:t>
      </w:r>
      <w:r w:rsidR="00AD1D92">
        <w:t>s</w:t>
      </w:r>
      <w:r>
        <w:t>tatement (</w:t>
      </w:r>
      <w:r w:rsidR="00AD1D92">
        <w:t>s</w:t>
      </w:r>
      <w:r>
        <w:t xml:space="preserve">howing </w:t>
      </w:r>
      <w:r w:rsidR="00AD1D92">
        <w:t>n</w:t>
      </w:r>
      <w:r>
        <w:t xml:space="preserve">et </w:t>
      </w:r>
      <w:r w:rsidR="00AD1D92">
        <w:t>c</w:t>
      </w:r>
      <w:r>
        <w:t xml:space="preserve">ost of </w:t>
      </w:r>
      <w:r w:rsidR="00AD1D92">
        <w:t>s</w:t>
      </w:r>
      <w:r w:rsidR="00CF29B7">
        <w:t>ervices</w:t>
      </w:r>
      <w:r w:rsidR="003F4B01">
        <w:t xml:space="preserve">) </w:t>
      </w:r>
      <w:r w:rsidR="00CF29B7">
        <w:br/>
        <w:t>(</w:t>
      </w:r>
      <w:r w:rsidRPr="00C61513">
        <w:t>for the period ended 30 June</w:t>
      </w:r>
      <w:r w:rsidR="00D413A5">
        <w:t>)</w:t>
      </w:r>
    </w:p>
    <w:p w:rsidR="00DC344B" w:rsidRPr="00DC344B" w:rsidRDefault="00EF7998" w:rsidP="00DC344B">
      <w:pPr>
        <w:pStyle w:val="TableGraphic"/>
      </w:pPr>
      <w:r>
        <w:rPr>
          <w:noProof/>
        </w:rPr>
        <w:drawing>
          <wp:inline distT="0" distB="0" distL="0" distR="0" wp14:anchorId="17DE29EB" wp14:editId="40FAE62D">
            <wp:extent cx="4878705" cy="4942130"/>
            <wp:effectExtent l="0" t="0" r="0" b="0"/>
            <wp:docPr id="338" name="Picture 338" descr="Table 3.2.1: Comprehensive income statement (showing net cost of services) &#10;(for the period ended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78705" cy="4942130"/>
                    </a:xfrm>
                    <a:prstGeom prst="rect">
                      <a:avLst/>
                    </a:prstGeom>
                    <a:noFill/>
                    <a:ln>
                      <a:noFill/>
                    </a:ln>
                  </pic:spPr>
                </pic:pic>
              </a:graphicData>
            </a:graphic>
          </wp:inline>
        </w:drawing>
      </w:r>
    </w:p>
    <w:p w:rsidR="0061699A" w:rsidRDefault="00CF29B7" w:rsidP="00AF7454">
      <w:pPr>
        <w:pStyle w:val="TableHeading"/>
        <w:spacing w:before="0"/>
      </w:pPr>
      <w:r>
        <w:br w:type="page"/>
      </w:r>
      <w:r w:rsidR="000367BE">
        <w:lastRenderedPageBreak/>
        <w:t>Table 3.2.1: Comprehensive income statement (showing net cost of</w:t>
      </w:r>
      <w:r>
        <w:t xml:space="preserve"> services</w:t>
      </w:r>
      <w:r w:rsidR="003F4B01">
        <w:t xml:space="preserve">) </w:t>
      </w:r>
      <w:r>
        <w:br/>
        <w:t>(</w:t>
      </w:r>
      <w:r w:rsidR="000367BE" w:rsidRPr="00C61513">
        <w:t>for the period ended 30 June</w:t>
      </w:r>
      <w:r>
        <w:t>)</w:t>
      </w:r>
      <w:r w:rsidR="000367BE">
        <w:t xml:space="preserve"> (continued)</w:t>
      </w:r>
    </w:p>
    <w:p w:rsidR="00DC344B" w:rsidRPr="00DC344B" w:rsidRDefault="00EF7998" w:rsidP="00DC344B">
      <w:pPr>
        <w:pStyle w:val="TableGraphic"/>
      </w:pPr>
      <w:r>
        <w:rPr>
          <w:noProof/>
        </w:rPr>
        <w:drawing>
          <wp:inline distT="0" distB="0" distL="0" distR="0" wp14:anchorId="745D22F6" wp14:editId="341336AC">
            <wp:extent cx="4878705" cy="2957362"/>
            <wp:effectExtent l="0" t="0" r="0" b="0"/>
            <wp:docPr id="339" name="Picture 339" descr="Table 3.2.1: Comprehensive income statement (showing net cost of services) &#10;(for the period ended 30 June) (continu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78705" cy="2957362"/>
                    </a:xfrm>
                    <a:prstGeom prst="rect">
                      <a:avLst/>
                    </a:prstGeom>
                    <a:noFill/>
                    <a:ln>
                      <a:noFill/>
                    </a:ln>
                  </pic:spPr>
                </pic:pic>
              </a:graphicData>
            </a:graphic>
          </wp:inline>
        </w:drawing>
      </w:r>
    </w:p>
    <w:p w:rsidR="007452AA" w:rsidRDefault="007452AA" w:rsidP="00200186">
      <w:pPr>
        <w:pStyle w:val="TableHeading"/>
        <w:spacing w:before="0" w:after="0"/>
      </w:pPr>
      <w:r w:rsidRPr="0061699A">
        <w:rPr>
          <w:b w:val="0"/>
        </w:rPr>
        <w:br w:type="page"/>
      </w:r>
      <w:r w:rsidRPr="008B191A">
        <w:lastRenderedPageBreak/>
        <w:t>Table 3.2.2: Budgeted departmental balance sheet (as at 30 June</w:t>
      </w:r>
      <w:r w:rsidRPr="000367BE">
        <w:t>)</w:t>
      </w:r>
    </w:p>
    <w:p w:rsidR="00DC344B" w:rsidRPr="00DC344B" w:rsidRDefault="00E758C7" w:rsidP="00DC344B">
      <w:pPr>
        <w:pStyle w:val="TableGraphic"/>
      </w:pPr>
      <w:r>
        <w:rPr>
          <w:noProof/>
        </w:rPr>
        <w:drawing>
          <wp:inline distT="0" distB="0" distL="0" distR="0" wp14:anchorId="60252F56" wp14:editId="0D95E1B1">
            <wp:extent cx="4848225" cy="5752465"/>
            <wp:effectExtent l="0" t="0" r="9525" b="635"/>
            <wp:docPr id="360" name="Picture 360" descr="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48225" cy="5752465"/>
                    </a:xfrm>
                    <a:prstGeom prst="rect">
                      <a:avLst/>
                    </a:prstGeom>
                    <a:noFill/>
                    <a:ln>
                      <a:noFill/>
                    </a:ln>
                  </pic:spPr>
                </pic:pic>
              </a:graphicData>
            </a:graphic>
          </wp:inline>
        </w:drawing>
      </w:r>
    </w:p>
    <w:p w:rsidR="007452AA" w:rsidRDefault="007452AA" w:rsidP="00950C4C">
      <w:pPr>
        <w:pStyle w:val="TableHeading"/>
      </w:pPr>
      <w:r>
        <w:rPr>
          <w:highlight w:val="yellow"/>
        </w:rPr>
        <w:br w:type="page"/>
      </w:r>
      <w:r w:rsidRPr="009402BE">
        <w:lastRenderedPageBreak/>
        <w:t>Table 3.2.3: Departmental statement of changes in equity</w:t>
      </w:r>
      <w:r w:rsidR="00831D99">
        <w:t xml:space="preserve"> – </w:t>
      </w:r>
      <w:r w:rsidRPr="009402BE">
        <w:t>summary of movement (</w:t>
      </w:r>
      <w:r w:rsidR="00EF43B1">
        <w:t>b</w:t>
      </w:r>
      <w:r w:rsidRPr="009402BE">
        <w:t xml:space="preserve">udget year </w:t>
      </w:r>
      <w:r w:rsidR="009A7B26" w:rsidRPr="00892823">
        <w:t>201</w:t>
      </w:r>
      <w:r w:rsidR="00CF29B7">
        <w:t>3</w:t>
      </w:r>
      <w:r w:rsidR="00742F27">
        <w:t>–</w:t>
      </w:r>
      <w:r w:rsidR="009A7B26" w:rsidRPr="00892823">
        <w:t>1</w:t>
      </w:r>
      <w:r w:rsidR="00CF29B7">
        <w:t>4</w:t>
      </w:r>
      <w:r w:rsidRPr="009402BE">
        <w:t>)</w:t>
      </w:r>
    </w:p>
    <w:p w:rsidR="00DC344B" w:rsidRPr="00DC344B" w:rsidRDefault="00EF7998" w:rsidP="00DC344B">
      <w:pPr>
        <w:pStyle w:val="TableGraphic"/>
      </w:pPr>
      <w:r>
        <w:rPr>
          <w:noProof/>
        </w:rPr>
        <w:drawing>
          <wp:inline distT="0" distB="0" distL="0" distR="0" wp14:anchorId="4A0008E9" wp14:editId="7E62A2AA">
            <wp:extent cx="4878705" cy="3635483"/>
            <wp:effectExtent l="0" t="0" r="0" b="3175"/>
            <wp:docPr id="342" name="Picture 342" descr="Table 3.2.3: Departmental statement of changes in equity – summary of movement (budget yea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78705" cy="3635483"/>
                    </a:xfrm>
                    <a:prstGeom prst="rect">
                      <a:avLst/>
                    </a:prstGeom>
                    <a:noFill/>
                    <a:ln>
                      <a:noFill/>
                    </a:ln>
                  </pic:spPr>
                </pic:pic>
              </a:graphicData>
            </a:graphic>
          </wp:inline>
        </w:drawing>
      </w:r>
    </w:p>
    <w:p w:rsidR="007452AA" w:rsidRDefault="007452AA" w:rsidP="00950C4C">
      <w:pPr>
        <w:pStyle w:val="TableHeading"/>
      </w:pPr>
      <w:r>
        <w:br w:type="page"/>
      </w:r>
      <w:r w:rsidRPr="009402BE">
        <w:lastRenderedPageBreak/>
        <w:t xml:space="preserve">Table 3.2.4: Budgeted departmental statement of cash </w:t>
      </w:r>
      <w:proofErr w:type="gramStart"/>
      <w:r w:rsidRPr="009402BE">
        <w:t>flows</w:t>
      </w:r>
      <w:proofErr w:type="gramEnd"/>
      <w:r w:rsidR="003E7486">
        <w:br/>
      </w:r>
      <w:r w:rsidRPr="009402BE">
        <w:t>(</w:t>
      </w:r>
      <w:r w:rsidR="00BC7E8D">
        <w:t>for the period ended</w:t>
      </w:r>
      <w:r w:rsidR="00C7667A">
        <w:t xml:space="preserve"> </w:t>
      </w:r>
      <w:r w:rsidRPr="009402BE">
        <w:t>30 June)</w:t>
      </w:r>
    </w:p>
    <w:p w:rsidR="00DC344B" w:rsidRPr="00DC344B" w:rsidRDefault="00E758C7" w:rsidP="00DC344B">
      <w:pPr>
        <w:pStyle w:val="TableGraphic"/>
      </w:pPr>
      <w:r>
        <w:rPr>
          <w:noProof/>
        </w:rPr>
        <w:drawing>
          <wp:inline distT="0" distB="0" distL="0" distR="0" wp14:anchorId="290753AA" wp14:editId="192156A2">
            <wp:extent cx="4878705" cy="5848740"/>
            <wp:effectExtent l="0" t="0" r="0" b="0"/>
            <wp:docPr id="361" name="Picture 361" descr="Table 3.2.4: Budgeted departmental statement of cash flows&#10;(for the period ended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78705" cy="5848740"/>
                    </a:xfrm>
                    <a:prstGeom prst="rect">
                      <a:avLst/>
                    </a:prstGeom>
                    <a:noFill/>
                    <a:ln>
                      <a:noFill/>
                    </a:ln>
                  </pic:spPr>
                </pic:pic>
              </a:graphicData>
            </a:graphic>
          </wp:inline>
        </w:drawing>
      </w:r>
    </w:p>
    <w:p w:rsidR="007452AA" w:rsidRDefault="0061699A" w:rsidP="00950C4C">
      <w:pPr>
        <w:pStyle w:val="TableHeading"/>
      </w:pPr>
      <w:r>
        <w:rPr>
          <w:snapToGrid w:val="0"/>
        </w:rPr>
        <w:br w:type="page"/>
      </w:r>
      <w:r w:rsidR="007452AA" w:rsidRPr="0033343C">
        <w:lastRenderedPageBreak/>
        <w:t>Table 3.2.5</w:t>
      </w:r>
      <w:r w:rsidR="007452AA">
        <w:t>:</w:t>
      </w:r>
      <w:r w:rsidR="007452AA" w:rsidRPr="0033343C">
        <w:t xml:space="preserve"> Departmental </w:t>
      </w:r>
      <w:r w:rsidR="00AD1D92">
        <w:t>c</w:t>
      </w:r>
      <w:r w:rsidR="007452AA" w:rsidRPr="0033343C">
        <w:t xml:space="preserve">apital </w:t>
      </w:r>
      <w:r w:rsidR="00AD1D92">
        <w:t>b</w:t>
      </w:r>
      <w:r w:rsidR="007452AA" w:rsidRPr="0033343C">
        <w:t xml:space="preserve">udget </w:t>
      </w:r>
      <w:r w:rsidR="00AD1D92">
        <w:t>s</w:t>
      </w:r>
      <w:r w:rsidR="007452AA" w:rsidRPr="0033343C">
        <w:t>tatement</w:t>
      </w:r>
    </w:p>
    <w:p w:rsidR="00DC344B" w:rsidRPr="00DC344B" w:rsidRDefault="00EF7998" w:rsidP="00DC344B">
      <w:pPr>
        <w:pStyle w:val="TableGraphic"/>
      </w:pPr>
      <w:r>
        <w:rPr>
          <w:noProof/>
        </w:rPr>
        <w:drawing>
          <wp:inline distT="0" distB="0" distL="0" distR="0" wp14:anchorId="2F054F55" wp14:editId="79C1387B">
            <wp:extent cx="4878705" cy="5087928"/>
            <wp:effectExtent l="0" t="0" r="0" b="0"/>
            <wp:docPr id="344" name="Picture 344" descr="Table 3.2.5: Departmental capital budge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78705" cy="5087928"/>
                    </a:xfrm>
                    <a:prstGeom prst="rect">
                      <a:avLst/>
                    </a:prstGeom>
                    <a:noFill/>
                    <a:ln>
                      <a:noFill/>
                    </a:ln>
                  </pic:spPr>
                </pic:pic>
              </a:graphicData>
            </a:graphic>
          </wp:inline>
        </w:drawing>
      </w:r>
    </w:p>
    <w:bookmarkEnd w:id="185"/>
    <w:bookmarkEnd w:id="229"/>
    <w:bookmarkEnd w:id="230"/>
    <w:bookmarkEnd w:id="231"/>
    <w:p w:rsidR="007452AA" w:rsidRDefault="007452AA" w:rsidP="00950C4C">
      <w:pPr>
        <w:pStyle w:val="TableHeading"/>
        <w:rPr>
          <w:snapToGrid w:val="0"/>
        </w:rPr>
      </w:pPr>
      <w:r>
        <w:rPr>
          <w:snapToGrid w:val="0"/>
        </w:rPr>
        <w:br w:type="page"/>
      </w:r>
      <w:r w:rsidRPr="0033343C">
        <w:rPr>
          <w:snapToGrid w:val="0"/>
        </w:rPr>
        <w:lastRenderedPageBreak/>
        <w:t>Table 3.2.6:</w:t>
      </w:r>
      <w:r w:rsidR="003C0FAF">
        <w:rPr>
          <w:snapToGrid w:val="0"/>
        </w:rPr>
        <w:t xml:space="preserve"> </w:t>
      </w:r>
      <w:r w:rsidRPr="0033343C">
        <w:rPr>
          <w:snapToGrid w:val="0"/>
        </w:rPr>
        <w:t xml:space="preserve">Statement of </w:t>
      </w:r>
      <w:r w:rsidR="00742F27">
        <w:rPr>
          <w:snapToGrid w:val="0"/>
        </w:rPr>
        <w:t>a</w:t>
      </w:r>
      <w:r w:rsidRPr="0033343C">
        <w:rPr>
          <w:snapToGrid w:val="0"/>
        </w:rPr>
        <w:t xml:space="preserve">sset </w:t>
      </w:r>
      <w:r w:rsidR="00742F27">
        <w:rPr>
          <w:snapToGrid w:val="0"/>
        </w:rPr>
        <w:t>m</w:t>
      </w:r>
      <w:r w:rsidRPr="0033343C">
        <w:rPr>
          <w:snapToGrid w:val="0"/>
        </w:rPr>
        <w:t>ovements (</w:t>
      </w:r>
      <w:r w:rsidR="00CF29B7">
        <w:rPr>
          <w:snapToGrid w:val="0"/>
        </w:rPr>
        <w:t>2013</w:t>
      </w:r>
      <w:r w:rsidR="00742F27">
        <w:rPr>
          <w:snapToGrid w:val="0"/>
        </w:rPr>
        <w:t>–</w:t>
      </w:r>
      <w:r w:rsidR="009A7B26" w:rsidRPr="00892823">
        <w:rPr>
          <w:snapToGrid w:val="0"/>
        </w:rPr>
        <w:t>1</w:t>
      </w:r>
      <w:r w:rsidR="00CF29B7">
        <w:rPr>
          <w:snapToGrid w:val="0"/>
        </w:rPr>
        <w:t>4</w:t>
      </w:r>
      <w:r w:rsidRPr="0033343C">
        <w:rPr>
          <w:snapToGrid w:val="0"/>
        </w:rPr>
        <w:t>)</w:t>
      </w:r>
    </w:p>
    <w:p w:rsidR="00DC344B" w:rsidRPr="00DC344B" w:rsidRDefault="006F5CEC" w:rsidP="00DC344B">
      <w:pPr>
        <w:pStyle w:val="TableGraphic"/>
      </w:pPr>
      <w:r>
        <w:rPr>
          <w:noProof/>
        </w:rPr>
        <w:drawing>
          <wp:inline distT="0" distB="0" distL="0" distR="0" wp14:anchorId="04A0C744" wp14:editId="2709237E">
            <wp:extent cx="4878705" cy="5274524"/>
            <wp:effectExtent l="0" t="0" r="0" b="2540"/>
            <wp:docPr id="362" name="Picture 362" descr="Table 3.2.6: Statement of asset movement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78705" cy="5274524"/>
                    </a:xfrm>
                    <a:prstGeom prst="rect">
                      <a:avLst/>
                    </a:prstGeom>
                    <a:noFill/>
                    <a:ln>
                      <a:noFill/>
                    </a:ln>
                  </pic:spPr>
                </pic:pic>
              </a:graphicData>
            </a:graphic>
          </wp:inline>
        </w:drawing>
      </w:r>
    </w:p>
    <w:p w:rsidR="007452AA" w:rsidRDefault="007452AA" w:rsidP="00950C4C">
      <w:pPr>
        <w:pStyle w:val="TableHeading"/>
        <w:rPr>
          <w:snapToGrid w:val="0"/>
        </w:rPr>
      </w:pPr>
      <w:r>
        <w:rPr>
          <w:snapToGrid w:val="0"/>
        </w:rPr>
        <w:br w:type="page"/>
      </w:r>
      <w:r>
        <w:rPr>
          <w:snapToGrid w:val="0"/>
        </w:rPr>
        <w:lastRenderedPageBreak/>
        <w:t xml:space="preserve">Table 3.2.7: Schedule of budgeted income </w:t>
      </w:r>
      <w:r w:rsidR="00C7667A">
        <w:rPr>
          <w:snapToGrid w:val="0"/>
        </w:rPr>
        <w:t xml:space="preserve">and </w:t>
      </w:r>
      <w:r>
        <w:rPr>
          <w:snapToGrid w:val="0"/>
        </w:rPr>
        <w:t>expenses administered on behalf of government (for the period ended 30 June)</w:t>
      </w:r>
    </w:p>
    <w:p w:rsidR="00DC344B" w:rsidRPr="00DC344B" w:rsidRDefault="00EF7998" w:rsidP="00DC344B">
      <w:pPr>
        <w:pStyle w:val="TableGraphic"/>
      </w:pPr>
      <w:r>
        <w:rPr>
          <w:noProof/>
        </w:rPr>
        <w:drawing>
          <wp:inline distT="0" distB="0" distL="0" distR="0" wp14:anchorId="24A35D8F" wp14:editId="2A49070D">
            <wp:extent cx="4878000" cy="4773600"/>
            <wp:effectExtent l="0" t="0" r="0" b="8255"/>
            <wp:docPr id="347" name="Picture 347" descr="Table 3.2.7: Schedule of budgeted income and expenses administered on behalf of government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78000" cy="4773600"/>
                    </a:xfrm>
                    <a:prstGeom prst="rect">
                      <a:avLst/>
                    </a:prstGeom>
                    <a:noFill/>
                    <a:ln>
                      <a:noFill/>
                    </a:ln>
                  </pic:spPr>
                </pic:pic>
              </a:graphicData>
            </a:graphic>
          </wp:inline>
        </w:drawing>
      </w:r>
    </w:p>
    <w:p w:rsidR="0061699A" w:rsidRPr="0026272D" w:rsidRDefault="0061699A" w:rsidP="005518E4">
      <w:pPr>
        <w:pStyle w:val="SinglePara"/>
        <w:rPr>
          <w:snapToGrid w:val="0"/>
        </w:rPr>
      </w:pPr>
    </w:p>
    <w:p w:rsidR="007452AA" w:rsidRDefault="007452AA" w:rsidP="00950C4C">
      <w:pPr>
        <w:pStyle w:val="TableHeading"/>
        <w:rPr>
          <w:snapToGrid w:val="0"/>
        </w:rPr>
      </w:pPr>
      <w:r w:rsidRPr="0026272D">
        <w:rPr>
          <w:highlight w:val="yellow"/>
        </w:rPr>
        <w:br w:type="page"/>
      </w:r>
      <w:r w:rsidRPr="00037321">
        <w:rPr>
          <w:snapToGrid w:val="0"/>
        </w:rPr>
        <w:lastRenderedPageBreak/>
        <w:t>Table 3.2.8: Schedule of budgeted assets and liabilities administered on behalf of government (as at 30 June)</w:t>
      </w:r>
    </w:p>
    <w:p w:rsidR="007C0A24" w:rsidRPr="007C0A24" w:rsidRDefault="00EF7998" w:rsidP="007C0A24">
      <w:pPr>
        <w:pStyle w:val="TableGraphic"/>
      </w:pPr>
      <w:r>
        <w:rPr>
          <w:noProof/>
        </w:rPr>
        <w:drawing>
          <wp:inline distT="0" distB="0" distL="0" distR="0" wp14:anchorId="4EA037DE" wp14:editId="738C17B0">
            <wp:extent cx="4848225" cy="4629150"/>
            <wp:effectExtent l="0" t="0" r="9525" b="0"/>
            <wp:docPr id="348" name="Picture 348" descr="Table 3.2.8: Schedule of budgeted assets and liabilities administered on behalf of governmen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48225" cy="4629150"/>
                    </a:xfrm>
                    <a:prstGeom prst="rect">
                      <a:avLst/>
                    </a:prstGeom>
                    <a:noFill/>
                    <a:ln>
                      <a:noFill/>
                    </a:ln>
                  </pic:spPr>
                </pic:pic>
              </a:graphicData>
            </a:graphic>
          </wp:inline>
        </w:drawing>
      </w:r>
    </w:p>
    <w:p w:rsidR="0061699A" w:rsidRDefault="007452AA" w:rsidP="007C0A24">
      <w:pPr>
        <w:pStyle w:val="TableHeading"/>
        <w:rPr>
          <w:snapToGrid w:val="0"/>
        </w:rPr>
      </w:pPr>
      <w:r>
        <w:rPr>
          <w:snapToGrid w:val="0"/>
          <w:highlight w:val="yellow"/>
        </w:rPr>
        <w:br w:type="page"/>
      </w:r>
      <w:r w:rsidRPr="00831C8C">
        <w:rPr>
          <w:snapToGrid w:val="0"/>
        </w:rPr>
        <w:lastRenderedPageBreak/>
        <w:t>Table 3.2.9: Schedule of budgeted admin</w:t>
      </w:r>
      <w:r w:rsidR="00792AE4">
        <w:rPr>
          <w:snapToGrid w:val="0"/>
        </w:rPr>
        <w:t xml:space="preserve">istered cash </w:t>
      </w:r>
      <w:proofErr w:type="gramStart"/>
      <w:r w:rsidR="00792AE4">
        <w:rPr>
          <w:snapToGrid w:val="0"/>
        </w:rPr>
        <w:t>flows</w:t>
      </w:r>
      <w:proofErr w:type="gramEnd"/>
      <w:r w:rsidR="00792AE4">
        <w:rPr>
          <w:snapToGrid w:val="0"/>
        </w:rPr>
        <w:br/>
      </w:r>
      <w:r w:rsidR="004E295C">
        <w:rPr>
          <w:snapToGrid w:val="0"/>
        </w:rPr>
        <w:t>(for the period ended 30 June)</w:t>
      </w:r>
    </w:p>
    <w:p w:rsidR="007C0A24" w:rsidRPr="007C0A24" w:rsidRDefault="0060179B" w:rsidP="007C0A24">
      <w:pPr>
        <w:pStyle w:val="TableGraphic"/>
      </w:pPr>
      <w:r>
        <w:rPr>
          <w:noProof/>
        </w:rPr>
        <w:drawing>
          <wp:inline distT="0" distB="0" distL="0" distR="0" wp14:anchorId="6075A52F" wp14:editId="1C4EEBA5">
            <wp:extent cx="4878705" cy="5702747"/>
            <wp:effectExtent l="0" t="0" r="0" b="0"/>
            <wp:docPr id="363" name="Picture 363" descr="Table 3.2.9: Schedule of budgeted administered cash flows&#10;(for the period ended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78705" cy="5702747"/>
                    </a:xfrm>
                    <a:prstGeom prst="rect">
                      <a:avLst/>
                    </a:prstGeom>
                    <a:noFill/>
                    <a:ln>
                      <a:noFill/>
                    </a:ln>
                  </pic:spPr>
                </pic:pic>
              </a:graphicData>
            </a:graphic>
          </wp:inline>
        </w:drawing>
      </w:r>
    </w:p>
    <w:p w:rsidR="00C7667A" w:rsidRDefault="00CA7E25" w:rsidP="00950C4C">
      <w:pPr>
        <w:pStyle w:val="TableHeading"/>
        <w:rPr>
          <w:snapToGrid w:val="0"/>
        </w:rPr>
      </w:pPr>
      <w:r>
        <w:rPr>
          <w:snapToGrid w:val="0"/>
        </w:rPr>
        <w:br w:type="page"/>
      </w:r>
      <w:r w:rsidR="00C7667A" w:rsidRPr="00831C8C">
        <w:rPr>
          <w:snapToGrid w:val="0"/>
        </w:rPr>
        <w:lastRenderedPageBreak/>
        <w:t>Table 3.2.</w:t>
      </w:r>
      <w:r w:rsidR="00C7667A">
        <w:rPr>
          <w:snapToGrid w:val="0"/>
        </w:rPr>
        <w:t>10</w:t>
      </w:r>
      <w:r w:rsidR="00C7667A" w:rsidRPr="00831C8C">
        <w:rPr>
          <w:snapToGrid w:val="0"/>
        </w:rPr>
        <w:t xml:space="preserve">: </w:t>
      </w:r>
      <w:r w:rsidR="00E83C8A">
        <w:rPr>
          <w:snapToGrid w:val="0"/>
        </w:rPr>
        <w:t>Statement of administered asset movements (201</w:t>
      </w:r>
      <w:r w:rsidR="00CF29B7">
        <w:rPr>
          <w:snapToGrid w:val="0"/>
        </w:rPr>
        <w:t>3</w:t>
      </w:r>
      <w:r w:rsidR="00E83C8A">
        <w:rPr>
          <w:snapToGrid w:val="0"/>
        </w:rPr>
        <w:t>–1</w:t>
      </w:r>
      <w:r w:rsidR="00CF29B7">
        <w:rPr>
          <w:snapToGrid w:val="0"/>
        </w:rPr>
        <w:t>4</w:t>
      </w:r>
      <w:r w:rsidR="00E83C8A">
        <w:rPr>
          <w:snapToGrid w:val="0"/>
        </w:rPr>
        <w:t>)</w:t>
      </w:r>
    </w:p>
    <w:p w:rsidR="007C0A24" w:rsidRPr="007C0A24" w:rsidRDefault="00EF7998" w:rsidP="007C0A24">
      <w:pPr>
        <w:pStyle w:val="TableGraphic"/>
      </w:pPr>
      <w:r>
        <w:rPr>
          <w:noProof/>
        </w:rPr>
        <w:drawing>
          <wp:inline distT="0" distB="0" distL="0" distR="0" wp14:anchorId="1AB2DE2E" wp14:editId="5B0237E4">
            <wp:extent cx="4878705" cy="1483583"/>
            <wp:effectExtent l="0" t="0" r="0" b="2540"/>
            <wp:docPr id="350" name="Picture 350" descr="Table 3.2.10: Statement of administered asset movement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78705" cy="1483583"/>
                    </a:xfrm>
                    <a:prstGeom prst="rect">
                      <a:avLst/>
                    </a:prstGeom>
                    <a:noFill/>
                    <a:ln>
                      <a:noFill/>
                    </a:ln>
                  </pic:spPr>
                </pic:pic>
              </a:graphicData>
            </a:graphic>
          </wp:inline>
        </w:drawing>
      </w:r>
    </w:p>
    <w:p w:rsidR="007452AA" w:rsidRDefault="00CF29B7" w:rsidP="0099145C">
      <w:pPr>
        <w:pStyle w:val="Heading4"/>
        <w:spacing w:before="360"/>
      </w:pPr>
      <w:bookmarkStart w:id="232" w:name="_Toc53350575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br w:type="page"/>
      </w:r>
      <w:r w:rsidR="00AD1D92">
        <w:lastRenderedPageBreak/>
        <w:t>3.2.</w:t>
      </w:r>
      <w:r w:rsidR="00061C39">
        <w:t>4</w:t>
      </w:r>
      <w:r w:rsidR="00AD1D92">
        <w:tab/>
      </w:r>
      <w:r w:rsidR="007452AA" w:rsidRPr="00AD1D92">
        <w:t xml:space="preserve">Notes to the financial statements </w:t>
      </w:r>
    </w:p>
    <w:bookmarkEnd w:id="232"/>
    <w:p w:rsidR="00BD79D2" w:rsidRPr="00BD79D2" w:rsidRDefault="00BD79D2" w:rsidP="00BD79D2">
      <w:r w:rsidRPr="00BD79D2">
        <w:t>Budgeted statements of income and expenditure, assets and liabilities and cash flows have been included for the financial years 2012</w:t>
      </w:r>
      <w:r>
        <w:t>–</w:t>
      </w:r>
      <w:r w:rsidRPr="00BD79D2">
        <w:t>13 to 2016</w:t>
      </w:r>
      <w:r>
        <w:t>–</w:t>
      </w:r>
      <w:r w:rsidRPr="00BD79D2">
        <w:t>17. These statements are prepared in accordance with the requirements of the Government's financial budget and rep</w:t>
      </w:r>
      <w:r>
        <w:t>orting framework.</w:t>
      </w:r>
    </w:p>
    <w:p w:rsidR="00BD79D2" w:rsidRPr="00BD79D2" w:rsidRDefault="00BD79D2" w:rsidP="00BD79D2">
      <w:r w:rsidRPr="00BD79D2">
        <w:t>Amounts in these statements are rounded t</w:t>
      </w:r>
      <w:r>
        <w:t>o the nearest thousand dollars.</w:t>
      </w:r>
    </w:p>
    <w:p w:rsidR="00BD79D2" w:rsidRPr="00BD79D2" w:rsidRDefault="00BD79D2" w:rsidP="00BD79D2">
      <w:pPr>
        <w:pStyle w:val="Heading5"/>
      </w:pPr>
      <w:r w:rsidRPr="00BD79D2">
        <w:t xml:space="preserve">Reporting Entities </w:t>
      </w:r>
    </w:p>
    <w:p w:rsidR="00BD79D2" w:rsidRPr="00BD79D2" w:rsidRDefault="00BD79D2" w:rsidP="00BD79D2">
      <w:pPr>
        <w:pStyle w:val="BulletIntro"/>
      </w:pPr>
      <w:r w:rsidRPr="00BD79D2">
        <w:t xml:space="preserve">FaHCSIA's budgeted financial statements include: </w:t>
      </w:r>
    </w:p>
    <w:p w:rsidR="00BD79D2" w:rsidRPr="00BD79D2" w:rsidRDefault="00906D14" w:rsidP="00BD79D2">
      <w:pPr>
        <w:pStyle w:val="Bullet"/>
      </w:pPr>
      <w:r>
        <w:t>the Department (FaHCSIA core),</w:t>
      </w:r>
    </w:p>
    <w:p w:rsidR="00BD79D2" w:rsidRPr="00BD79D2" w:rsidRDefault="00BD79D2" w:rsidP="00BD79D2">
      <w:pPr>
        <w:pStyle w:val="Bullet"/>
      </w:pPr>
      <w:r w:rsidRPr="00BD79D2">
        <w:t>the S</w:t>
      </w:r>
      <w:r w:rsidR="00906D14">
        <w:t>ocial Security Appeals Tribunal,</w:t>
      </w:r>
    </w:p>
    <w:p w:rsidR="00BD79D2" w:rsidRPr="00BD79D2" w:rsidRDefault="00BD79D2" w:rsidP="00BD79D2">
      <w:pPr>
        <w:pStyle w:val="Bullet"/>
      </w:pPr>
      <w:r w:rsidRPr="00BD79D2">
        <w:t xml:space="preserve">the Aboriginals Benefit </w:t>
      </w:r>
      <w:r w:rsidR="00906D14">
        <w:t>Account,</w:t>
      </w:r>
    </w:p>
    <w:p w:rsidR="00906D14" w:rsidRDefault="00BD79D2" w:rsidP="00906D14">
      <w:pPr>
        <w:pStyle w:val="Bullet"/>
      </w:pPr>
      <w:r w:rsidRPr="00BD79D2">
        <w:t>the Aboriginal and Torre</w:t>
      </w:r>
      <w:r>
        <w:t>s Strait Islander Land Account</w:t>
      </w:r>
      <w:r w:rsidR="00906D14">
        <w:t>, and</w:t>
      </w:r>
    </w:p>
    <w:p w:rsidR="00BD79D2" w:rsidRPr="00BD79D2" w:rsidRDefault="00906D14" w:rsidP="00906D14">
      <w:pPr>
        <w:pStyle w:val="BulletLast"/>
      </w:pPr>
      <w:proofErr w:type="spellStart"/>
      <w:r>
        <w:t>DisabilityCare</w:t>
      </w:r>
      <w:proofErr w:type="spellEnd"/>
      <w:r>
        <w:t xml:space="preserve"> Australia</w:t>
      </w:r>
      <w:r w:rsidR="00BD79D2">
        <w:t>.</w:t>
      </w:r>
    </w:p>
    <w:p w:rsidR="00BD79D2" w:rsidRPr="00BD79D2" w:rsidRDefault="00BD79D2" w:rsidP="00BD79D2">
      <w:pPr>
        <w:pStyle w:val="Heading5"/>
      </w:pPr>
      <w:r w:rsidRPr="00BD79D2">
        <w:t xml:space="preserve">Departmental and Administered Items </w:t>
      </w:r>
    </w:p>
    <w:p w:rsidR="00BD79D2" w:rsidRPr="00BD79D2" w:rsidRDefault="00BD79D2" w:rsidP="00BD79D2">
      <w:r w:rsidRPr="00BD79D2">
        <w:t>Departmental revenues, expenses, assets and liabilities are those which are controlled by FaHCSIA. Departmental expenses include employee and supplier expenses and other administrative costs which are incurred by FaHCSIA in providing its goods and services</w:t>
      </w:r>
      <w:r>
        <w:t>.</w:t>
      </w:r>
    </w:p>
    <w:p w:rsidR="00BD79D2" w:rsidRPr="00BD79D2" w:rsidRDefault="00BD79D2" w:rsidP="00BD79D2">
      <w:r w:rsidRPr="00BD79D2">
        <w:t>Administered items are revenues, expenses, assets and liabilities which are managed by FaHCSIA on behalf of the Australian Government, according to set government directions. Administered expenses include subsidies, grants and personal benefit payments.</w:t>
      </w:r>
    </w:p>
    <w:p w:rsidR="00BD79D2" w:rsidRPr="00BD79D2" w:rsidRDefault="00BD79D2" w:rsidP="00BD79D2">
      <w:r w:rsidRPr="00BD79D2">
        <w:t xml:space="preserve">The distinction between departmental and administered funding enables an assessment of the administrative efficiency of the department in </w:t>
      </w:r>
      <w:r>
        <w:t>managing government programmes.</w:t>
      </w:r>
    </w:p>
    <w:p w:rsidR="00BD79D2" w:rsidRPr="00BD79D2" w:rsidRDefault="00BD79D2" w:rsidP="00BD79D2">
      <w:pPr>
        <w:pStyle w:val="Heading5"/>
      </w:pPr>
      <w:r w:rsidRPr="00BD79D2">
        <w:t xml:space="preserve">Asset Valuation </w:t>
      </w:r>
    </w:p>
    <w:p w:rsidR="00BD79D2" w:rsidRPr="00BD79D2" w:rsidRDefault="00BD79D2" w:rsidP="00BD79D2">
      <w:r w:rsidRPr="00BD79D2">
        <w:t xml:space="preserve">All assets are initially recorded at cost. Property, plant and equipment and other infrastructure assets are periodically </w:t>
      </w:r>
      <w:proofErr w:type="spellStart"/>
      <w:r w:rsidRPr="00BD79D2">
        <w:t>revalued</w:t>
      </w:r>
      <w:proofErr w:type="spellEnd"/>
      <w:r w:rsidRPr="00BD79D2">
        <w:t xml:space="preserve"> at their fair value. </w:t>
      </w:r>
    </w:p>
    <w:p w:rsidR="00BD79D2" w:rsidRPr="00BD79D2" w:rsidRDefault="00BD79D2" w:rsidP="00BD79D2">
      <w:pPr>
        <w:pStyle w:val="Heading5"/>
      </w:pPr>
      <w:r w:rsidRPr="00BD79D2">
        <w:t xml:space="preserve">Commentary </w:t>
      </w:r>
      <w:r w:rsidR="002C4F90">
        <w:t>–</w:t>
      </w:r>
      <w:r w:rsidRPr="00BD79D2">
        <w:t xml:space="preserve"> Financial Statements </w:t>
      </w:r>
    </w:p>
    <w:p w:rsidR="00BD79D2" w:rsidRPr="00BD79D2" w:rsidRDefault="00BD79D2" w:rsidP="0017779B">
      <w:pPr>
        <w:pStyle w:val="H6"/>
      </w:pPr>
      <w:r w:rsidRPr="00BD79D2">
        <w:t xml:space="preserve">Intangibles (Departmental) </w:t>
      </w:r>
    </w:p>
    <w:p w:rsidR="00BD79D2" w:rsidRPr="00BD79D2" w:rsidRDefault="00BD79D2" w:rsidP="00BD79D2">
      <w:r w:rsidRPr="00BD79D2">
        <w:t xml:space="preserve">Intangibles represent the amount of computer software currently recorded by FaHCSIA. Intangible assets are recorded at cost. </w:t>
      </w:r>
    </w:p>
    <w:p w:rsidR="00BD79D2" w:rsidRPr="00BD79D2" w:rsidRDefault="00BD79D2" w:rsidP="0017779B">
      <w:pPr>
        <w:pStyle w:val="H6"/>
      </w:pPr>
      <w:r w:rsidRPr="00BD79D2">
        <w:lastRenderedPageBreak/>
        <w:t>Employee provisions (Departmental)</w:t>
      </w:r>
    </w:p>
    <w:p w:rsidR="00BD79D2" w:rsidRPr="00BD79D2" w:rsidRDefault="00BD79D2" w:rsidP="00BD79D2">
      <w:r w:rsidRPr="00BD79D2">
        <w:t>Employee provisions consist of accrued leave entitlements, accrued salary and wages and superannuation payments that are owed to employees at the end of the financial year.</w:t>
      </w:r>
    </w:p>
    <w:p w:rsidR="00BD79D2" w:rsidRPr="00BD79D2" w:rsidRDefault="00BD79D2" w:rsidP="0017779B">
      <w:pPr>
        <w:pStyle w:val="H6"/>
      </w:pPr>
      <w:r w:rsidRPr="00BD79D2">
        <w:t>Receivables (Administered)</w:t>
      </w:r>
    </w:p>
    <w:p w:rsidR="00BD79D2" w:rsidRPr="00BD79D2" w:rsidRDefault="00BD79D2" w:rsidP="00BD79D2">
      <w:r w:rsidRPr="00BD79D2">
        <w:t>Administered receivables represent amounts owing to the Australian Government for overpayments to benefit recipients. The figure presented in the financial statements is net of provisions recognised for bad and doubtful debts.</w:t>
      </w:r>
    </w:p>
    <w:p w:rsidR="00BD79D2" w:rsidRPr="00BD79D2" w:rsidRDefault="00BD79D2" w:rsidP="0017779B">
      <w:pPr>
        <w:pStyle w:val="H6"/>
      </w:pPr>
      <w:r w:rsidRPr="00BD79D2">
        <w:t>Investments (Administered)</w:t>
      </w:r>
    </w:p>
    <w:p w:rsidR="00BD79D2" w:rsidRPr="00BD79D2" w:rsidRDefault="00BD79D2" w:rsidP="00BD79D2">
      <w:r w:rsidRPr="00BD79D2">
        <w:t>Administered investments primarily represent the investments in the Aboriginal and Torres Strait Islander Land Account.</w:t>
      </w:r>
    </w:p>
    <w:p w:rsidR="00BD79D2" w:rsidRPr="00BD79D2" w:rsidRDefault="00BD79D2" w:rsidP="0017779B">
      <w:pPr>
        <w:pStyle w:val="H6"/>
      </w:pPr>
      <w:proofErr w:type="spellStart"/>
      <w:r w:rsidRPr="00BD79D2">
        <w:t>Non Financial</w:t>
      </w:r>
      <w:proofErr w:type="spellEnd"/>
      <w:r w:rsidRPr="00BD79D2">
        <w:t xml:space="preserve"> Assets </w:t>
      </w:r>
      <w:r w:rsidR="002C4F90">
        <w:t>–</w:t>
      </w:r>
      <w:r w:rsidRPr="00BD79D2">
        <w:t xml:space="preserve"> Other (Administered)</w:t>
      </w:r>
    </w:p>
    <w:p w:rsidR="00BD79D2" w:rsidRPr="00BD79D2" w:rsidRDefault="00BD79D2" w:rsidP="00BD79D2">
      <w:r w:rsidRPr="00BD79D2">
        <w:t>Other non-financial assets item relates to estimated administered prepayments at the end of the financial year.</w:t>
      </w:r>
    </w:p>
    <w:p w:rsidR="00BD79D2" w:rsidRPr="00BD79D2" w:rsidRDefault="00BD79D2" w:rsidP="0017779B">
      <w:pPr>
        <w:pStyle w:val="H6"/>
      </w:pPr>
      <w:r w:rsidRPr="00BD79D2">
        <w:t>Personal benefits payable (Administered)</w:t>
      </w:r>
    </w:p>
    <w:p w:rsidR="00815AFD" w:rsidRDefault="00BD79D2" w:rsidP="00BD79D2">
      <w:r w:rsidRPr="00BD79D2">
        <w:t>Personal benefits payable relates to special appropriation amounts recognised as payables due to the timing of pay days to benefit recipients at the end of the financial year.</w:t>
      </w:r>
    </w:p>
    <w:p w:rsidR="00CF29B7" w:rsidRDefault="00CF29B7">
      <w:pPr>
        <w:sectPr w:rsidR="00CF29B7" w:rsidSect="00D7542D">
          <w:headerReference w:type="even" r:id="rId107"/>
          <w:headerReference w:type="default" r:id="rId108"/>
          <w:footerReference w:type="even" r:id="rId109"/>
          <w:footerReference w:type="default" r:id="rId110"/>
          <w:headerReference w:type="first" r:id="rId111"/>
          <w:footerReference w:type="first" r:id="rId112"/>
          <w:type w:val="oddPage"/>
          <w:pgSz w:w="11907" w:h="16840" w:code="9"/>
          <w:pgMar w:top="2466" w:right="2126" w:bottom="2466" w:left="2098" w:header="1899" w:footer="1899" w:gutter="0"/>
          <w:cols w:space="708"/>
          <w:titlePg/>
          <w:docGrid w:linePitch="360"/>
        </w:sectPr>
      </w:pPr>
    </w:p>
    <w:p w:rsidR="00CF29B7" w:rsidRDefault="00CF29B7" w:rsidP="008E4CBB">
      <w:pPr>
        <w:pStyle w:val="PartHeading"/>
        <w:spacing w:before="2160"/>
      </w:pPr>
      <w:r>
        <w:lastRenderedPageBreak/>
        <w:t>Aboriginal Hostels Limited</w:t>
      </w:r>
    </w:p>
    <w:p w:rsidR="00CF29B7" w:rsidRPr="00CF29B7" w:rsidRDefault="00114603" w:rsidP="008E4CBB">
      <w:pPr>
        <w:pStyle w:val="PartHeading"/>
        <w:spacing w:before="2160"/>
      </w:pPr>
      <w:r>
        <w:t>Agency resources and planned p</w:t>
      </w:r>
      <w:r w:rsidR="00CF29B7">
        <w:t>erformance</w:t>
      </w:r>
    </w:p>
    <w:p w:rsidR="008E4CBB" w:rsidRDefault="008E4CBB" w:rsidP="004B0BB1">
      <w:pPr>
        <w:jc w:val="left"/>
        <w:sectPr w:rsidR="008E4CBB" w:rsidSect="00D7542D">
          <w:footerReference w:type="first" r:id="rId113"/>
          <w:type w:val="oddPage"/>
          <w:pgSz w:w="11907" w:h="16840" w:code="9"/>
          <w:pgMar w:top="2466" w:right="2126" w:bottom="2466" w:left="2098" w:header="1899" w:footer="1899" w:gutter="0"/>
          <w:cols w:space="708"/>
          <w:titlePg/>
          <w:docGrid w:linePitch="360"/>
        </w:sectPr>
      </w:pPr>
    </w:p>
    <w:p w:rsidR="008E4CBB" w:rsidRPr="00042738" w:rsidRDefault="008E4CBB" w:rsidP="008E4CBB">
      <w:pPr>
        <w:pStyle w:val="ContentsHeading"/>
      </w:pPr>
      <w:r>
        <w:lastRenderedPageBreak/>
        <w:t>Aboriginal Hostels Limited</w:t>
      </w:r>
    </w:p>
    <w:p w:rsidR="008E4CBB" w:rsidRPr="0032739E" w:rsidRDefault="008E4CBB" w:rsidP="008E4CBB">
      <w:pPr>
        <w:pStyle w:val="TOC1"/>
      </w:pPr>
      <w:r w:rsidRPr="0032739E">
        <w:t>Section 1: Agency overview and resources</w:t>
      </w:r>
      <w:r w:rsidRPr="0032739E">
        <w:tab/>
      </w:r>
      <w:r w:rsidR="009A2C55">
        <w:t>179</w:t>
      </w:r>
    </w:p>
    <w:p w:rsidR="008E4CBB" w:rsidRPr="0032739E" w:rsidRDefault="008E4CBB" w:rsidP="008E4CBB">
      <w:pPr>
        <w:pStyle w:val="TOC2"/>
      </w:pPr>
      <w:r w:rsidRPr="0032739E">
        <w:t>1.1</w:t>
      </w:r>
      <w:r>
        <w:t xml:space="preserve"> </w:t>
      </w:r>
      <w:r w:rsidRPr="0032739E">
        <w:t xml:space="preserve">Strategic </w:t>
      </w:r>
      <w:r>
        <w:t>d</w:t>
      </w:r>
      <w:r w:rsidRPr="0032739E">
        <w:t>irection</w:t>
      </w:r>
      <w:r w:rsidR="006911FE">
        <w:t xml:space="preserve"> statement</w:t>
      </w:r>
      <w:r w:rsidRPr="0032739E">
        <w:tab/>
      </w:r>
      <w:r w:rsidR="009A2C55">
        <w:t>179</w:t>
      </w:r>
    </w:p>
    <w:p w:rsidR="008E4CBB" w:rsidRPr="0032739E" w:rsidRDefault="008E4CBB" w:rsidP="008E4CBB">
      <w:pPr>
        <w:pStyle w:val="TOC2"/>
      </w:pPr>
      <w:r w:rsidRPr="0032739E">
        <w:t>1.2</w:t>
      </w:r>
      <w:r>
        <w:t xml:space="preserve"> </w:t>
      </w:r>
      <w:r w:rsidRPr="0032739E">
        <w:t xml:space="preserve">Agency </w:t>
      </w:r>
      <w:r>
        <w:t>r</w:t>
      </w:r>
      <w:r w:rsidRPr="0032739E">
        <w:t xml:space="preserve">esource </w:t>
      </w:r>
      <w:r>
        <w:t>s</w:t>
      </w:r>
      <w:r w:rsidRPr="0032739E">
        <w:t>tatement</w:t>
      </w:r>
      <w:r w:rsidRPr="0032739E">
        <w:tab/>
      </w:r>
      <w:r w:rsidR="009A2C55">
        <w:t>180</w:t>
      </w:r>
    </w:p>
    <w:p w:rsidR="008E4CBB" w:rsidRPr="0032739E" w:rsidRDefault="008E4CBB" w:rsidP="008E4CBB">
      <w:pPr>
        <w:pStyle w:val="TOC2"/>
      </w:pPr>
      <w:r w:rsidRPr="0032739E">
        <w:t>1.3</w:t>
      </w:r>
      <w:r>
        <w:t xml:space="preserve"> Budget measures</w:t>
      </w:r>
      <w:r w:rsidRPr="0032739E">
        <w:tab/>
      </w:r>
      <w:r w:rsidR="009A2C55">
        <w:t>181</w:t>
      </w:r>
    </w:p>
    <w:p w:rsidR="008E4CBB" w:rsidRPr="0032739E" w:rsidRDefault="008E4CBB" w:rsidP="008E4CBB">
      <w:pPr>
        <w:pStyle w:val="TOC1"/>
      </w:pPr>
      <w:r w:rsidRPr="0032739E">
        <w:t xml:space="preserve">Section 2: </w:t>
      </w:r>
      <w:r>
        <w:t>O</w:t>
      </w:r>
      <w:r w:rsidRPr="0032739E">
        <w:t>utcomes and planned performance</w:t>
      </w:r>
      <w:r w:rsidRPr="0032739E">
        <w:tab/>
      </w:r>
      <w:r w:rsidR="009A2C55">
        <w:t>182</w:t>
      </w:r>
    </w:p>
    <w:p w:rsidR="008E4CBB" w:rsidRPr="0032739E" w:rsidRDefault="008E4CBB" w:rsidP="008E4CBB">
      <w:pPr>
        <w:pStyle w:val="TOC2"/>
      </w:pPr>
      <w:r w:rsidRPr="0032739E">
        <w:t>2.1</w:t>
      </w:r>
      <w:r>
        <w:t xml:space="preserve"> Outcomes and</w:t>
      </w:r>
      <w:r w:rsidRPr="0032739E">
        <w:t xml:space="preserve"> performance information</w:t>
      </w:r>
      <w:r w:rsidRPr="0032739E">
        <w:tab/>
      </w:r>
      <w:r w:rsidR="009A2C55">
        <w:t>182</w:t>
      </w:r>
    </w:p>
    <w:p w:rsidR="008E4CBB" w:rsidRPr="0032739E" w:rsidRDefault="008E4CBB" w:rsidP="008E4CBB">
      <w:pPr>
        <w:pStyle w:val="TOC1"/>
      </w:pPr>
      <w:r w:rsidRPr="0032739E">
        <w:t>Section 3: Explanatory tables and budgeted financial statements</w:t>
      </w:r>
      <w:r w:rsidRPr="0032739E">
        <w:tab/>
      </w:r>
      <w:r w:rsidR="009A2C55">
        <w:t>190</w:t>
      </w:r>
    </w:p>
    <w:p w:rsidR="008E4CBB" w:rsidRPr="0032739E" w:rsidRDefault="008E4CBB" w:rsidP="008E4CBB">
      <w:pPr>
        <w:pStyle w:val="TOC2"/>
      </w:pPr>
      <w:r w:rsidRPr="0032739E">
        <w:t>3.1</w:t>
      </w:r>
      <w:r>
        <w:t xml:space="preserve"> </w:t>
      </w:r>
      <w:r w:rsidRPr="0032739E">
        <w:t>Explanatory tables</w:t>
      </w:r>
      <w:r w:rsidRPr="0032739E">
        <w:tab/>
      </w:r>
      <w:r w:rsidR="009A2C55">
        <w:t>190</w:t>
      </w:r>
    </w:p>
    <w:p w:rsidR="008E4CBB" w:rsidRDefault="008E4CBB" w:rsidP="008E4CBB">
      <w:pPr>
        <w:pStyle w:val="TOC2"/>
      </w:pPr>
      <w:r w:rsidRPr="0032739E">
        <w:t>3.2</w:t>
      </w:r>
      <w:r>
        <w:t xml:space="preserve"> </w:t>
      </w:r>
      <w:r w:rsidRPr="0032739E">
        <w:t>Budgeted financial statements</w:t>
      </w:r>
      <w:r w:rsidRPr="0032739E">
        <w:tab/>
      </w:r>
      <w:r w:rsidR="009A2C55">
        <w:t>191</w:t>
      </w:r>
    </w:p>
    <w:p w:rsidR="008E4CBB" w:rsidRPr="008E4CBB" w:rsidRDefault="008E4CBB" w:rsidP="008E4CBB"/>
    <w:p w:rsidR="008E4CBB" w:rsidRDefault="008E4CBB" w:rsidP="004B0BB1">
      <w:pPr>
        <w:jc w:val="left"/>
        <w:sectPr w:rsidR="008E4CBB" w:rsidSect="00D7542D">
          <w:headerReference w:type="first" r:id="rId114"/>
          <w:footerReference w:type="first" r:id="rId115"/>
          <w:type w:val="oddPage"/>
          <w:pgSz w:w="11907" w:h="16840" w:code="9"/>
          <w:pgMar w:top="2466" w:right="2126" w:bottom="2466" w:left="2098" w:header="1899" w:footer="1899" w:gutter="0"/>
          <w:cols w:space="708"/>
          <w:titlePg/>
          <w:docGrid w:linePitch="360"/>
        </w:sectPr>
      </w:pPr>
    </w:p>
    <w:p w:rsidR="00CF29B7" w:rsidRDefault="008E4CBB" w:rsidP="008E4CBB">
      <w:pPr>
        <w:pStyle w:val="Heading1"/>
      </w:pPr>
      <w:r>
        <w:lastRenderedPageBreak/>
        <w:t>Aboriginal Hostels Limited</w:t>
      </w:r>
    </w:p>
    <w:p w:rsidR="008E4CBB" w:rsidRDefault="008E4CBB" w:rsidP="008E4CBB">
      <w:pPr>
        <w:pStyle w:val="Heading2"/>
      </w:pPr>
      <w:r>
        <w:t>Section 1: Agency overview and resources</w:t>
      </w:r>
    </w:p>
    <w:p w:rsidR="008E4CBB" w:rsidRDefault="0099580F" w:rsidP="0099580F">
      <w:r w:rsidRPr="0099580F">
        <w:t>Aboriginal Hostels Limited’s (AHL) outcome is to improve access to education, employment, health, and other services for Aboriginal and Torres Strait Islander people travelling or relocating, through the operation of temporary hostel accommodation services.</w:t>
      </w:r>
    </w:p>
    <w:p w:rsidR="008E4CBB" w:rsidRDefault="008E4CBB" w:rsidP="008E4CBB">
      <w:pPr>
        <w:pStyle w:val="Heading3"/>
        <w:numPr>
          <w:ilvl w:val="1"/>
          <w:numId w:val="26"/>
        </w:numPr>
      </w:pPr>
      <w:r>
        <w:t>Strategic direction statement</w:t>
      </w:r>
    </w:p>
    <w:p w:rsidR="0099580F" w:rsidRDefault="0099580F" w:rsidP="0099580F">
      <w:r>
        <w:t>Aboriginal Hostels Limited’s primary objective is the provision of safe, comfortable, culturally appropriate and affordable accommodation for the many Indigenous Australians who must live away from home in order to access services and economic opportunity.</w:t>
      </w:r>
    </w:p>
    <w:p w:rsidR="008E4CBB" w:rsidRDefault="0099580F" w:rsidP="0099580F">
      <w:r>
        <w:t>The AHL national network of accommodation facilities provides up to 2,138 resident bed nights every night for Indigenous people and AHL also assists community organisations to provide up to a further 799 resident bed nights every night.</w:t>
      </w:r>
    </w:p>
    <w:p w:rsidR="0099580F" w:rsidRDefault="0099580F" w:rsidP="0099580F">
      <w:pPr>
        <w:pStyle w:val="BulletIntro"/>
      </w:pPr>
      <w:r w:rsidRPr="0099580F">
        <w:t>The Board of Directors of AHL and the Executive continue to refocus its strategic objectives on:</w:t>
      </w:r>
    </w:p>
    <w:p w:rsidR="0099580F" w:rsidRDefault="0099580F" w:rsidP="0099580F">
      <w:pPr>
        <w:pStyle w:val="Bullet"/>
      </w:pPr>
      <w:r>
        <w:t>improving organisational capacity and business directions in line with the Government’s policy of ‘Closing the Gap’;</w:t>
      </w:r>
    </w:p>
    <w:p w:rsidR="0099580F" w:rsidRDefault="0099580F" w:rsidP="0099580F">
      <w:pPr>
        <w:pStyle w:val="Bullet"/>
      </w:pPr>
      <w:r>
        <w:t>improvements to the AHL corporate governance framework; and</w:t>
      </w:r>
    </w:p>
    <w:p w:rsidR="0099580F" w:rsidRDefault="0099580F" w:rsidP="0099580F">
      <w:pPr>
        <w:pStyle w:val="BulletLast"/>
      </w:pPr>
      <w:proofErr w:type="gramStart"/>
      <w:r>
        <w:t>a</w:t>
      </w:r>
      <w:proofErr w:type="gramEnd"/>
      <w:r>
        <w:t xml:space="preserve"> public commitment to performance in relation to key areas of the business, accountability and performance reporting.</w:t>
      </w:r>
    </w:p>
    <w:p w:rsidR="008E4CBB" w:rsidRDefault="008E4CBB" w:rsidP="008E4CBB">
      <w:pPr>
        <w:pStyle w:val="Heading3"/>
      </w:pPr>
      <w:r>
        <w:br w:type="page"/>
      </w:r>
      <w:r>
        <w:lastRenderedPageBreak/>
        <w:t>1.2</w:t>
      </w:r>
      <w:r>
        <w:tab/>
        <w:t>Agency resource statement</w:t>
      </w:r>
    </w:p>
    <w:p w:rsidR="008E4CBB" w:rsidRDefault="0099580F" w:rsidP="008E4CBB">
      <w:r w:rsidRPr="0099580F">
        <w:t>Table 1.1 shows the total resources from all sources. The table summarises how resources will be applied by outcome and by administered and departmental classification.</w:t>
      </w:r>
    </w:p>
    <w:p w:rsidR="008E4CBB" w:rsidRDefault="008E4CBB" w:rsidP="008E4CBB">
      <w:pPr>
        <w:pStyle w:val="TableHeading"/>
      </w:pPr>
      <w:r>
        <w:t xml:space="preserve">Table 1.1: </w:t>
      </w:r>
      <w:r w:rsidR="00B351F4">
        <w:t>AHL</w:t>
      </w:r>
      <w:r w:rsidR="005A23A0">
        <w:t xml:space="preserve"> resource s</w:t>
      </w:r>
      <w:r>
        <w:t xml:space="preserve">tatement </w:t>
      </w:r>
      <w:r w:rsidR="00DD4C01">
        <w:t xml:space="preserve">– </w:t>
      </w:r>
      <w:r w:rsidR="005A23A0">
        <w:t>budget e</w:t>
      </w:r>
      <w:r>
        <w:t>stimates for 2013–14 as at Budget May 201</w:t>
      </w:r>
      <w:r w:rsidR="00D413A5">
        <w:t>3</w:t>
      </w:r>
    </w:p>
    <w:p w:rsidR="008E4CBB" w:rsidRDefault="00622A70" w:rsidP="008E4CBB">
      <w:pPr>
        <w:pStyle w:val="TableGraphic"/>
      </w:pPr>
      <w:r>
        <w:rPr>
          <w:noProof/>
        </w:rPr>
        <w:drawing>
          <wp:inline distT="0" distB="0" distL="0" distR="0" wp14:anchorId="227798F4" wp14:editId="61337D8A">
            <wp:extent cx="4878705" cy="5759178"/>
            <wp:effectExtent l="0" t="0" r="0" b="0"/>
            <wp:docPr id="351" name="Picture 351" descr="Table 1.1: AHL resource statement – budget estimates for 2013–14 as at Budget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78705" cy="5759178"/>
                    </a:xfrm>
                    <a:prstGeom prst="rect">
                      <a:avLst/>
                    </a:prstGeom>
                    <a:noFill/>
                    <a:ln>
                      <a:noFill/>
                    </a:ln>
                  </pic:spPr>
                </pic:pic>
              </a:graphicData>
            </a:graphic>
          </wp:inline>
        </w:drawing>
      </w:r>
    </w:p>
    <w:p w:rsidR="008E4CBB" w:rsidRDefault="008E4CBB" w:rsidP="003B21AA">
      <w:pPr>
        <w:pStyle w:val="Heading3"/>
      </w:pPr>
      <w:r>
        <w:br w:type="page"/>
      </w:r>
      <w:r w:rsidR="003B21AA">
        <w:lastRenderedPageBreak/>
        <w:t>1.3</w:t>
      </w:r>
      <w:r w:rsidR="003B21AA">
        <w:tab/>
        <w:t>Budget measures</w:t>
      </w:r>
    </w:p>
    <w:p w:rsidR="003B21AA" w:rsidRDefault="0099580F" w:rsidP="008E4CBB">
      <w:r w:rsidRPr="0099580F">
        <w:t>Budget measures relating to AHL are detailed in Budget Paper No. 2 and are summarised below.</w:t>
      </w:r>
    </w:p>
    <w:p w:rsidR="0099580F" w:rsidRDefault="0099580F" w:rsidP="0099580F">
      <w:pPr>
        <w:pStyle w:val="TableHeading"/>
      </w:pPr>
      <w:r>
        <w:t>Table 1.2: AHL 2013–14 budget measures</w:t>
      </w:r>
      <w:r>
        <w:br/>
        <w:t>Part 1: Measures announced since the 2012–13 MYEFO</w:t>
      </w:r>
    </w:p>
    <w:p w:rsidR="006B0F43" w:rsidRDefault="004321A2" w:rsidP="006B0F43">
      <w:pPr>
        <w:pStyle w:val="TableGraphic"/>
      </w:pPr>
      <w:r>
        <w:rPr>
          <w:noProof/>
        </w:rPr>
        <w:drawing>
          <wp:inline distT="0" distB="0" distL="0" distR="0" wp14:anchorId="0F63FA1E" wp14:editId="097F025B">
            <wp:extent cx="4878705" cy="1923062"/>
            <wp:effectExtent l="0" t="0" r="0" b="1270"/>
            <wp:docPr id="382" name="Picture 382" descr="Table 1.2: AHL 2013–14 budget measures&#10;Part 1: Measures announced since the 2012–13 MYE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78705" cy="1923062"/>
                    </a:xfrm>
                    <a:prstGeom prst="rect">
                      <a:avLst/>
                    </a:prstGeom>
                    <a:noFill/>
                    <a:ln>
                      <a:noFill/>
                    </a:ln>
                  </pic:spPr>
                </pic:pic>
              </a:graphicData>
            </a:graphic>
          </wp:inline>
        </w:drawing>
      </w:r>
      <w:r w:rsidR="006B0F43" w:rsidRPr="006B0F43">
        <w:t xml:space="preserve"> </w:t>
      </w:r>
    </w:p>
    <w:p w:rsidR="006B0F43" w:rsidRDefault="006B0F43" w:rsidP="006B0F43">
      <w:pPr>
        <w:pStyle w:val="TableHeading"/>
      </w:pPr>
      <w:r w:rsidRPr="006B0F43">
        <w:t>Part 2: MYEFO measures not previously reported in a portfolio statement</w:t>
      </w:r>
    </w:p>
    <w:p w:rsidR="006B0F43" w:rsidRDefault="004321A2" w:rsidP="006B0F43">
      <w:pPr>
        <w:pStyle w:val="TableGraphic"/>
      </w:pPr>
      <w:r>
        <w:rPr>
          <w:noProof/>
        </w:rPr>
        <w:drawing>
          <wp:inline distT="0" distB="0" distL="0" distR="0" wp14:anchorId="688A0C09" wp14:editId="12FCB134">
            <wp:extent cx="4878705" cy="2377777"/>
            <wp:effectExtent l="0" t="0" r="0" b="3810"/>
            <wp:docPr id="383" name="Picture 383" descr="Part 2: MYEFO measures not previously reported in a portfolio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78705" cy="2377777"/>
                    </a:xfrm>
                    <a:prstGeom prst="rect">
                      <a:avLst/>
                    </a:prstGeom>
                    <a:noFill/>
                    <a:ln>
                      <a:noFill/>
                    </a:ln>
                  </pic:spPr>
                </pic:pic>
              </a:graphicData>
            </a:graphic>
          </wp:inline>
        </w:drawing>
      </w:r>
    </w:p>
    <w:p w:rsidR="003B21AA" w:rsidRDefault="006B0F43" w:rsidP="006B0F43">
      <w:pPr>
        <w:pStyle w:val="Heading2"/>
      </w:pPr>
      <w:r w:rsidRPr="006B0F43">
        <w:t xml:space="preserve"> </w:t>
      </w:r>
      <w:r w:rsidR="003B21AA">
        <w:br w:type="page"/>
      </w:r>
      <w:r w:rsidR="003B21AA">
        <w:lastRenderedPageBreak/>
        <w:t>Section 2: Outcomes and planned performance</w:t>
      </w:r>
    </w:p>
    <w:p w:rsidR="003B21AA" w:rsidRDefault="003B21AA" w:rsidP="003B21AA">
      <w:pPr>
        <w:pStyle w:val="Heading3"/>
      </w:pPr>
      <w:r>
        <w:t>2.1</w:t>
      </w:r>
      <w:r>
        <w:tab/>
        <w:t>Outcomes and performance information</w:t>
      </w:r>
    </w:p>
    <w:p w:rsidR="006B0F43" w:rsidRDefault="006B0F43" w:rsidP="006B0F43">
      <w:r>
        <w:t>Government outcomes are the intended results, impacts or consequences of actions by government on the Australian community. Commonwealth programs are the primary vehicle by which government agencies achieve the intended results of their outcome statements. Agencies are required to identify the programs which contribute to government outcomes over the budget and forward years.</w:t>
      </w:r>
    </w:p>
    <w:p w:rsidR="003608C9" w:rsidRDefault="006B0F43" w:rsidP="0040773D">
      <w:r>
        <w:t>Each outcome is described below together with its related programs, specifying the performance indicators and targets used to assess and monitor the performance of Aboriginal Hostels Limited in achieving government outcomes.</w:t>
      </w:r>
    </w:p>
    <w:p w:rsidR="004F3258" w:rsidRDefault="004F3258" w:rsidP="004F3258">
      <w:pPr>
        <w:pStyle w:val="Heading4"/>
        <w:pBdr>
          <w:top w:val="single" w:sz="2" w:space="1" w:color="auto"/>
          <w:left w:val="single" w:sz="2" w:space="4" w:color="auto"/>
          <w:bottom w:val="single" w:sz="2" w:space="1" w:color="auto"/>
          <w:right w:val="single" w:sz="2" w:space="4" w:color="auto"/>
        </w:pBdr>
        <w:shd w:val="pct15" w:color="auto" w:fill="auto"/>
      </w:pPr>
      <w:r>
        <w:t>Outcome 1: Aboriginal Hostels Limited</w:t>
      </w:r>
    </w:p>
    <w:p w:rsidR="003B21AA" w:rsidRPr="004F3258" w:rsidRDefault="004F3258" w:rsidP="004F3258">
      <w:pPr>
        <w:pStyle w:val="SinglePara"/>
        <w:pBdr>
          <w:top w:val="single" w:sz="2" w:space="1" w:color="auto"/>
          <w:left w:val="single" w:sz="2" w:space="4" w:color="auto"/>
          <w:bottom w:val="single" w:sz="2" w:space="1" w:color="auto"/>
          <w:right w:val="single" w:sz="2" w:space="4" w:color="auto"/>
        </w:pBdr>
        <w:shd w:val="pct15" w:color="auto" w:fill="auto"/>
        <w:rPr>
          <w:rFonts w:ascii="Arial" w:hAnsi="Arial" w:cs="Arial"/>
          <w:sz w:val="20"/>
        </w:rPr>
      </w:pPr>
      <w:proofErr w:type="gramStart"/>
      <w:r w:rsidRPr="004F3258">
        <w:rPr>
          <w:rFonts w:ascii="Arial" w:hAnsi="Arial" w:cs="Arial"/>
          <w:sz w:val="20"/>
        </w:rPr>
        <w:t>Improved access to education, employment, health and other services for Aboriginal and Torres Strait Islander people travelling or relocating through the operation of temporary hostel accommodation services.</w:t>
      </w:r>
      <w:proofErr w:type="gramEnd"/>
    </w:p>
    <w:p w:rsidR="003B21AA" w:rsidRDefault="005A23A0" w:rsidP="004F3258">
      <w:pPr>
        <w:pStyle w:val="Heading5"/>
      </w:pPr>
      <w:r>
        <w:t>Outcome 1 s</w:t>
      </w:r>
      <w:r w:rsidR="003B21AA">
        <w:t>trategy</w:t>
      </w:r>
    </w:p>
    <w:p w:rsidR="006B0F43" w:rsidRDefault="006B0F43" w:rsidP="006B0F43">
      <w:r>
        <w:t>The AHL Board will continue to focus on three main themes.</w:t>
      </w:r>
    </w:p>
    <w:p w:rsidR="006B0F43" w:rsidRDefault="006B0F43" w:rsidP="006B0F43">
      <w:pPr>
        <w:pStyle w:val="BulletIntro"/>
      </w:pPr>
      <w:r>
        <w:t xml:space="preserve">These include: </w:t>
      </w:r>
    </w:p>
    <w:p w:rsidR="006B0F43" w:rsidRDefault="006B0F43" w:rsidP="006B0F43">
      <w:pPr>
        <w:pStyle w:val="Bullet"/>
      </w:pPr>
      <w:r>
        <w:t>facilitate 'wrap-around' services to lead to independent living</w:t>
      </w:r>
    </w:p>
    <w:p w:rsidR="006B0F43" w:rsidRDefault="006B0F43" w:rsidP="006B0F43">
      <w:pPr>
        <w:pStyle w:val="Bullet"/>
      </w:pPr>
      <w:r>
        <w:t>develop partnerships with the public and private sector</w:t>
      </w:r>
    </w:p>
    <w:p w:rsidR="003B21AA" w:rsidRDefault="006B0F43" w:rsidP="006B0F43">
      <w:pPr>
        <w:pStyle w:val="BulletLast"/>
      </w:pPr>
      <w:proofErr w:type="gramStart"/>
      <w:r>
        <w:t>provide</w:t>
      </w:r>
      <w:proofErr w:type="gramEnd"/>
      <w:r>
        <w:t xml:space="preserve"> pathways to education, training and employment.</w:t>
      </w:r>
    </w:p>
    <w:p w:rsidR="003B21AA" w:rsidRDefault="00727278" w:rsidP="004F3258">
      <w:pPr>
        <w:pStyle w:val="Heading5"/>
      </w:pPr>
      <w:r>
        <w:br w:type="page"/>
      </w:r>
      <w:r w:rsidR="003B21AA">
        <w:lastRenderedPageBreak/>
        <w:t xml:space="preserve">Outcome </w:t>
      </w:r>
      <w:r w:rsidR="004164A2">
        <w:t>expense statement</w:t>
      </w:r>
    </w:p>
    <w:p w:rsidR="003B21AA" w:rsidRDefault="006B0F43" w:rsidP="003B21AA">
      <w:r w:rsidRPr="006B0F43">
        <w:t>Table 2.1 provides an overview of the total expenses for Outcome 1, by program.</w:t>
      </w:r>
    </w:p>
    <w:p w:rsidR="00A82139" w:rsidRPr="00727278" w:rsidRDefault="005A23A0" w:rsidP="00C92E29">
      <w:pPr>
        <w:pStyle w:val="TableHeading"/>
      </w:pPr>
      <w:r w:rsidRPr="00727278">
        <w:t>Table 2.1: Budgeted e</w:t>
      </w:r>
      <w:r w:rsidR="00A82139" w:rsidRPr="00727278">
        <w:t>xpenses for Outcome 1</w:t>
      </w:r>
    </w:p>
    <w:p w:rsidR="00A82139" w:rsidRPr="00727278" w:rsidRDefault="00C92E29" w:rsidP="00727278">
      <w:pPr>
        <w:pStyle w:val="TableGraphic"/>
      </w:pPr>
      <w:r w:rsidRPr="00727278">
        <w:t xml:space="preserve"> </w:t>
      </w:r>
      <w:r w:rsidR="006F0342">
        <w:rPr>
          <w:noProof/>
        </w:rPr>
        <w:drawing>
          <wp:inline distT="0" distB="0" distL="0" distR="0" wp14:anchorId="0326DC01" wp14:editId="04D2CA1D">
            <wp:extent cx="4878705" cy="3236651"/>
            <wp:effectExtent l="0" t="0" r="0" b="1905"/>
            <wp:docPr id="5" name="Picture 5" descr="Table 2.1: Budgeted expens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78705" cy="3236651"/>
                    </a:xfrm>
                    <a:prstGeom prst="rect">
                      <a:avLst/>
                    </a:prstGeom>
                    <a:noFill/>
                    <a:ln>
                      <a:noFill/>
                    </a:ln>
                  </pic:spPr>
                </pic:pic>
              </a:graphicData>
            </a:graphic>
          </wp:inline>
        </w:drawing>
      </w:r>
    </w:p>
    <w:p w:rsidR="00C92E29" w:rsidRDefault="00A82139" w:rsidP="00727278">
      <w:r>
        <w:t xml:space="preserve"> </w:t>
      </w:r>
    </w:p>
    <w:p w:rsidR="003B21AA" w:rsidRDefault="003B21AA" w:rsidP="004F3258">
      <w:pPr>
        <w:pStyle w:val="Heading5"/>
      </w:pPr>
      <w:r>
        <w:br w:type="page"/>
      </w:r>
      <w:r>
        <w:lastRenderedPageBreak/>
        <w:t>Contributions to Outcome 1</w:t>
      </w:r>
    </w:p>
    <w:p w:rsidR="003B21AA" w:rsidRDefault="003B21AA" w:rsidP="004F3258">
      <w:pPr>
        <w:pStyle w:val="Heading6"/>
      </w:pPr>
      <w:r>
        <w:t xml:space="preserve">Program 1.1: Company </w:t>
      </w:r>
      <w:r w:rsidR="00EE1AB7">
        <w:t>O</w:t>
      </w:r>
      <w:r>
        <w:t xml:space="preserve">wned and </w:t>
      </w:r>
      <w:r w:rsidR="00EE1AB7">
        <w:t>O</w:t>
      </w:r>
      <w:r>
        <w:t xml:space="preserve">perated </w:t>
      </w:r>
      <w:r w:rsidR="00EE1AB7">
        <w:t>H</w:t>
      </w:r>
      <w:r>
        <w:t>ostels</w:t>
      </w:r>
    </w:p>
    <w:p w:rsidR="003B21AA" w:rsidRDefault="003B21AA" w:rsidP="003B21AA">
      <w:pPr>
        <w:pStyle w:val="SinglePara"/>
      </w:pPr>
    </w:p>
    <w:p w:rsidR="003B21AA" w:rsidRDefault="00A82139" w:rsidP="004F3258">
      <w:pPr>
        <w:pStyle w:val="Heading7"/>
      </w:pPr>
      <w:r>
        <w:t>Program 1.1</w:t>
      </w:r>
      <w:r w:rsidR="005A23A0">
        <w:t xml:space="preserve"> o</w:t>
      </w:r>
      <w:r w:rsidR="003B21AA">
        <w:t>bjective</w:t>
      </w:r>
    </w:p>
    <w:p w:rsidR="00A82139" w:rsidRDefault="00CB2D73" w:rsidP="00A82139">
      <w:pPr>
        <w:pStyle w:val="NormalBox"/>
      </w:pPr>
      <w:r w:rsidRPr="00CB2D73">
        <w:t>To provide temporary accommodation at Company-operated hostels that assist Indigenous Australians who must live away from home to access services and economic opportunity.</w:t>
      </w:r>
    </w:p>
    <w:p w:rsidR="00A82139" w:rsidRDefault="00A82139" w:rsidP="00A82139">
      <w:pPr>
        <w:rPr>
          <w:lang w:val="en-GB"/>
        </w:rPr>
      </w:pPr>
    </w:p>
    <w:p w:rsidR="00A82139" w:rsidRDefault="005A23A0" w:rsidP="004F3258">
      <w:pPr>
        <w:pStyle w:val="Heading7"/>
      </w:pPr>
      <w:r>
        <w:t>Program 1.1 e</w:t>
      </w:r>
      <w:r w:rsidR="00A82139">
        <w:t>xpenses</w:t>
      </w:r>
    </w:p>
    <w:p w:rsidR="00A82139" w:rsidRPr="00A82139" w:rsidRDefault="00CB2D73" w:rsidP="00A82139">
      <w:pPr>
        <w:pStyle w:val="NormalBox"/>
      </w:pPr>
      <w:r w:rsidRPr="00CB2D73">
        <w:t>Expenses in 2012–13 and the forward years have been reduced due to the expiry of the Indigenous Youth Mobility Program contract. AHL has also included planned divestments of hostels in the forward years, which has an impact on expenses.</w:t>
      </w:r>
    </w:p>
    <w:p w:rsidR="00A82139" w:rsidRDefault="00A82139" w:rsidP="00A82139">
      <w:pPr>
        <w:pStyle w:val="TableHeading"/>
        <w:rPr>
          <w:lang w:val="en-GB"/>
        </w:rPr>
      </w:pPr>
      <w:r>
        <w:rPr>
          <w:lang w:val="en-GB"/>
        </w:rPr>
        <w:t>Table 2.1</w:t>
      </w:r>
      <w:r w:rsidR="005A23A0">
        <w:rPr>
          <w:lang w:val="en-GB"/>
        </w:rPr>
        <w:t>.1: Budgeted e</w:t>
      </w:r>
      <w:r>
        <w:rPr>
          <w:lang w:val="en-GB"/>
        </w:rPr>
        <w:t xml:space="preserve">xpenses for Company </w:t>
      </w:r>
      <w:r w:rsidR="00EE1AB7">
        <w:rPr>
          <w:lang w:val="en-GB"/>
        </w:rPr>
        <w:t>O</w:t>
      </w:r>
      <w:r>
        <w:rPr>
          <w:lang w:val="en-GB"/>
        </w:rPr>
        <w:t xml:space="preserve">wned and </w:t>
      </w:r>
      <w:r w:rsidR="00EE1AB7">
        <w:rPr>
          <w:lang w:val="en-GB"/>
        </w:rPr>
        <w:t>O</w:t>
      </w:r>
      <w:r>
        <w:rPr>
          <w:lang w:val="en-GB"/>
        </w:rPr>
        <w:t xml:space="preserve">perated </w:t>
      </w:r>
      <w:r w:rsidR="00EE1AB7">
        <w:rPr>
          <w:lang w:val="en-GB"/>
        </w:rPr>
        <w:t>H</w:t>
      </w:r>
      <w:r>
        <w:rPr>
          <w:lang w:val="en-GB"/>
        </w:rPr>
        <w:t>ostels</w:t>
      </w:r>
    </w:p>
    <w:p w:rsidR="00A82139" w:rsidRDefault="006F0342" w:rsidP="00A82139">
      <w:pPr>
        <w:pStyle w:val="TableGraphic"/>
        <w:rPr>
          <w:lang w:val="en-GB"/>
        </w:rPr>
      </w:pPr>
      <w:r>
        <w:rPr>
          <w:noProof/>
        </w:rPr>
        <w:drawing>
          <wp:inline distT="0" distB="0" distL="0" distR="0" wp14:anchorId="25A07369" wp14:editId="17784874">
            <wp:extent cx="4876800" cy="971550"/>
            <wp:effectExtent l="0" t="0" r="0" b="0"/>
            <wp:docPr id="6" name="Picture 6" descr="Table 2.1.1: Budgeted expenses for Company Owned and Operated Hos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76800" cy="971550"/>
                    </a:xfrm>
                    <a:prstGeom prst="rect">
                      <a:avLst/>
                    </a:prstGeom>
                    <a:noFill/>
                    <a:ln>
                      <a:noFill/>
                    </a:ln>
                  </pic:spPr>
                </pic:pic>
              </a:graphicData>
            </a:graphic>
          </wp:inline>
        </w:drawing>
      </w:r>
    </w:p>
    <w:p w:rsidR="00EE1AB7" w:rsidRDefault="004F3258" w:rsidP="004F3258">
      <w:pPr>
        <w:pStyle w:val="Heading7"/>
      </w:pPr>
      <w:r>
        <w:br w:type="page"/>
      </w:r>
      <w:r w:rsidR="00EE1AB7">
        <w:lastRenderedPageBreak/>
        <w:t xml:space="preserve">Program 1.1 </w:t>
      </w:r>
      <w:r w:rsidR="00114603">
        <w:t>deliverables</w:t>
      </w:r>
    </w:p>
    <w:p w:rsidR="00EE1AB7" w:rsidRDefault="00CB2D73" w:rsidP="00CB2D73">
      <w:pPr>
        <w:pStyle w:val="BulletBox"/>
      </w:pPr>
      <w:r w:rsidRPr="00CB2D73">
        <w:t>Number of resident bed nights available for use per annum</w:t>
      </w:r>
    </w:p>
    <w:p w:rsidR="00EE1AB7" w:rsidRDefault="00EE1AB7" w:rsidP="00EE1AB7">
      <w:pPr>
        <w:pStyle w:val="TableHeading"/>
      </w:pPr>
      <w:r>
        <w:t xml:space="preserve">Company Owned and Operated Hostels </w:t>
      </w:r>
      <w:r w:rsidR="00114603">
        <w:t>deliverables</w:t>
      </w:r>
      <w:r>
        <w:t xml:space="preserve"> </w:t>
      </w:r>
      <w:r w:rsidR="00114603">
        <w:t>targets</w:t>
      </w:r>
    </w:p>
    <w:tbl>
      <w:tblPr>
        <w:tblW w:w="7651" w:type="dxa"/>
        <w:tblInd w:w="40" w:type="dxa"/>
        <w:tblCellMar>
          <w:top w:w="57" w:type="dxa"/>
          <w:left w:w="30" w:type="dxa"/>
          <w:bottom w:w="57" w:type="dxa"/>
          <w:right w:w="30" w:type="dxa"/>
        </w:tblCellMar>
        <w:tblLook w:val="0000" w:firstRow="0" w:lastRow="0" w:firstColumn="0" w:lastColumn="0" w:noHBand="0" w:noVBand="0"/>
        <w:tblDescription w:val="Company Owned and Operated Hostels deliverables targets"/>
      </w:tblPr>
      <w:tblGrid>
        <w:gridCol w:w="3107"/>
        <w:gridCol w:w="908"/>
        <w:gridCol w:w="909"/>
        <w:gridCol w:w="909"/>
        <w:gridCol w:w="909"/>
        <w:gridCol w:w="909"/>
      </w:tblGrid>
      <w:tr w:rsidR="005A0129" w:rsidRPr="00893575" w:rsidTr="00CB2D73">
        <w:trPr>
          <w:trHeight w:val="225"/>
        </w:trPr>
        <w:tc>
          <w:tcPr>
            <w:tcW w:w="3107" w:type="dxa"/>
            <w:tcBorders>
              <w:top w:val="single" w:sz="2" w:space="0" w:color="auto"/>
              <w:left w:val="nil"/>
              <w:bottom w:val="single" w:sz="2" w:space="0" w:color="auto"/>
              <w:right w:val="nil"/>
            </w:tcBorders>
            <w:vAlign w:val="center"/>
          </w:tcPr>
          <w:p w:rsidR="005A0129" w:rsidRPr="00893575" w:rsidRDefault="005A0129" w:rsidP="005A012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5A0129" w:rsidRPr="00893575" w:rsidRDefault="005A0129" w:rsidP="005A012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5A0129" w:rsidRPr="00893575" w:rsidRDefault="005A012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CB2D73" w:rsidRPr="00893575" w:rsidTr="00CB2D73">
        <w:trPr>
          <w:trHeight w:val="225"/>
        </w:trPr>
        <w:tc>
          <w:tcPr>
            <w:tcW w:w="3107" w:type="dxa"/>
            <w:tcBorders>
              <w:top w:val="single" w:sz="2" w:space="0" w:color="auto"/>
              <w:left w:val="nil"/>
              <w:bottom w:val="single" w:sz="4" w:space="0" w:color="auto"/>
              <w:right w:val="nil"/>
            </w:tcBorders>
            <w:vAlign w:val="bottom"/>
          </w:tcPr>
          <w:p w:rsidR="00CB2D73" w:rsidRPr="00CB2D73" w:rsidRDefault="00CB2D73" w:rsidP="001205C8">
            <w:pPr>
              <w:keepNext/>
              <w:autoSpaceDE w:val="0"/>
              <w:autoSpaceDN w:val="0"/>
              <w:adjustRightInd w:val="0"/>
              <w:spacing w:before="60" w:after="0" w:line="240" w:lineRule="auto"/>
              <w:jc w:val="left"/>
              <w:rPr>
                <w:rFonts w:ascii="Arial" w:hAnsi="Arial" w:cs="Arial"/>
                <w:color w:val="000000"/>
                <w:sz w:val="16"/>
                <w:szCs w:val="16"/>
              </w:rPr>
            </w:pPr>
            <w:r w:rsidRPr="00CB2D73">
              <w:rPr>
                <w:rFonts w:ascii="Arial" w:hAnsi="Arial" w:cs="Arial"/>
                <w:color w:val="000000"/>
                <w:sz w:val="16"/>
                <w:szCs w:val="16"/>
              </w:rPr>
              <w:t>Number of resident bed nights per annum</w:t>
            </w:r>
          </w:p>
        </w:tc>
        <w:tc>
          <w:tcPr>
            <w:tcW w:w="908" w:type="dxa"/>
            <w:tcBorders>
              <w:top w:val="single" w:sz="2" w:space="0" w:color="auto"/>
              <w:left w:val="nil"/>
              <w:bottom w:val="single" w:sz="4" w:space="0" w:color="auto"/>
              <w:right w:val="nil"/>
            </w:tcBorders>
            <w:shd w:val="clear" w:color="auto" w:fill="auto"/>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778,323</w:t>
            </w:r>
          </w:p>
        </w:tc>
        <w:tc>
          <w:tcPr>
            <w:tcW w:w="909" w:type="dxa"/>
            <w:tcBorders>
              <w:top w:val="single" w:sz="2" w:space="0" w:color="auto"/>
              <w:left w:val="nil"/>
              <w:bottom w:val="single" w:sz="4" w:space="0" w:color="auto"/>
              <w:right w:val="nil"/>
            </w:tcBorders>
            <w:shd w:val="clear" w:color="auto" w:fill="D9D9D9"/>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756,159</w:t>
            </w:r>
          </w:p>
        </w:tc>
        <w:tc>
          <w:tcPr>
            <w:tcW w:w="909"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751,474</w:t>
            </w:r>
          </w:p>
        </w:tc>
        <w:tc>
          <w:tcPr>
            <w:tcW w:w="909"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752,395</w:t>
            </w:r>
          </w:p>
        </w:tc>
        <w:tc>
          <w:tcPr>
            <w:tcW w:w="909"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751,571</w:t>
            </w:r>
          </w:p>
        </w:tc>
      </w:tr>
    </w:tbl>
    <w:p w:rsidR="00EE1AB7" w:rsidRDefault="00EE1AB7" w:rsidP="007571D7">
      <w:pPr>
        <w:pStyle w:val="SinglePara"/>
      </w:pPr>
    </w:p>
    <w:p w:rsidR="00CB2D73" w:rsidRDefault="00CB2D73" w:rsidP="00CB2D73">
      <w:pPr>
        <w:pStyle w:val="BulletIntro"/>
      </w:pPr>
      <w:r>
        <w:t>The decrease in the number of resident bed nights available for use per annum is due to the following:</w:t>
      </w:r>
    </w:p>
    <w:p w:rsidR="00CB2D73" w:rsidRDefault="00CB2D73" w:rsidP="00CB2D73">
      <w:pPr>
        <w:pStyle w:val="Bullet"/>
      </w:pPr>
      <w:r>
        <w:t>The Indigenous Youth Mobility Program has ceased in 2012–13.</w:t>
      </w:r>
    </w:p>
    <w:p w:rsidR="00CB2D73" w:rsidRDefault="00CB2D73" w:rsidP="00CB2D73">
      <w:pPr>
        <w:pStyle w:val="BulletLast"/>
      </w:pPr>
      <w:r>
        <w:t>Of the five hostel properties divested in 2012–13, three are company owned and operated hostels.</w:t>
      </w:r>
    </w:p>
    <w:p w:rsidR="00CB2D73" w:rsidRDefault="00CB2D73" w:rsidP="00CB2D73">
      <w:pPr>
        <w:pStyle w:val="BulletIntro"/>
      </w:pPr>
      <w:r>
        <w:t>The total number of beds available for use to prospective residents in this statement will be affected by:</w:t>
      </w:r>
    </w:p>
    <w:p w:rsidR="00CB2D73" w:rsidRDefault="00CB2D73" w:rsidP="00CB2D73">
      <w:pPr>
        <w:pStyle w:val="Bullet"/>
      </w:pPr>
      <w:r>
        <w:t>Those beds in rooms closed for maintenance.</w:t>
      </w:r>
    </w:p>
    <w:p w:rsidR="00CB2D73" w:rsidRDefault="00CB2D73" w:rsidP="00CB2D73">
      <w:pPr>
        <w:pStyle w:val="Bullet"/>
      </w:pPr>
      <w:r>
        <w:t>Those beds in hostels that are closed due to natural disasters, fires, floods etc.</w:t>
      </w:r>
    </w:p>
    <w:p w:rsidR="00CB2D73" w:rsidRPr="00EE1AB7" w:rsidRDefault="00CB2D73" w:rsidP="00CB2D73">
      <w:pPr>
        <w:pStyle w:val="BulletLast"/>
      </w:pPr>
      <w:r>
        <w:t>Those beds that are being occupied by staff as part of their conditions of employment and are therefore not available for sale.</w:t>
      </w:r>
    </w:p>
    <w:p w:rsidR="00EE1AB7" w:rsidRDefault="00EE1AB7" w:rsidP="004F3258">
      <w:pPr>
        <w:pStyle w:val="Heading7"/>
      </w:pPr>
      <w:r>
        <w:br w:type="page"/>
      </w:r>
      <w:r w:rsidRPr="00C33538">
        <w:lastRenderedPageBreak/>
        <w:t xml:space="preserve">Program </w:t>
      </w:r>
      <w:r>
        <w:t>1.</w:t>
      </w:r>
      <w:r w:rsidR="000E42C9">
        <w:t>1</w:t>
      </w:r>
      <w:r>
        <w:t xml:space="preserve"> </w:t>
      </w:r>
      <w:r w:rsidR="00114603">
        <w:t>key performance indicators</w:t>
      </w:r>
    </w:p>
    <w:p w:rsidR="00EE1AB7" w:rsidRDefault="00CB2D73" w:rsidP="00CB2D73">
      <w:pPr>
        <w:pStyle w:val="BulletBox"/>
      </w:pPr>
      <w:r w:rsidRPr="00CB2D73">
        <w:t>Occupancy level as a percentage of resident bed nights available</w:t>
      </w:r>
    </w:p>
    <w:p w:rsidR="00003143" w:rsidRDefault="00003143" w:rsidP="00003143">
      <w:pPr>
        <w:pStyle w:val="TableHeading"/>
      </w:pPr>
      <w:r>
        <w:t xml:space="preserve">Company Owned and Operated Hostels </w:t>
      </w:r>
      <w:r w:rsidR="00114603">
        <w:t>key performance indicators</w:t>
      </w:r>
    </w:p>
    <w:tbl>
      <w:tblPr>
        <w:tblW w:w="7651" w:type="dxa"/>
        <w:tblInd w:w="40" w:type="dxa"/>
        <w:tblCellMar>
          <w:top w:w="57" w:type="dxa"/>
          <w:left w:w="30" w:type="dxa"/>
          <w:bottom w:w="57" w:type="dxa"/>
          <w:right w:w="30" w:type="dxa"/>
        </w:tblCellMar>
        <w:tblLook w:val="0000" w:firstRow="0" w:lastRow="0" w:firstColumn="0" w:lastColumn="0" w:noHBand="0" w:noVBand="0"/>
        <w:tblDescription w:val="Company Owned and Operated Hostels key performance indicators"/>
      </w:tblPr>
      <w:tblGrid>
        <w:gridCol w:w="2900"/>
        <w:gridCol w:w="881"/>
        <w:gridCol w:w="1052"/>
        <w:gridCol w:w="883"/>
        <w:gridCol w:w="1052"/>
        <w:gridCol w:w="883"/>
      </w:tblGrid>
      <w:tr w:rsidR="00003143" w:rsidRPr="00893575" w:rsidTr="00CB2D73">
        <w:trPr>
          <w:trHeight w:val="225"/>
        </w:trPr>
        <w:tc>
          <w:tcPr>
            <w:tcW w:w="2900" w:type="dxa"/>
            <w:tcBorders>
              <w:top w:val="single" w:sz="2" w:space="0" w:color="auto"/>
              <w:left w:val="nil"/>
              <w:bottom w:val="single" w:sz="2" w:space="0" w:color="auto"/>
              <w:right w:val="nil"/>
            </w:tcBorders>
            <w:vAlign w:val="center"/>
          </w:tcPr>
          <w:p w:rsidR="00003143" w:rsidRPr="00893575" w:rsidRDefault="00003143" w:rsidP="000E42C9">
            <w:pPr>
              <w:keepNext/>
              <w:autoSpaceDE w:val="0"/>
              <w:autoSpaceDN w:val="0"/>
              <w:adjustRightInd w:val="0"/>
              <w:spacing w:after="0" w:line="240" w:lineRule="auto"/>
              <w:jc w:val="left"/>
              <w:rPr>
                <w:rFonts w:ascii="Arial" w:hAnsi="Arial" w:cs="Arial"/>
                <w:b/>
                <w:bCs/>
                <w:color w:val="000000"/>
                <w:sz w:val="16"/>
                <w:szCs w:val="16"/>
              </w:rPr>
            </w:pPr>
          </w:p>
        </w:tc>
        <w:tc>
          <w:tcPr>
            <w:tcW w:w="881" w:type="dxa"/>
            <w:tcBorders>
              <w:top w:val="single" w:sz="2" w:space="0" w:color="auto"/>
              <w:left w:val="nil"/>
              <w:bottom w:val="single" w:sz="2" w:space="0" w:color="auto"/>
              <w:right w:val="nil"/>
            </w:tcBorders>
            <w:shd w:val="clear" w:color="auto" w:fill="auto"/>
          </w:tcPr>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1052" w:type="dxa"/>
            <w:tcBorders>
              <w:top w:val="single" w:sz="2" w:space="0" w:color="auto"/>
              <w:left w:val="nil"/>
              <w:bottom w:val="single" w:sz="2" w:space="0" w:color="auto"/>
              <w:right w:val="nil"/>
            </w:tcBorders>
            <w:shd w:val="clear" w:color="auto" w:fill="D9D9D9"/>
          </w:tcPr>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883" w:type="dxa"/>
            <w:tcBorders>
              <w:top w:val="single" w:sz="2" w:space="0" w:color="auto"/>
              <w:left w:val="nil"/>
              <w:bottom w:val="single" w:sz="2" w:space="0" w:color="auto"/>
              <w:right w:val="nil"/>
            </w:tcBorders>
          </w:tcPr>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1052" w:type="dxa"/>
            <w:tcBorders>
              <w:top w:val="single" w:sz="2" w:space="0" w:color="auto"/>
              <w:left w:val="nil"/>
              <w:bottom w:val="single" w:sz="2" w:space="0" w:color="auto"/>
              <w:right w:val="nil"/>
            </w:tcBorders>
          </w:tcPr>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883" w:type="dxa"/>
            <w:tcBorders>
              <w:top w:val="single" w:sz="2" w:space="0" w:color="auto"/>
              <w:left w:val="nil"/>
              <w:bottom w:val="single" w:sz="2" w:space="0" w:color="auto"/>
              <w:right w:val="nil"/>
            </w:tcBorders>
          </w:tcPr>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003143" w:rsidRPr="00893575" w:rsidRDefault="00003143"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CB2D73" w:rsidRPr="00893575" w:rsidTr="00CB2D73">
        <w:trPr>
          <w:trHeight w:val="225"/>
        </w:trPr>
        <w:tc>
          <w:tcPr>
            <w:tcW w:w="2900" w:type="dxa"/>
            <w:tcBorders>
              <w:top w:val="single" w:sz="2" w:space="0" w:color="auto"/>
              <w:left w:val="nil"/>
              <w:bottom w:val="single" w:sz="4" w:space="0" w:color="auto"/>
              <w:right w:val="nil"/>
            </w:tcBorders>
            <w:vAlign w:val="bottom"/>
          </w:tcPr>
          <w:p w:rsidR="00CB2D73" w:rsidRPr="00CB2D73" w:rsidRDefault="00CB2D73" w:rsidP="001205C8">
            <w:pPr>
              <w:keepNext/>
              <w:autoSpaceDE w:val="0"/>
              <w:autoSpaceDN w:val="0"/>
              <w:adjustRightInd w:val="0"/>
              <w:spacing w:before="60" w:after="0" w:line="240" w:lineRule="auto"/>
              <w:jc w:val="left"/>
              <w:rPr>
                <w:rFonts w:ascii="Arial" w:hAnsi="Arial" w:cs="Arial"/>
                <w:color w:val="000000"/>
                <w:sz w:val="16"/>
                <w:szCs w:val="16"/>
              </w:rPr>
            </w:pPr>
            <w:r w:rsidRPr="00CB2D73">
              <w:rPr>
                <w:rFonts w:ascii="Arial" w:hAnsi="Arial" w:cs="Arial"/>
                <w:color w:val="000000"/>
                <w:sz w:val="16"/>
                <w:szCs w:val="16"/>
              </w:rPr>
              <w:t>Occupancy level as a percentage of resident bed nights available</w:t>
            </w:r>
          </w:p>
        </w:tc>
        <w:tc>
          <w:tcPr>
            <w:tcW w:w="881" w:type="dxa"/>
            <w:tcBorders>
              <w:top w:val="single" w:sz="2" w:space="0" w:color="auto"/>
              <w:left w:val="nil"/>
              <w:bottom w:val="single" w:sz="4" w:space="0" w:color="auto"/>
              <w:right w:val="nil"/>
            </w:tcBorders>
            <w:shd w:val="clear" w:color="auto" w:fill="auto"/>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c>
          <w:tcPr>
            <w:tcW w:w="1052" w:type="dxa"/>
            <w:tcBorders>
              <w:top w:val="single" w:sz="2" w:space="0" w:color="auto"/>
              <w:left w:val="nil"/>
              <w:bottom w:val="single" w:sz="4" w:space="0" w:color="auto"/>
              <w:right w:val="nil"/>
            </w:tcBorders>
            <w:shd w:val="clear" w:color="auto" w:fill="D9D9D9"/>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c>
          <w:tcPr>
            <w:tcW w:w="883"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c>
          <w:tcPr>
            <w:tcW w:w="1052"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c>
          <w:tcPr>
            <w:tcW w:w="883"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r>
    </w:tbl>
    <w:p w:rsidR="00003143" w:rsidRDefault="00003143" w:rsidP="007571D7">
      <w:pPr>
        <w:pStyle w:val="SinglePara"/>
      </w:pPr>
    </w:p>
    <w:p w:rsidR="00CB2D73" w:rsidRPr="00EE1AB7" w:rsidRDefault="00CB2D73" w:rsidP="00CB2D73">
      <w:r w:rsidRPr="00CB2D73">
        <w:t>The previous KPIs have been dropped as the revenue and expense calculations will be part of the reporting process and not part of AHL’s performance measures.</w:t>
      </w:r>
    </w:p>
    <w:p w:rsidR="00A82139" w:rsidRDefault="004F3258" w:rsidP="004F3258">
      <w:pPr>
        <w:pStyle w:val="Heading6"/>
        <w:rPr>
          <w:lang w:val="en-GB"/>
        </w:rPr>
      </w:pPr>
      <w:r>
        <w:rPr>
          <w:lang w:val="en-GB"/>
        </w:rPr>
        <w:br w:type="page"/>
      </w:r>
      <w:r w:rsidR="00A82139">
        <w:rPr>
          <w:lang w:val="en-GB"/>
        </w:rPr>
        <w:lastRenderedPageBreak/>
        <w:t xml:space="preserve">Program 1.2: Community </w:t>
      </w:r>
      <w:r w:rsidR="000E42C9">
        <w:rPr>
          <w:lang w:val="en-GB"/>
        </w:rPr>
        <w:t>O</w:t>
      </w:r>
      <w:r w:rsidR="00A82139">
        <w:rPr>
          <w:lang w:val="en-GB"/>
        </w:rPr>
        <w:t xml:space="preserve">perated </w:t>
      </w:r>
      <w:r w:rsidR="000E42C9">
        <w:rPr>
          <w:lang w:val="en-GB"/>
        </w:rPr>
        <w:t>H</w:t>
      </w:r>
      <w:r w:rsidR="00A82139">
        <w:rPr>
          <w:lang w:val="en-GB"/>
        </w:rPr>
        <w:t>ostels</w:t>
      </w:r>
    </w:p>
    <w:p w:rsidR="00A82139" w:rsidRDefault="00A82139" w:rsidP="00A82139">
      <w:pPr>
        <w:pStyle w:val="SinglePara"/>
        <w:rPr>
          <w:lang w:val="en-GB"/>
        </w:rPr>
      </w:pPr>
    </w:p>
    <w:p w:rsidR="00A82139" w:rsidRDefault="00A82139" w:rsidP="004F3258">
      <w:pPr>
        <w:pStyle w:val="Heading7"/>
      </w:pPr>
      <w:r>
        <w:t xml:space="preserve">Program 1.2 </w:t>
      </w:r>
      <w:r w:rsidR="005A23A0">
        <w:t>o</w:t>
      </w:r>
      <w:r>
        <w:t>bjective</w:t>
      </w:r>
    </w:p>
    <w:p w:rsidR="00A82139" w:rsidRDefault="00CB2D73" w:rsidP="00A82139">
      <w:pPr>
        <w:pStyle w:val="NormalBox"/>
      </w:pPr>
      <w:r w:rsidRPr="00CB2D73">
        <w:t>To provide temporary accommodation at Community-operated hostels that assist Indigenous Australians who must live away from home to access services and economic opportunity.</w:t>
      </w:r>
    </w:p>
    <w:p w:rsidR="00A82139" w:rsidRDefault="00A82139" w:rsidP="00A82139">
      <w:pPr>
        <w:rPr>
          <w:lang w:val="en-GB"/>
        </w:rPr>
      </w:pPr>
    </w:p>
    <w:p w:rsidR="00A82139" w:rsidRDefault="00A82139" w:rsidP="004F3258">
      <w:pPr>
        <w:pStyle w:val="Heading7"/>
      </w:pPr>
      <w:r>
        <w:t xml:space="preserve">Program 1.2 </w:t>
      </w:r>
      <w:r w:rsidR="00114603">
        <w:t>expenses</w:t>
      </w:r>
    </w:p>
    <w:p w:rsidR="00A82139" w:rsidRPr="00A82139" w:rsidRDefault="00CB2D73" w:rsidP="00A82139">
      <w:pPr>
        <w:pStyle w:val="NormalBox"/>
      </w:pPr>
      <w:r w:rsidRPr="00CB2D73">
        <w:t>The Corporate and Community Partnerships Program (CCPP) has reduced funding for capital grants, which has led to a slight decrease in program expenses.</w:t>
      </w:r>
    </w:p>
    <w:p w:rsidR="00A82139" w:rsidRDefault="00A82139" w:rsidP="00A82139">
      <w:pPr>
        <w:pStyle w:val="TableHeading"/>
        <w:rPr>
          <w:lang w:val="en-GB"/>
        </w:rPr>
      </w:pPr>
      <w:r>
        <w:rPr>
          <w:lang w:val="en-GB"/>
        </w:rPr>
        <w:t xml:space="preserve">Table 2.1.2: Budgeted </w:t>
      </w:r>
      <w:r w:rsidR="00114603">
        <w:rPr>
          <w:lang w:val="en-GB"/>
        </w:rPr>
        <w:t>expenses</w:t>
      </w:r>
      <w:r>
        <w:rPr>
          <w:lang w:val="en-GB"/>
        </w:rPr>
        <w:t xml:space="preserve"> for Community </w:t>
      </w:r>
      <w:r w:rsidR="000E42C9">
        <w:rPr>
          <w:lang w:val="en-GB"/>
        </w:rPr>
        <w:t>O</w:t>
      </w:r>
      <w:r>
        <w:rPr>
          <w:lang w:val="en-GB"/>
        </w:rPr>
        <w:t xml:space="preserve">perated </w:t>
      </w:r>
      <w:r w:rsidR="000E42C9">
        <w:rPr>
          <w:lang w:val="en-GB"/>
        </w:rPr>
        <w:t>H</w:t>
      </w:r>
      <w:r>
        <w:rPr>
          <w:lang w:val="en-GB"/>
        </w:rPr>
        <w:t>ostels</w:t>
      </w:r>
    </w:p>
    <w:p w:rsidR="00A82139" w:rsidRDefault="00CB2D73" w:rsidP="00A82139">
      <w:pPr>
        <w:pStyle w:val="TableGraphic"/>
        <w:rPr>
          <w:lang w:val="en-GB"/>
        </w:rPr>
      </w:pPr>
      <w:r>
        <w:rPr>
          <w:noProof/>
        </w:rPr>
        <w:drawing>
          <wp:inline distT="0" distB="0" distL="0" distR="0" wp14:anchorId="40638C6B" wp14:editId="460EBFFC">
            <wp:extent cx="4876800" cy="971550"/>
            <wp:effectExtent l="0" t="0" r="0" b="0"/>
            <wp:docPr id="17" name="Picture 17" descr="Table 2.1.2: Budgeted expenses for Community Operated Hos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76800" cy="971550"/>
                    </a:xfrm>
                    <a:prstGeom prst="rect">
                      <a:avLst/>
                    </a:prstGeom>
                    <a:noFill/>
                    <a:ln>
                      <a:noFill/>
                    </a:ln>
                  </pic:spPr>
                </pic:pic>
              </a:graphicData>
            </a:graphic>
          </wp:inline>
        </w:drawing>
      </w:r>
    </w:p>
    <w:p w:rsidR="000E42C9" w:rsidRDefault="004F3258" w:rsidP="004F3258">
      <w:pPr>
        <w:pStyle w:val="Heading7"/>
      </w:pPr>
      <w:r>
        <w:br w:type="page"/>
      </w:r>
      <w:r w:rsidR="000E42C9">
        <w:lastRenderedPageBreak/>
        <w:t xml:space="preserve">Program 1.2 </w:t>
      </w:r>
      <w:r w:rsidR="00114603">
        <w:t>deliverables</w:t>
      </w:r>
    </w:p>
    <w:p w:rsidR="000E42C9" w:rsidRDefault="00CB2D73" w:rsidP="00CB2D73">
      <w:pPr>
        <w:pStyle w:val="BulletBox"/>
      </w:pPr>
      <w:r w:rsidRPr="00CB2D73">
        <w:t>Number of resident bed nights per annum</w:t>
      </w:r>
    </w:p>
    <w:p w:rsidR="000E42C9" w:rsidRDefault="000E42C9" w:rsidP="000E42C9">
      <w:pPr>
        <w:pStyle w:val="TableHeading"/>
      </w:pPr>
      <w:r>
        <w:rPr>
          <w:lang w:val="en-GB"/>
        </w:rPr>
        <w:t>Community Operated Hostels</w:t>
      </w:r>
      <w:r>
        <w:t xml:space="preserve"> </w:t>
      </w:r>
      <w:r w:rsidR="00114603">
        <w:t>deliverables</w:t>
      </w:r>
      <w:r>
        <w:t xml:space="preserve"> </w:t>
      </w:r>
      <w:r w:rsidR="00114603">
        <w:t>targets</w:t>
      </w:r>
    </w:p>
    <w:tbl>
      <w:tblPr>
        <w:tblW w:w="7651" w:type="dxa"/>
        <w:tblInd w:w="40" w:type="dxa"/>
        <w:tblCellMar>
          <w:top w:w="57" w:type="dxa"/>
          <w:left w:w="30" w:type="dxa"/>
          <w:bottom w:w="57" w:type="dxa"/>
          <w:right w:w="30" w:type="dxa"/>
        </w:tblCellMar>
        <w:tblLook w:val="0000" w:firstRow="0" w:lastRow="0" w:firstColumn="0" w:lastColumn="0" w:noHBand="0" w:noVBand="0"/>
        <w:tblDescription w:val="Community Operated Hostels deliverables targets"/>
      </w:tblPr>
      <w:tblGrid>
        <w:gridCol w:w="3107"/>
        <w:gridCol w:w="908"/>
        <w:gridCol w:w="909"/>
        <w:gridCol w:w="909"/>
        <w:gridCol w:w="909"/>
        <w:gridCol w:w="909"/>
      </w:tblGrid>
      <w:tr w:rsidR="000E42C9" w:rsidRPr="00893575" w:rsidTr="00CB2D73">
        <w:trPr>
          <w:trHeight w:val="225"/>
        </w:trPr>
        <w:tc>
          <w:tcPr>
            <w:tcW w:w="3107" w:type="dxa"/>
            <w:tcBorders>
              <w:top w:val="single" w:sz="2" w:space="0" w:color="auto"/>
              <w:left w:val="nil"/>
              <w:bottom w:val="single" w:sz="2" w:space="0" w:color="auto"/>
              <w:right w:val="nil"/>
            </w:tcBorders>
            <w:vAlign w:val="center"/>
          </w:tcPr>
          <w:p w:rsidR="000E42C9" w:rsidRPr="00893575" w:rsidRDefault="000E42C9" w:rsidP="000E42C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CB2D73" w:rsidRPr="00893575" w:rsidTr="00CB2D73">
        <w:trPr>
          <w:trHeight w:val="225"/>
        </w:trPr>
        <w:tc>
          <w:tcPr>
            <w:tcW w:w="3107" w:type="dxa"/>
            <w:tcBorders>
              <w:top w:val="single" w:sz="2" w:space="0" w:color="auto"/>
              <w:left w:val="nil"/>
              <w:bottom w:val="single" w:sz="4" w:space="0" w:color="auto"/>
              <w:right w:val="nil"/>
            </w:tcBorders>
            <w:vAlign w:val="bottom"/>
          </w:tcPr>
          <w:p w:rsidR="00CB2D73" w:rsidRPr="00CB2D73" w:rsidRDefault="00CB2D73" w:rsidP="001205C8">
            <w:pPr>
              <w:keepNext/>
              <w:autoSpaceDE w:val="0"/>
              <w:autoSpaceDN w:val="0"/>
              <w:adjustRightInd w:val="0"/>
              <w:spacing w:before="60" w:after="0" w:line="240" w:lineRule="auto"/>
              <w:jc w:val="left"/>
              <w:rPr>
                <w:rFonts w:ascii="Arial" w:hAnsi="Arial" w:cs="Arial"/>
                <w:color w:val="000000"/>
                <w:sz w:val="16"/>
                <w:szCs w:val="16"/>
              </w:rPr>
            </w:pPr>
            <w:r w:rsidRPr="00CB2D73">
              <w:rPr>
                <w:rFonts w:ascii="Arial" w:hAnsi="Arial" w:cs="Arial"/>
                <w:color w:val="000000"/>
                <w:sz w:val="16"/>
                <w:szCs w:val="16"/>
              </w:rPr>
              <w:t>Number of resident bed nights per annum</w:t>
            </w:r>
          </w:p>
        </w:tc>
        <w:tc>
          <w:tcPr>
            <w:tcW w:w="908" w:type="dxa"/>
            <w:tcBorders>
              <w:top w:val="single" w:sz="2" w:space="0" w:color="auto"/>
              <w:left w:val="nil"/>
              <w:bottom w:val="single" w:sz="4" w:space="0" w:color="auto"/>
              <w:right w:val="nil"/>
            </w:tcBorders>
            <w:shd w:val="clear" w:color="auto" w:fill="auto"/>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261,737</w:t>
            </w:r>
          </w:p>
        </w:tc>
        <w:tc>
          <w:tcPr>
            <w:tcW w:w="909" w:type="dxa"/>
            <w:tcBorders>
              <w:top w:val="single" w:sz="2" w:space="0" w:color="auto"/>
              <w:left w:val="nil"/>
              <w:bottom w:val="single" w:sz="4" w:space="0" w:color="auto"/>
              <w:right w:val="nil"/>
            </w:tcBorders>
            <w:shd w:val="clear" w:color="auto" w:fill="D9D9D9"/>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266,415</w:t>
            </w:r>
          </w:p>
        </w:tc>
        <w:tc>
          <w:tcPr>
            <w:tcW w:w="909"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266,121</w:t>
            </w:r>
          </w:p>
        </w:tc>
        <w:tc>
          <w:tcPr>
            <w:tcW w:w="909"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266,325</w:t>
            </w:r>
          </w:p>
        </w:tc>
        <w:tc>
          <w:tcPr>
            <w:tcW w:w="909"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266,817</w:t>
            </w:r>
          </w:p>
        </w:tc>
      </w:tr>
    </w:tbl>
    <w:p w:rsidR="000E42C9" w:rsidRPr="00EE1AB7" w:rsidRDefault="000E42C9" w:rsidP="000E42C9"/>
    <w:p w:rsidR="000E42C9" w:rsidRDefault="000E42C9" w:rsidP="004F3258">
      <w:pPr>
        <w:pStyle w:val="Heading7"/>
      </w:pPr>
      <w:r>
        <w:br w:type="page"/>
      </w:r>
      <w:r w:rsidRPr="00C33538">
        <w:lastRenderedPageBreak/>
        <w:t xml:space="preserve">Program </w:t>
      </w:r>
      <w:r>
        <w:t xml:space="preserve">1.2 </w:t>
      </w:r>
      <w:r w:rsidR="00114603">
        <w:t>key performance indicators</w:t>
      </w:r>
    </w:p>
    <w:p w:rsidR="000E42C9" w:rsidRDefault="00CB2D73" w:rsidP="00CB2D73">
      <w:pPr>
        <w:pStyle w:val="BulletBox"/>
      </w:pPr>
      <w:r w:rsidRPr="00CB2D73">
        <w:t>Occupancy level as a percentage of resident bed nights available</w:t>
      </w:r>
    </w:p>
    <w:p w:rsidR="000E42C9" w:rsidRDefault="000E42C9" w:rsidP="000E42C9">
      <w:pPr>
        <w:pStyle w:val="TableHeading"/>
      </w:pPr>
      <w:r>
        <w:rPr>
          <w:lang w:val="en-GB"/>
        </w:rPr>
        <w:t>Community Operated Hostels</w:t>
      </w:r>
      <w:r>
        <w:t xml:space="preserve"> </w:t>
      </w:r>
      <w:r w:rsidR="00114603">
        <w:t>key performance indicators</w:t>
      </w:r>
    </w:p>
    <w:tbl>
      <w:tblPr>
        <w:tblW w:w="7651" w:type="dxa"/>
        <w:tblInd w:w="40" w:type="dxa"/>
        <w:tblCellMar>
          <w:top w:w="57" w:type="dxa"/>
          <w:left w:w="30" w:type="dxa"/>
          <w:bottom w:w="57" w:type="dxa"/>
          <w:right w:w="30" w:type="dxa"/>
        </w:tblCellMar>
        <w:tblLook w:val="0000" w:firstRow="0" w:lastRow="0" w:firstColumn="0" w:lastColumn="0" w:noHBand="0" w:noVBand="0"/>
        <w:tblDescription w:val="Community Operated Hostels key performance indicators"/>
      </w:tblPr>
      <w:tblGrid>
        <w:gridCol w:w="3107"/>
        <w:gridCol w:w="908"/>
        <w:gridCol w:w="909"/>
        <w:gridCol w:w="909"/>
        <w:gridCol w:w="909"/>
        <w:gridCol w:w="909"/>
      </w:tblGrid>
      <w:tr w:rsidR="000E42C9" w:rsidRPr="00893575" w:rsidTr="00CB2D73">
        <w:trPr>
          <w:trHeight w:val="225"/>
        </w:trPr>
        <w:tc>
          <w:tcPr>
            <w:tcW w:w="3107" w:type="dxa"/>
            <w:tcBorders>
              <w:top w:val="single" w:sz="2" w:space="0" w:color="auto"/>
              <w:left w:val="nil"/>
              <w:bottom w:val="single" w:sz="2" w:space="0" w:color="auto"/>
              <w:right w:val="nil"/>
            </w:tcBorders>
            <w:vAlign w:val="center"/>
          </w:tcPr>
          <w:p w:rsidR="000E42C9" w:rsidRPr="00893575" w:rsidRDefault="000E42C9" w:rsidP="000E42C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0E42C9" w:rsidRPr="00893575" w:rsidRDefault="000E42C9" w:rsidP="000E42C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CB2D73" w:rsidRPr="00893575" w:rsidTr="00CB2D73">
        <w:trPr>
          <w:trHeight w:val="225"/>
        </w:trPr>
        <w:tc>
          <w:tcPr>
            <w:tcW w:w="3107" w:type="dxa"/>
            <w:tcBorders>
              <w:top w:val="single" w:sz="2" w:space="0" w:color="auto"/>
              <w:left w:val="nil"/>
              <w:bottom w:val="single" w:sz="4" w:space="0" w:color="auto"/>
              <w:right w:val="nil"/>
            </w:tcBorders>
            <w:vAlign w:val="bottom"/>
          </w:tcPr>
          <w:p w:rsidR="00CB2D73" w:rsidRPr="004E103A" w:rsidRDefault="00CB2D73" w:rsidP="001205C8">
            <w:pPr>
              <w:keepNext/>
              <w:autoSpaceDE w:val="0"/>
              <w:autoSpaceDN w:val="0"/>
              <w:adjustRightInd w:val="0"/>
              <w:spacing w:before="60" w:after="0" w:line="240" w:lineRule="auto"/>
              <w:jc w:val="left"/>
            </w:pPr>
            <w:r w:rsidRPr="00CB2D73">
              <w:rPr>
                <w:rFonts w:ascii="Arial" w:hAnsi="Arial" w:cs="Arial"/>
                <w:color w:val="000000"/>
                <w:sz w:val="16"/>
                <w:szCs w:val="16"/>
              </w:rPr>
              <w:t>Occupancy level as a percentage of resident bed nights available</w:t>
            </w:r>
          </w:p>
        </w:tc>
        <w:tc>
          <w:tcPr>
            <w:tcW w:w="908" w:type="dxa"/>
            <w:tcBorders>
              <w:top w:val="single" w:sz="2" w:space="0" w:color="auto"/>
              <w:left w:val="nil"/>
              <w:bottom w:val="single" w:sz="4" w:space="0" w:color="auto"/>
              <w:right w:val="nil"/>
            </w:tcBorders>
            <w:shd w:val="clear" w:color="auto" w:fill="auto"/>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c>
          <w:tcPr>
            <w:tcW w:w="909" w:type="dxa"/>
            <w:tcBorders>
              <w:top w:val="single" w:sz="2" w:space="0" w:color="auto"/>
              <w:left w:val="nil"/>
              <w:bottom w:val="single" w:sz="4" w:space="0" w:color="auto"/>
              <w:right w:val="nil"/>
            </w:tcBorders>
            <w:shd w:val="clear" w:color="auto" w:fill="D9D9D9"/>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c>
          <w:tcPr>
            <w:tcW w:w="909"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c>
          <w:tcPr>
            <w:tcW w:w="909"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c>
          <w:tcPr>
            <w:tcW w:w="909" w:type="dxa"/>
            <w:tcBorders>
              <w:top w:val="single" w:sz="2" w:space="0" w:color="auto"/>
              <w:left w:val="nil"/>
              <w:bottom w:val="single" w:sz="4" w:space="0" w:color="auto"/>
              <w:right w:val="nil"/>
            </w:tcBorders>
            <w:vAlign w:val="bottom"/>
          </w:tcPr>
          <w:p w:rsidR="00CB2D73" w:rsidRPr="00CB2D73" w:rsidRDefault="00CB2D73" w:rsidP="00CB2D73">
            <w:pPr>
              <w:keepNext/>
              <w:autoSpaceDE w:val="0"/>
              <w:autoSpaceDN w:val="0"/>
              <w:adjustRightInd w:val="0"/>
              <w:spacing w:after="0" w:line="240" w:lineRule="auto"/>
              <w:jc w:val="right"/>
              <w:rPr>
                <w:rFonts w:ascii="Arial" w:hAnsi="Arial" w:cs="Arial"/>
                <w:sz w:val="16"/>
                <w:szCs w:val="16"/>
              </w:rPr>
            </w:pPr>
            <w:r w:rsidRPr="00CB2D73">
              <w:rPr>
                <w:rFonts w:ascii="Arial" w:hAnsi="Arial" w:cs="Arial"/>
                <w:sz w:val="16"/>
                <w:szCs w:val="16"/>
              </w:rPr>
              <w:t>70%</w:t>
            </w:r>
          </w:p>
        </w:tc>
      </w:tr>
    </w:tbl>
    <w:p w:rsidR="008E4CBB" w:rsidRDefault="008E4CBB" w:rsidP="004B0BB1">
      <w:pPr>
        <w:jc w:val="left"/>
      </w:pPr>
    </w:p>
    <w:p w:rsidR="00CB2D73" w:rsidRDefault="00CB2D73" w:rsidP="00CB2D73">
      <w:r w:rsidRPr="00CB2D73">
        <w:t>The previous KPIs have been dropped as the new Community and Corporate Partnerships Program has been designed to attract organisations that will provide accommodation to Indigenous Australians to fit the purpose of funding. AHL will monitor usage through agreed processes in the funding agreements but satisfaction level with the accommodation will be the responsibility of the funded organisations.</w:t>
      </w:r>
    </w:p>
    <w:p w:rsidR="000E42C9" w:rsidRDefault="00554D3E" w:rsidP="00554D3E">
      <w:pPr>
        <w:pStyle w:val="Heading2"/>
      </w:pPr>
      <w:r>
        <w:br w:type="page"/>
      </w:r>
      <w:r>
        <w:lastRenderedPageBreak/>
        <w:t>Section 3: Explanatory tables and budgeted financial statements</w:t>
      </w:r>
    </w:p>
    <w:p w:rsidR="00554D3E" w:rsidRPr="009C7F86" w:rsidRDefault="0086082A" w:rsidP="00554D3E">
      <w:r w:rsidRPr="0086082A">
        <w:t xml:space="preserve">Section 3 presents explanatory tables and budgeted financial statements that provide a comprehensive snapshot of agency finances for the 2013–14 budget </w:t>
      </w:r>
      <w:proofErr w:type="gramStart"/>
      <w:r w:rsidRPr="0086082A">
        <w:t>year</w:t>
      </w:r>
      <w:proofErr w:type="gramEnd"/>
      <w:r w:rsidRPr="0086082A">
        <w:t>. It explains how budget plans are incorporated into the financial statements and provides further details of the reconciliation between appropriations and program expenses, movements in administered funds, special accounts and government Indigenous expenditure.</w:t>
      </w:r>
    </w:p>
    <w:p w:rsidR="00554D3E" w:rsidRPr="00AD1D92" w:rsidRDefault="00554D3E" w:rsidP="00554D3E">
      <w:pPr>
        <w:pStyle w:val="Heading3"/>
      </w:pPr>
      <w:r w:rsidRPr="00AD1D92">
        <w:t>3.1</w:t>
      </w:r>
      <w:r w:rsidRPr="00AD1D92">
        <w:tab/>
        <w:t>Explanatory tables</w:t>
      </w:r>
    </w:p>
    <w:p w:rsidR="00554D3E" w:rsidRDefault="00554D3E" w:rsidP="00554D3E">
      <w:pPr>
        <w:pStyle w:val="Heading4"/>
      </w:pPr>
      <w:r>
        <w:t>3.1.1</w:t>
      </w:r>
      <w:r>
        <w:tab/>
        <w:t>Movement of administered funds between years</w:t>
      </w:r>
    </w:p>
    <w:p w:rsidR="00554D3E" w:rsidRDefault="0086082A" w:rsidP="00554D3E">
      <w:r w:rsidRPr="0086082A">
        <w:t>AHL has no administered funds for 2013–14.</w:t>
      </w:r>
    </w:p>
    <w:p w:rsidR="00554D3E" w:rsidRPr="0088503F" w:rsidRDefault="00554D3E" w:rsidP="00554D3E">
      <w:pPr>
        <w:pStyle w:val="Heading4"/>
      </w:pPr>
      <w:r>
        <w:t>3.1.2</w:t>
      </w:r>
      <w:r>
        <w:tab/>
        <w:t>S</w:t>
      </w:r>
      <w:r w:rsidRPr="0088503F">
        <w:t xml:space="preserve">pecial </w:t>
      </w:r>
      <w:r w:rsidR="004E5764">
        <w:t>account</w:t>
      </w:r>
    </w:p>
    <w:p w:rsidR="00554D3E" w:rsidRDefault="0086082A" w:rsidP="00554D3E">
      <w:r w:rsidRPr="0086082A">
        <w:t>AHL has no special accounts for 2013–14.</w:t>
      </w:r>
    </w:p>
    <w:p w:rsidR="00554D3E" w:rsidRPr="00C05025" w:rsidRDefault="00554D3E" w:rsidP="00554D3E">
      <w:pPr>
        <w:pStyle w:val="Heading4"/>
      </w:pPr>
      <w:r w:rsidRPr="00C05025">
        <w:t>3.1.3</w:t>
      </w:r>
      <w:r w:rsidRPr="00C05025">
        <w:tab/>
        <w:t>Australian Government Indigenous Expenditure</w:t>
      </w:r>
    </w:p>
    <w:p w:rsidR="00554D3E" w:rsidRDefault="00554D3E" w:rsidP="00554D3E">
      <w:pPr>
        <w:pStyle w:val="TableHeading"/>
      </w:pPr>
      <w:r>
        <w:t>Table 3.1.3: Australian Government Indigenous Expenditure</w:t>
      </w:r>
    </w:p>
    <w:p w:rsidR="00554D3E" w:rsidRPr="00C05025" w:rsidRDefault="00622A70" w:rsidP="00554D3E">
      <w:pPr>
        <w:pStyle w:val="TableGraphic"/>
      </w:pPr>
      <w:r>
        <w:rPr>
          <w:noProof/>
        </w:rPr>
        <w:drawing>
          <wp:inline distT="0" distB="0" distL="0" distR="0" wp14:anchorId="38812576" wp14:editId="4D86F7C2">
            <wp:extent cx="4819650" cy="2314575"/>
            <wp:effectExtent l="0" t="0" r="0" b="9525"/>
            <wp:docPr id="352" name="Picture 352" descr="Table 3.1.3: Australian Government Indigenous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19650" cy="2314575"/>
                    </a:xfrm>
                    <a:prstGeom prst="rect">
                      <a:avLst/>
                    </a:prstGeom>
                    <a:noFill/>
                    <a:ln>
                      <a:noFill/>
                    </a:ln>
                  </pic:spPr>
                </pic:pic>
              </a:graphicData>
            </a:graphic>
          </wp:inline>
        </w:drawing>
      </w:r>
    </w:p>
    <w:p w:rsidR="00554D3E" w:rsidRDefault="00554D3E" w:rsidP="0086082A">
      <w:pPr>
        <w:pStyle w:val="Heading3"/>
      </w:pPr>
      <w:r w:rsidRPr="00B06D93">
        <w:rPr>
          <w:highlight w:val="yellow"/>
        </w:rPr>
        <w:br w:type="page"/>
      </w:r>
      <w:r>
        <w:lastRenderedPageBreak/>
        <w:t>3.2</w:t>
      </w:r>
      <w:r>
        <w:tab/>
        <w:t>Budgeted financial statements</w:t>
      </w:r>
    </w:p>
    <w:p w:rsidR="00554D3E" w:rsidRDefault="00554D3E" w:rsidP="00554D3E">
      <w:pPr>
        <w:pStyle w:val="Heading4"/>
      </w:pPr>
      <w:r>
        <w:t>3.2.1</w:t>
      </w:r>
      <w:r>
        <w:tab/>
        <w:t>Differences in agency resourcing and financial statements</w:t>
      </w:r>
    </w:p>
    <w:p w:rsidR="0086082A" w:rsidRDefault="0086082A" w:rsidP="0086082A">
      <w:r>
        <w:t>Table 3.2.1 recognises the full-year revenue for 2013–14 on the basis of accrual accounting principles.</w:t>
      </w:r>
    </w:p>
    <w:p w:rsidR="00554D3E" w:rsidRPr="00C05025" w:rsidRDefault="0086082A" w:rsidP="0086082A">
      <w:r>
        <w:t>There are no significant differences between the resource information presented in the Budget Papers and Portfolio Budget Statements as a result of differences between Australian Accounting Standards and Government Finance Statistics. Furthermore, there are no differences which arise because of related entity transactions.</w:t>
      </w:r>
    </w:p>
    <w:p w:rsidR="00554D3E" w:rsidRDefault="00554D3E" w:rsidP="00554D3E">
      <w:pPr>
        <w:pStyle w:val="Heading4"/>
      </w:pPr>
      <w:r>
        <w:t>3.2.2</w:t>
      </w:r>
      <w:r>
        <w:tab/>
        <w:t>Analysis of budgeted financial statements</w:t>
      </w:r>
    </w:p>
    <w:p w:rsidR="0086082A" w:rsidRPr="0086082A" w:rsidRDefault="0086082A" w:rsidP="0086082A">
      <w:r w:rsidRPr="0086082A">
        <w:t>An analysis of the primary causes of movements from the financial statements published in the 2013–14 Portfolio Budget Statements is provided below</w:t>
      </w:r>
      <w:r>
        <w:t>.</w:t>
      </w:r>
    </w:p>
    <w:p w:rsidR="00554D3E" w:rsidRDefault="00554D3E" w:rsidP="00CC6014">
      <w:pPr>
        <w:pStyle w:val="Heading5"/>
      </w:pPr>
      <w:r w:rsidRPr="00D33D7A">
        <w:t>Departmental</w:t>
      </w:r>
    </w:p>
    <w:p w:rsidR="00554D3E" w:rsidRPr="00CF29B7" w:rsidRDefault="00554D3E" w:rsidP="004F3258">
      <w:pPr>
        <w:pStyle w:val="H6"/>
      </w:pPr>
      <w:r>
        <w:t>Income and expenses</w:t>
      </w:r>
    </w:p>
    <w:p w:rsidR="0086082A" w:rsidRDefault="0086082A" w:rsidP="0086082A">
      <w:r>
        <w:t>Sale of goods and rendering of services have increased due to revisions to the accommodation tariff rates to the associated increase to Centrelink benefits.</w:t>
      </w:r>
    </w:p>
    <w:p w:rsidR="0086082A" w:rsidRDefault="0086082A" w:rsidP="0086082A">
      <w:r>
        <w:t xml:space="preserve">Other own-source revenue included funding from DEEWR for the Indigenous Youth Mobility Program, which ceased to operate from 31 December 2012. The cessation of this program has translated to a reduction in own-source revenue in the 2013–14 budget </w:t>
      </w:r>
      <w:proofErr w:type="gramStart"/>
      <w:r>
        <w:t>year</w:t>
      </w:r>
      <w:proofErr w:type="gramEnd"/>
      <w:r>
        <w:t>. A related reduction in employee and supplier expenses will also occur, primarily in the 2013–14 budget year.</w:t>
      </w:r>
    </w:p>
    <w:p w:rsidR="0086082A" w:rsidRDefault="0086082A" w:rsidP="0086082A">
      <w:r>
        <w:t>Interest</w:t>
      </w:r>
      <w:r w:rsidR="00F47D90">
        <w:t xml:space="preserve"> income will</w:t>
      </w:r>
      <w:r>
        <w:t xml:space="preserve"> </w:t>
      </w:r>
      <w:r w:rsidR="00F47D90">
        <w:t xml:space="preserve">increase </w:t>
      </w:r>
      <w:r>
        <w:t>due to interest earned from the planned divestments in 2013–14 and the forward years.</w:t>
      </w:r>
    </w:p>
    <w:p w:rsidR="0086082A" w:rsidRDefault="0086082A" w:rsidP="0086082A">
      <w:r>
        <w:t xml:space="preserve">Depreciation and amortisation expenses </w:t>
      </w:r>
      <w:r w:rsidR="00F47D90">
        <w:t xml:space="preserve">will decrease </w:t>
      </w:r>
      <w:r>
        <w:t>due to a number of fixed assets reaching the end of their useful life without replacement.</w:t>
      </w:r>
    </w:p>
    <w:p w:rsidR="00554D3E" w:rsidRDefault="00F47D90" w:rsidP="0086082A">
      <w:r>
        <w:t xml:space="preserve">The grant </w:t>
      </w:r>
      <w:r w:rsidR="0086082A">
        <w:t>expense has slightly decreased as grant expenditure from the Corporate and Community Partnerships Program (CCPP) has reduced the funding for capital grants. Operational grants will continue to be funded at the same rate noting that expenditure is governed by the number of successful applications made by third-party organisations.</w:t>
      </w:r>
    </w:p>
    <w:p w:rsidR="00554D3E" w:rsidRDefault="00554D3E" w:rsidP="004F3258">
      <w:pPr>
        <w:pStyle w:val="H6"/>
      </w:pPr>
      <w:r>
        <w:lastRenderedPageBreak/>
        <w:t xml:space="preserve">Balance </w:t>
      </w:r>
      <w:r w:rsidR="004E5764">
        <w:t>sheet</w:t>
      </w:r>
    </w:p>
    <w:p w:rsidR="0086082A" w:rsidRDefault="0086082A" w:rsidP="0086082A">
      <w:pPr>
        <w:pStyle w:val="BulletIntro"/>
      </w:pPr>
      <w:r>
        <w:t>The major variation between actual expected results for 2012–13 and the budget for 2013–14 and forward years relates to the divestment of hostels. Expected budget implications can be seen in:</w:t>
      </w:r>
    </w:p>
    <w:p w:rsidR="0086082A" w:rsidRDefault="0086082A" w:rsidP="0086082A">
      <w:pPr>
        <w:pStyle w:val="Bullet"/>
      </w:pPr>
      <w:r>
        <w:t>incr</w:t>
      </w:r>
      <w:r w:rsidR="007571D7">
        <w:t>eased cash and cash equivalents</w:t>
      </w:r>
    </w:p>
    <w:p w:rsidR="00554D3E" w:rsidRDefault="0086082A" w:rsidP="0086082A">
      <w:pPr>
        <w:pStyle w:val="BulletLast"/>
      </w:pPr>
      <w:proofErr w:type="gramStart"/>
      <w:r>
        <w:t>decreases</w:t>
      </w:r>
      <w:proofErr w:type="gramEnd"/>
      <w:r>
        <w:t xml:space="preserve"> in land and buildings and associated reserves.</w:t>
      </w:r>
    </w:p>
    <w:p w:rsidR="00554D3E" w:rsidRDefault="00554D3E" w:rsidP="00554D3E">
      <w:pPr>
        <w:pStyle w:val="Heading4"/>
        <w:rPr>
          <w:snapToGrid w:val="0"/>
        </w:rPr>
      </w:pPr>
      <w:r>
        <w:rPr>
          <w:snapToGrid w:val="0"/>
          <w:highlight w:val="yellow"/>
        </w:rPr>
        <w:br w:type="page"/>
      </w:r>
      <w:r>
        <w:rPr>
          <w:snapToGrid w:val="0"/>
        </w:rPr>
        <w:lastRenderedPageBreak/>
        <w:t>3.2.3</w:t>
      </w:r>
      <w:r>
        <w:rPr>
          <w:snapToGrid w:val="0"/>
        </w:rPr>
        <w:tab/>
        <w:t>Budgeted financial statements tables</w:t>
      </w:r>
    </w:p>
    <w:p w:rsidR="00554D3E" w:rsidRDefault="00554D3E" w:rsidP="00554D3E">
      <w:pPr>
        <w:pStyle w:val="TableHeading"/>
        <w:spacing w:before="0"/>
      </w:pPr>
      <w:r>
        <w:t>Table 3.2.1: Comprehensive income statement (showing net cost of services</w:t>
      </w:r>
      <w:r w:rsidR="003F4B01">
        <w:t xml:space="preserve">) </w:t>
      </w:r>
      <w:r>
        <w:br/>
        <w:t>(</w:t>
      </w:r>
      <w:r w:rsidRPr="00C61513">
        <w:t>for the period ended 30 June</w:t>
      </w:r>
      <w:r w:rsidR="00B20EE2">
        <w:t>)</w:t>
      </w:r>
    </w:p>
    <w:p w:rsidR="00554D3E" w:rsidRPr="00DE604F" w:rsidRDefault="00E85BB1" w:rsidP="00554D3E">
      <w:pPr>
        <w:pStyle w:val="TableGraphic"/>
      </w:pPr>
      <w:r>
        <w:rPr>
          <w:noProof/>
        </w:rPr>
        <w:drawing>
          <wp:inline distT="0" distB="0" distL="0" distR="0" wp14:anchorId="4DDBA9CA" wp14:editId="7F0D7BD4">
            <wp:extent cx="4878705" cy="6862459"/>
            <wp:effectExtent l="0" t="0" r="0" b="0"/>
            <wp:docPr id="14" name="Picture 14" descr="Table 3.2.1: Comprehensive income statement (showing net cost of services) &#10;(for the period ended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78705" cy="6862459"/>
                    </a:xfrm>
                    <a:prstGeom prst="rect">
                      <a:avLst/>
                    </a:prstGeom>
                    <a:noFill/>
                    <a:ln>
                      <a:noFill/>
                    </a:ln>
                  </pic:spPr>
                </pic:pic>
              </a:graphicData>
            </a:graphic>
          </wp:inline>
        </w:drawing>
      </w:r>
    </w:p>
    <w:p w:rsidR="00554D3E" w:rsidRDefault="00554D3E" w:rsidP="0086082A">
      <w:pPr>
        <w:pStyle w:val="TableHeading"/>
        <w:spacing w:before="0"/>
      </w:pPr>
      <w:r>
        <w:br w:type="page"/>
      </w:r>
      <w:r w:rsidRPr="008B191A">
        <w:lastRenderedPageBreak/>
        <w:t>Table 3.2.2: Budgeted departmental balance sheet (as at 30 June</w:t>
      </w:r>
      <w:r w:rsidRPr="000367BE">
        <w:t>)</w:t>
      </w:r>
    </w:p>
    <w:p w:rsidR="00554D3E" w:rsidRPr="000367BE" w:rsidRDefault="0024079E" w:rsidP="00554D3E">
      <w:pPr>
        <w:pStyle w:val="TableGraphic"/>
      </w:pPr>
      <w:r>
        <w:rPr>
          <w:noProof/>
        </w:rPr>
        <w:drawing>
          <wp:inline distT="0" distB="0" distL="0" distR="0" wp14:anchorId="43545EDD" wp14:editId="16C81EE0">
            <wp:extent cx="4878705" cy="5247959"/>
            <wp:effectExtent l="0" t="0" r="0" b="0"/>
            <wp:docPr id="273" name="Picture 273" descr="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878705" cy="5247959"/>
                    </a:xfrm>
                    <a:prstGeom prst="rect">
                      <a:avLst/>
                    </a:prstGeom>
                    <a:noFill/>
                    <a:ln>
                      <a:noFill/>
                    </a:ln>
                  </pic:spPr>
                </pic:pic>
              </a:graphicData>
            </a:graphic>
          </wp:inline>
        </w:drawing>
      </w:r>
    </w:p>
    <w:p w:rsidR="00554D3E" w:rsidRDefault="00554D3E" w:rsidP="00554D3E">
      <w:pPr>
        <w:pStyle w:val="TableHeading"/>
      </w:pPr>
      <w:r>
        <w:rPr>
          <w:highlight w:val="yellow"/>
        </w:rPr>
        <w:br w:type="page"/>
      </w:r>
      <w:r w:rsidRPr="009402BE">
        <w:lastRenderedPageBreak/>
        <w:t>Table 3.2.3: Departmental statement of changes in equity</w:t>
      </w:r>
      <w:r w:rsidR="00CC6014">
        <w:t xml:space="preserve"> – </w:t>
      </w:r>
      <w:r w:rsidRPr="009402BE">
        <w:t>summary of movement (</w:t>
      </w:r>
      <w:r>
        <w:t>b</w:t>
      </w:r>
      <w:r w:rsidRPr="009402BE">
        <w:t xml:space="preserve">udget year </w:t>
      </w:r>
      <w:r w:rsidRPr="00892823">
        <w:t>201</w:t>
      </w:r>
      <w:r>
        <w:t>3–</w:t>
      </w:r>
      <w:r w:rsidRPr="00892823">
        <w:t>1</w:t>
      </w:r>
      <w:r>
        <w:t>4</w:t>
      </w:r>
      <w:r w:rsidRPr="009402BE">
        <w:t>)</w:t>
      </w:r>
    </w:p>
    <w:p w:rsidR="00554D3E" w:rsidRPr="00AF7454" w:rsidRDefault="00E85BB1" w:rsidP="00554D3E">
      <w:pPr>
        <w:pStyle w:val="TableGraphic"/>
      </w:pPr>
      <w:r>
        <w:rPr>
          <w:noProof/>
        </w:rPr>
        <w:drawing>
          <wp:inline distT="0" distB="0" distL="0" distR="0" wp14:anchorId="16554202" wp14:editId="5FD1F6E7">
            <wp:extent cx="4876800" cy="3314700"/>
            <wp:effectExtent l="0" t="0" r="0" b="0"/>
            <wp:docPr id="25" name="Picture 25" descr="Table 3.2.3: Departmental statement of changes in equity – summary of movement (budget yea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76800" cy="3314700"/>
                    </a:xfrm>
                    <a:prstGeom prst="rect">
                      <a:avLst/>
                    </a:prstGeom>
                    <a:noFill/>
                    <a:ln>
                      <a:noFill/>
                    </a:ln>
                  </pic:spPr>
                </pic:pic>
              </a:graphicData>
            </a:graphic>
          </wp:inline>
        </w:drawing>
      </w:r>
    </w:p>
    <w:p w:rsidR="00554D3E" w:rsidRDefault="00554D3E" w:rsidP="00554D3E">
      <w:pPr>
        <w:pStyle w:val="TableHeading"/>
      </w:pPr>
      <w:r>
        <w:br w:type="page"/>
      </w:r>
      <w:r w:rsidRPr="009402BE">
        <w:lastRenderedPageBreak/>
        <w:t>Table 3.2.4: Budgeted departmental statement of cash flows (</w:t>
      </w:r>
      <w:r>
        <w:t xml:space="preserve">for the period ended </w:t>
      </w:r>
      <w:r w:rsidRPr="009402BE">
        <w:t>30 June)</w:t>
      </w:r>
    </w:p>
    <w:p w:rsidR="00554D3E" w:rsidRDefault="00E85BB1" w:rsidP="00554D3E">
      <w:pPr>
        <w:pStyle w:val="TableGraphic"/>
        <w:rPr>
          <w:snapToGrid w:val="0"/>
        </w:rPr>
      </w:pPr>
      <w:r>
        <w:rPr>
          <w:noProof/>
        </w:rPr>
        <w:drawing>
          <wp:inline distT="0" distB="0" distL="0" distR="0" wp14:anchorId="14F9F441" wp14:editId="541C3083">
            <wp:extent cx="4878705" cy="6041652"/>
            <wp:effectExtent l="0" t="0" r="0" b="0"/>
            <wp:docPr id="37" name="Picture 37" descr="Table 3.2.4: Budgeted departmental statement of cash flow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78705" cy="6041652"/>
                    </a:xfrm>
                    <a:prstGeom prst="rect">
                      <a:avLst/>
                    </a:prstGeom>
                    <a:noFill/>
                    <a:ln>
                      <a:noFill/>
                    </a:ln>
                  </pic:spPr>
                </pic:pic>
              </a:graphicData>
            </a:graphic>
          </wp:inline>
        </w:drawing>
      </w:r>
    </w:p>
    <w:p w:rsidR="00554D3E" w:rsidRDefault="00554D3E" w:rsidP="00554D3E">
      <w:pPr>
        <w:pStyle w:val="TableHeading"/>
      </w:pPr>
      <w:r>
        <w:rPr>
          <w:snapToGrid w:val="0"/>
        </w:rPr>
        <w:br w:type="page"/>
      </w:r>
      <w:r w:rsidRPr="0033343C">
        <w:lastRenderedPageBreak/>
        <w:t>Table 3.2.5</w:t>
      </w:r>
      <w:r>
        <w:t>:</w:t>
      </w:r>
      <w:r w:rsidRPr="0033343C">
        <w:t xml:space="preserve"> Departmental </w:t>
      </w:r>
      <w:r>
        <w:t>c</w:t>
      </w:r>
      <w:r w:rsidRPr="0033343C">
        <w:t xml:space="preserve">apital </w:t>
      </w:r>
      <w:r>
        <w:t>b</w:t>
      </w:r>
      <w:r w:rsidRPr="0033343C">
        <w:t xml:space="preserve">udget </w:t>
      </w:r>
      <w:r>
        <w:t>s</w:t>
      </w:r>
      <w:r w:rsidRPr="0033343C">
        <w:t>tatement</w:t>
      </w:r>
    </w:p>
    <w:p w:rsidR="00554D3E" w:rsidRPr="0061699A" w:rsidRDefault="00E85BB1" w:rsidP="00554D3E">
      <w:pPr>
        <w:pStyle w:val="TableGraphic"/>
      </w:pPr>
      <w:r>
        <w:rPr>
          <w:noProof/>
        </w:rPr>
        <w:drawing>
          <wp:inline distT="0" distB="0" distL="0" distR="0" wp14:anchorId="587DF5B1" wp14:editId="73477AEA">
            <wp:extent cx="4878705" cy="4755792"/>
            <wp:effectExtent l="0" t="0" r="0" b="6985"/>
            <wp:docPr id="51" name="Picture 51" descr="Table 3.2.5: Departmental capital budge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878705" cy="4755792"/>
                    </a:xfrm>
                    <a:prstGeom prst="rect">
                      <a:avLst/>
                    </a:prstGeom>
                    <a:noFill/>
                    <a:ln>
                      <a:noFill/>
                    </a:ln>
                  </pic:spPr>
                </pic:pic>
              </a:graphicData>
            </a:graphic>
          </wp:inline>
        </w:drawing>
      </w:r>
    </w:p>
    <w:p w:rsidR="00554D3E" w:rsidRDefault="00554D3E" w:rsidP="00554D3E">
      <w:pPr>
        <w:pStyle w:val="TableHeading"/>
        <w:rPr>
          <w:snapToGrid w:val="0"/>
        </w:rPr>
      </w:pPr>
      <w:r>
        <w:rPr>
          <w:snapToGrid w:val="0"/>
        </w:rPr>
        <w:br w:type="page"/>
      </w:r>
      <w:r w:rsidRPr="0033343C">
        <w:rPr>
          <w:snapToGrid w:val="0"/>
        </w:rPr>
        <w:lastRenderedPageBreak/>
        <w:t>Table 3.2.6:</w:t>
      </w:r>
      <w:r>
        <w:rPr>
          <w:snapToGrid w:val="0"/>
        </w:rPr>
        <w:t xml:space="preserve"> </w:t>
      </w:r>
      <w:r w:rsidRPr="0033343C">
        <w:rPr>
          <w:snapToGrid w:val="0"/>
        </w:rPr>
        <w:t xml:space="preserve">Statement of </w:t>
      </w:r>
      <w:r>
        <w:rPr>
          <w:snapToGrid w:val="0"/>
        </w:rPr>
        <w:t>a</w:t>
      </w:r>
      <w:r w:rsidRPr="0033343C">
        <w:rPr>
          <w:snapToGrid w:val="0"/>
        </w:rPr>
        <w:t xml:space="preserve">sset </w:t>
      </w:r>
      <w:r>
        <w:rPr>
          <w:snapToGrid w:val="0"/>
        </w:rPr>
        <w:t>m</w:t>
      </w:r>
      <w:r w:rsidRPr="0033343C">
        <w:rPr>
          <w:snapToGrid w:val="0"/>
        </w:rPr>
        <w:t>ovements (</w:t>
      </w:r>
      <w:r>
        <w:rPr>
          <w:snapToGrid w:val="0"/>
        </w:rPr>
        <w:t>2013–</w:t>
      </w:r>
      <w:r w:rsidRPr="00892823">
        <w:rPr>
          <w:snapToGrid w:val="0"/>
        </w:rPr>
        <w:t>1</w:t>
      </w:r>
      <w:r>
        <w:rPr>
          <w:snapToGrid w:val="0"/>
        </w:rPr>
        <w:t>4</w:t>
      </w:r>
      <w:r w:rsidRPr="0033343C">
        <w:rPr>
          <w:snapToGrid w:val="0"/>
        </w:rPr>
        <w:t>)</w:t>
      </w:r>
    </w:p>
    <w:p w:rsidR="00554D3E" w:rsidRPr="00935871" w:rsidRDefault="000526A7" w:rsidP="00554D3E">
      <w:pPr>
        <w:pStyle w:val="TableGraphic"/>
        <w:rPr>
          <w:highlight w:val="yellow"/>
        </w:rPr>
      </w:pPr>
      <w:r>
        <w:rPr>
          <w:noProof/>
        </w:rPr>
        <w:drawing>
          <wp:inline distT="0" distB="0" distL="0" distR="0" wp14:anchorId="18434744" wp14:editId="6811B087">
            <wp:extent cx="4878705" cy="4136490"/>
            <wp:effectExtent l="0" t="0" r="0" b="0"/>
            <wp:docPr id="282" name="Picture 282" descr="Table 3.2.6: Statement of asset movement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878705" cy="4136490"/>
                    </a:xfrm>
                    <a:prstGeom prst="rect">
                      <a:avLst/>
                    </a:prstGeom>
                    <a:noFill/>
                    <a:ln>
                      <a:noFill/>
                    </a:ln>
                  </pic:spPr>
                </pic:pic>
              </a:graphicData>
            </a:graphic>
          </wp:inline>
        </w:drawing>
      </w:r>
    </w:p>
    <w:p w:rsidR="00554D3E" w:rsidRPr="00710FF0" w:rsidRDefault="00554D3E" w:rsidP="00554D3E">
      <w:pPr>
        <w:pStyle w:val="SinglePara"/>
        <w:rPr>
          <w:snapToGrid w:val="0"/>
        </w:rPr>
      </w:pPr>
    </w:p>
    <w:p w:rsidR="00554D3E" w:rsidRDefault="00554D3E" w:rsidP="0086082A">
      <w:pPr>
        <w:pStyle w:val="Heading4"/>
      </w:pPr>
      <w:r>
        <w:br w:type="page"/>
      </w:r>
      <w:r w:rsidR="0086082A">
        <w:lastRenderedPageBreak/>
        <w:t>3.2.4</w:t>
      </w:r>
      <w:r>
        <w:tab/>
      </w:r>
      <w:r w:rsidRPr="00AD1D92">
        <w:t xml:space="preserve">Notes to the financial statements </w:t>
      </w:r>
    </w:p>
    <w:p w:rsidR="00554D3E" w:rsidRDefault="00554D3E" w:rsidP="007C6B28">
      <w:pPr>
        <w:pStyle w:val="Heading5"/>
      </w:pPr>
      <w:r>
        <w:t>Accounting policies</w:t>
      </w:r>
    </w:p>
    <w:p w:rsidR="0086082A" w:rsidRDefault="0086082A" w:rsidP="0086082A">
      <w:r>
        <w:t xml:space="preserve">The financial statements have been prepared in accordance with Australian Equivalent of International Financial Reporting Standards and other authoritative pronouncements of the Australian Accounting Standards Board, and the </w:t>
      </w:r>
      <w:r w:rsidRPr="0086082A">
        <w:rPr>
          <w:i/>
        </w:rPr>
        <w:t>Corporations Act 2001</w:t>
      </w:r>
      <w:r>
        <w:t>.</w:t>
      </w:r>
    </w:p>
    <w:p w:rsidR="0086082A" w:rsidRDefault="0086082A" w:rsidP="0086082A">
      <w:r>
        <w:t>The financial statements are prepared on an accrual basis and in accordance with historical cost conventions.</w:t>
      </w:r>
    </w:p>
    <w:p w:rsidR="0086082A" w:rsidRDefault="0086082A" w:rsidP="0086082A">
      <w:r>
        <w:t>The accounting policies adopted that underpin these statements are consistent with those applied in 2012–13.</w:t>
      </w:r>
    </w:p>
    <w:p w:rsidR="00554D3E" w:rsidRPr="00CF29B7" w:rsidRDefault="0086082A" w:rsidP="0086082A">
      <w:r>
        <w:t>Reference should be made to AHL’s Annual Report 2011–12 for detailed disclosure of AHL’s accounting policies.</w:t>
      </w:r>
    </w:p>
    <w:p w:rsidR="00554D3E" w:rsidRDefault="00554D3E" w:rsidP="007C6B28">
      <w:pPr>
        <w:pStyle w:val="Heading5"/>
      </w:pPr>
      <w:r>
        <w:t>Asset valuation</w:t>
      </w:r>
    </w:p>
    <w:p w:rsidR="00554D3E" w:rsidRDefault="0086082A" w:rsidP="00554D3E">
      <w:r w:rsidRPr="0086082A">
        <w:t xml:space="preserve">In 2012–13, land and buildings have for the first time been </w:t>
      </w:r>
      <w:proofErr w:type="spellStart"/>
      <w:r w:rsidRPr="0086082A">
        <w:t>revalued</w:t>
      </w:r>
      <w:proofErr w:type="spellEnd"/>
      <w:r w:rsidRPr="0086082A">
        <w:t xml:space="preserve"> based on independent valuations. These assets were previously brought to account at historical cost. The increase has been recognised in the asset revaluation reserve.</w:t>
      </w:r>
    </w:p>
    <w:p w:rsidR="00554D3E" w:rsidRDefault="00554D3E" w:rsidP="00554D3E"/>
    <w:p w:rsidR="00F3759F" w:rsidRDefault="00F3759F" w:rsidP="00554D3E">
      <w:pPr>
        <w:sectPr w:rsidR="00F3759F" w:rsidSect="00D7542D">
          <w:headerReference w:type="even" r:id="rId129"/>
          <w:headerReference w:type="default" r:id="rId130"/>
          <w:headerReference w:type="first" r:id="rId131"/>
          <w:footerReference w:type="first" r:id="rId132"/>
          <w:type w:val="oddPage"/>
          <w:pgSz w:w="11907" w:h="16840" w:code="9"/>
          <w:pgMar w:top="2466" w:right="2126" w:bottom="2466" w:left="2098" w:header="1899" w:footer="1899" w:gutter="0"/>
          <w:cols w:space="708"/>
          <w:titlePg/>
          <w:docGrid w:linePitch="360"/>
        </w:sectPr>
      </w:pPr>
    </w:p>
    <w:p w:rsidR="00F3759F" w:rsidRDefault="00F3759F" w:rsidP="00F3759F">
      <w:pPr>
        <w:pStyle w:val="PartHeading"/>
        <w:spacing w:before="2160"/>
      </w:pPr>
      <w:r>
        <w:lastRenderedPageBreak/>
        <w:t>Australian Institute</w:t>
      </w:r>
      <w:r>
        <w:br/>
        <w:t>of Family Studies</w:t>
      </w:r>
    </w:p>
    <w:p w:rsidR="00F3759F" w:rsidRPr="00CF29B7" w:rsidRDefault="00114603" w:rsidP="00F3759F">
      <w:pPr>
        <w:pStyle w:val="PartHeading"/>
        <w:spacing w:before="2160"/>
      </w:pPr>
      <w:r>
        <w:t>Agency resources and planned p</w:t>
      </w:r>
      <w:r w:rsidR="00F3759F">
        <w:t>erformance</w:t>
      </w:r>
    </w:p>
    <w:p w:rsidR="00F3759F" w:rsidRDefault="00F3759F" w:rsidP="00F3759F">
      <w:pPr>
        <w:jc w:val="left"/>
        <w:sectPr w:rsidR="00F3759F" w:rsidSect="00D7542D">
          <w:footerReference w:type="first" r:id="rId133"/>
          <w:type w:val="oddPage"/>
          <w:pgSz w:w="11907" w:h="16840" w:code="9"/>
          <w:pgMar w:top="2466" w:right="2126" w:bottom="2466" w:left="2098" w:header="1899" w:footer="1899" w:gutter="0"/>
          <w:cols w:space="708"/>
          <w:titlePg/>
          <w:docGrid w:linePitch="360"/>
        </w:sectPr>
      </w:pPr>
    </w:p>
    <w:p w:rsidR="00F3759F" w:rsidRPr="00042738" w:rsidRDefault="00F3759F" w:rsidP="00F3759F">
      <w:pPr>
        <w:pStyle w:val="ContentsHeading"/>
      </w:pPr>
      <w:r>
        <w:lastRenderedPageBreak/>
        <w:t>Australian Institute of Family Studies</w:t>
      </w:r>
    </w:p>
    <w:p w:rsidR="00F3759F" w:rsidRPr="0032739E" w:rsidRDefault="00F3759F" w:rsidP="00F3759F">
      <w:pPr>
        <w:pStyle w:val="TOC1"/>
      </w:pPr>
      <w:r w:rsidRPr="0032739E">
        <w:t>Section 1: Agency overview and resources</w:t>
      </w:r>
      <w:r w:rsidRPr="0032739E">
        <w:tab/>
      </w:r>
      <w:r w:rsidR="009A2C55">
        <w:t>205</w:t>
      </w:r>
    </w:p>
    <w:p w:rsidR="00F3759F" w:rsidRPr="0032739E" w:rsidRDefault="00F3759F" w:rsidP="00F3759F">
      <w:pPr>
        <w:pStyle w:val="TOC2"/>
      </w:pPr>
      <w:r w:rsidRPr="0032739E">
        <w:t>1.1</w:t>
      </w:r>
      <w:r>
        <w:t xml:space="preserve"> </w:t>
      </w:r>
      <w:r w:rsidRPr="0032739E">
        <w:t xml:space="preserve">Strategic </w:t>
      </w:r>
      <w:r>
        <w:t>d</w:t>
      </w:r>
      <w:r w:rsidRPr="0032739E">
        <w:t>irection</w:t>
      </w:r>
      <w:r w:rsidR="006911FE">
        <w:t xml:space="preserve"> statement</w:t>
      </w:r>
      <w:r w:rsidRPr="0032739E">
        <w:tab/>
      </w:r>
      <w:r w:rsidR="009A2C55">
        <w:t>205</w:t>
      </w:r>
    </w:p>
    <w:p w:rsidR="00F3759F" w:rsidRPr="0032739E" w:rsidRDefault="00F3759F" w:rsidP="00F3759F">
      <w:pPr>
        <w:pStyle w:val="TOC2"/>
      </w:pPr>
      <w:r w:rsidRPr="0032739E">
        <w:t>1.2</w:t>
      </w:r>
      <w:r>
        <w:t xml:space="preserve"> </w:t>
      </w:r>
      <w:r w:rsidRPr="0032739E">
        <w:t xml:space="preserve">Agency </w:t>
      </w:r>
      <w:r>
        <w:t>r</w:t>
      </w:r>
      <w:r w:rsidRPr="0032739E">
        <w:t xml:space="preserve">esource </w:t>
      </w:r>
      <w:r>
        <w:t>s</w:t>
      </w:r>
      <w:r w:rsidRPr="0032739E">
        <w:t>tatement</w:t>
      </w:r>
      <w:r w:rsidRPr="0032739E">
        <w:tab/>
      </w:r>
      <w:r w:rsidR="009A2C55">
        <w:t>208</w:t>
      </w:r>
    </w:p>
    <w:p w:rsidR="00F3759F" w:rsidRPr="0032739E" w:rsidRDefault="00F3759F" w:rsidP="00F3759F">
      <w:pPr>
        <w:pStyle w:val="TOC2"/>
      </w:pPr>
      <w:r w:rsidRPr="0032739E">
        <w:t>1.3</w:t>
      </w:r>
      <w:r>
        <w:t xml:space="preserve"> Budget measures</w:t>
      </w:r>
      <w:r w:rsidRPr="0032739E">
        <w:tab/>
      </w:r>
      <w:r w:rsidR="009A2C55">
        <w:t>209</w:t>
      </w:r>
    </w:p>
    <w:p w:rsidR="00F3759F" w:rsidRPr="0032739E" w:rsidRDefault="00F3759F" w:rsidP="00F3759F">
      <w:pPr>
        <w:pStyle w:val="TOC1"/>
      </w:pPr>
      <w:r w:rsidRPr="0032739E">
        <w:t xml:space="preserve">Section 2: </w:t>
      </w:r>
      <w:r>
        <w:t>O</w:t>
      </w:r>
      <w:r w:rsidRPr="0032739E">
        <w:t>utcomes and planned performance</w:t>
      </w:r>
      <w:r w:rsidRPr="0032739E">
        <w:tab/>
      </w:r>
      <w:r w:rsidR="009A2C55">
        <w:t>211</w:t>
      </w:r>
    </w:p>
    <w:p w:rsidR="00F3759F" w:rsidRPr="0032739E" w:rsidRDefault="00F3759F" w:rsidP="00F3759F">
      <w:pPr>
        <w:pStyle w:val="TOC2"/>
      </w:pPr>
      <w:r w:rsidRPr="0032739E">
        <w:t>2.1</w:t>
      </w:r>
      <w:r>
        <w:t xml:space="preserve"> Outcomes and</w:t>
      </w:r>
      <w:r w:rsidRPr="0032739E">
        <w:t xml:space="preserve"> performance information</w:t>
      </w:r>
      <w:r w:rsidRPr="0032739E">
        <w:tab/>
      </w:r>
      <w:r w:rsidR="009A2C55">
        <w:t>211</w:t>
      </w:r>
    </w:p>
    <w:p w:rsidR="00F3759F" w:rsidRPr="0032739E" w:rsidRDefault="00F3759F" w:rsidP="00F3759F">
      <w:pPr>
        <w:pStyle w:val="TOC1"/>
      </w:pPr>
      <w:r w:rsidRPr="0032739E">
        <w:t>Section 3: Explanatory tables and budgeted financial statements</w:t>
      </w:r>
      <w:r w:rsidRPr="0032739E">
        <w:tab/>
      </w:r>
      <w:r w:rsidR="009A2C55">
        <w:t>217</w:t>
      </w:r>
    </w:p>
    <w:p w:rsidR="00F3759F" w:rsidRPr="0032739E" w:rsidRDefault="00F3759F" w:rsidP="00F3759F">
      <w:pPr>
        <w:pStyle w:val="TOC2"/>
      </w:pPr>
      <w:r w:rsidRPr="0032739E">
        <w:t>3.1</w:t>
      </w:r>
      <w:r>
        <w:t xml:space="preserve"> </w:t>
      </w:r>
      <w:r w:rsidRPr="0032739E">
        <w:t>Explanatory tables</w:t>
      </w:r>
      <w:r w:rsidRPr="0032739E">
        <w:tab/>
      </w:r>
      <w:r w:rsidR="009A2C55">
        <w:t>217</w:t>
      </w:r>
    </w:p>
    <w:p w:rsidR="00F3759F" w:rsidRDefault="00F3759F" w:rsidP="00F3759F">
      <w:pPr>
        <w:pStyle w:val="TOC2"/>
      </w:pPr>
      <w:r w:rsidRPr="0032739E">
        <w:t>3.2</w:t>
      </w:r>
      <w:r>
        <w:t xml:space="preserve"> </w:t>
      </w:r>
      <w:r w:rsidRPr="0032739E">
        <w:t>Budgeted financial statements</w:t>
      </w:r>
      <w:r w:rsidRPr="0032739E">
        <w:tab/>
      </w:r>
      <w:r w:rsidR="009A2C55">
        <w:t>218</w:t>
      </w:r>
    </w:p>
    <w:p w:rsidR="00F3759F" w:rsidRPr="008E4CBB" w:rsidRDefault="00F3759F" w:rsidP="00F3759F"/>
    <w:p w:rsidR="00F3759F" w:rsidRDefault="00F3759F" w:rsidP="00F3759F">
      <w:pPr>
        <w:jc w:val="left"/>
        <w:sectPr w:rsidR="00F3759F" w:rsidSect="00D7542D">
          <w:headerReference w:type="first" r:id="rId134"/>
          <w:footerReference w:type="first" r:id="rId135"/>
          <w:type w:val="oddPage"/>
          <w:pgSz w:w="11907" w:h="16840" w:code="9"/>
          <w:pgMar w:top="2466" w:right="2126" w:bottom="2466" w:left="2098" w:header="1899" w:footer="1899" w:gutter="0"/>
          <w:cols w:space="708"/>
          <w:titlePg/>
          <w:docGrid w:linePitch="360"/>
        </w:sectPr>
      </w:pPr>
    </w:p>
    <w:p w:rsidR="00F3759F" w:rsidRDefault="00F3759F" w:rsidP="00F3759F">
      <w:pPr>
        <w:pStyle w:val="Heading1"/>
      </w:pPr>
      <w:r>
        <w:lastRenderedPageBreak/>
        <w:t>Australian Institute of Family Studies</w:t>
      </w:r>
    </w:p>
    <w:p w:rsidR="00F3759F" w:rsidRDefault="00F3759F" w:rsidP="00F3759F">
      <w:pPr>
        <w:pStyle w:val="Heading2"/>
      </w:pPr>
      <w:r>
        <w:t>Section 1: Agency overview and resources</w:t>
      </w:r>
    </w:p>
    <w:p w:rsidR="00F3759F" w:rsidRDefault="00F3759F" w:rsidP="00F3759F">
      <w:pPr>
        <w:pStyle w:val="Heading3"/>
        <w:numPr>
          <w:ilvl w:val="1"/>
          <w:numId w:val="27"/>
        </w:numPr>
      </w:pPr>
      <w:r>
        <w:t>Strategic direction statement</w:t>
      </w:r>
    </w:p>
    <w:p w:rsidR="0086082A" w:rsidRDefault="0086082A" w:rsidP="0086082A">
      <w:pPr>
        <w:pStyle w:val="BulletIntro"/>
      </w:pPr>
      <w:r>
        <w:t xml:space="preserve">The Australian Institute of Family Studies (AIFS) is the Australian Government’s key research body in the area of family wellbeing. It was established in 1980 under the </w:t>
      </w:r>
      <w:r w:rsidRPr="0086082A">
        <w:rPr>
          <w:i/>
        </w:rPr>
        <w:t>Family Law Act 1975</w:t>
      </w:r>
      <w:r>
        <w:t xml:space="preserve"> and its role is to conduct research and communicate findings to policy-makers, service providers and the community about factors affecting family wellbeing. AIFS’ work provides an evidence base for developing policy and practice related to the wellbeing of families in Australia by:</w:t>
      </w:r>
    </w:p>
    <w:p w:rsidR="0086082A" w:rsidRDefault="0086082A" w:rsidP="0086082A">
      <w:pPr>
        <w:pStyle w:val="Bullet"/>
      </w:pPr>
      <w:r>
        <w:t>undertaking high-quality impartial research related to the wellbeing of families in Australia;</w:t>
      </w:r>
    </w:p>
    <w:p w:rsidR="0086082A" w:rsidRDefault="0086082A" w:rsidP="0086082A">
      <w:pPr>
        <w:pStyle w:val="Bullet"/>
      </w:pPr>
      <w:r>
        <w:t>sharing the information and transferring our knowledge;</w:t>
      </w:r>
    </w:p>
    <w:p w:rsidR="0086082A" w:rsidRDefault="0086082A" w:rsidP="0086082A">
      <w:pPr>
        <w:pStyle w:val="Bullet"/>
      </w:pPr>
      <w:r>
        <w:t>valuing and developing our relationships; and</w:t>
      </w:r>
    </w:p>
    <w:p w:rsidR="0086082A" w:rsidRDefault="0086082A" w:rsidP="0086082A">
      <w:pPr>
        <w:pStyle w:val="BulletLast"/>
      </w:pPr>
      <w:proofErr w:type="gramStart"/>
      <w:r>
        <w:t>managing</w:t>
      </w:r>
      <w:proofErr w:type="gramEnd"/>
      <w:r>
        <w:t xml:space="preserve"> our organisation.</w:t>
      </w:r>
    </w:p>
    <w:p w:rsidR="0086082A" w:rsidRDefault="0086082A" w:rsidP="0086082A">
      <w:pPr>
        <w:pStyle w:val="BulletIntro"/>
      </w:pPr>
      <w:r>
        <w:t xml:space="preserve">AIFS undertakes a range of research activities and ensures the quality of its work through: </w:t>
      </w:r>
    </w:p>
    <w:p w:rsidR="0086082A" w:rsidRDefault="0086082A" w:rsidP="0086082A">
      <w:pPr>
        <w:pStyle w:val="Bullet"/>
      </w:pPr>
      <w:r>
        <w:t>rigorous ethical standards and oversight by an ethics committee;</w:t>
      </w:r>
    </w:p>
    <w:p w:rsidR="0086082A" w:rsidRDefault="0086082A" w:rsidP="0086082A">
      <w:pPr>
        <w:pStyle w:val="Bullet"/>
      </w:pPr>
      <w:r>
        <w:t>benchmarking against international standards; and</w:t>
      </w:r>
    </w:p>
    <w:p w:rsidR="0086082A" w:rsidRDefault="0086082A" w:rsidP="0086082A">
      <w:pPr>
        <w:pStyle w:val="BulletLast"/>
      </w:pPr>
      <w:proofErr w:type="gramStart"/>
      <w:r>
        <w:t>subjecting</w:t>
      </w:r>
      <w:proofErr w:type="gramEnd"/>
      <w:r>
        <w:t xml:space="preserve"> research design, methodology and results to peer review. </w:t>
      </w:r>
    </w:p>
    <w:p w:rsidR="0086082A" w:rsidRDefault="0086082A" w:rsidP="0086082A">
      <w:r>
        <w:t>Its research work includes projects involving a range of data collection and analytic methods (such as quantitative, qualitative and mixed methods). This includes undertaking longitudinal studies; analysing major national datasets, such as the ABS census; program evaluation; and undertaking literature reviews and submissions to government inquiries.</w:t>
      </w:r>
    </w:p>
    <w:p w:rsidR="0086082A" w:rsidRDefault="0086082A" w:rsidP="0086082A">
      <w:pPr>
        <w:pStyle w:val="BulletIntro"/>
      </w:pPr>
      <w:r>
        <w:t xml:space="preserve">As outlined in </w:t>
      </w:r>
      <w:r w:rsidRPr="0086082A">
        <w:rPr>
          <w:i/>
        </w:rPr>
        <w:t>AIFS Research Directions 2012–2015</w:t>
      </w:r>
      <w:r>
        <w:t>, the Institute’s research activities will focus on four key areas:</w:t>
      </w:r>
    </w:p>
    <w:p w:rsidR="0086082A" w:rsidRDefault="0086082A" w:rsidP="0086082A">
      <w:pPr>
        <w:pStyle w:val="Bullet"/>
      </w:pPr>
      <w:r>
        <w:t>family change, functioning and wellbeing;</w:t>
      </w:r>
    </w:p>
    <w:p w:rsidR="0086082A" w:rsidRDefault="0086082A" w:rsidP="0086082A">
      <w:pPr>
        <w:pStyle w:val="Bullet"/>
      </w:pPr>
      <w:r>
        <w:t>social and economic participation for families;</w:t>
      </w:r>
    </w:p>
    <w:p w:rsidR="0086082A" w:rsidRDefault="0086082A" w:rsidP="0086082A">
      <w:pPr>
        <w:pStyle w:val="Bullet"/>
      </w:pPr>
      <w:r>
        <w:t>child and family safety; and</w:t>
      </w:r>
    </w:p>
    <w:p w:rsidR="0086082A" w:rsidRDefault="0086082A" w:rsidP="0086082A">
      <w:pPr>
        <w:pStyle w:val="BulletLast"/>
      </w:pPr>
      <w:proofErr w:type="gramStart"/>
      <w:r>
        <w:t>services</w:t>
      </w:r>
      <w:proofErr w:type="gramEnd"/>
      <w:r>
        <w:t xml:space="preserve"> to support families.</w:t>
      </w:r>
    </w:p>
    <w:p w:rsidR="0086082A" w:rsidRDefault="0086082A" w:rsidP="0086082A">
      <w:r>
        <w:lastRenderedPageBreak/>
        <w:t>Throughout 2013–14, much of AIFS’ work will again be undertaken on behalf of other agencies seeking information to inform specific policy decisions affecting families, and their communities, in Australia.</w:t>
      </w:r>
    </w:p>
    <w:p w:rsidR="00F3759F" w:rsidRDefault="0086082A" w:rsidP="0086082A">
      <w:r>
        <w:t>Communicating research findings will continue to be an integral part of AIFS’ work. Key stakeholders seeking this information include the Australian Government; state, territory and local governments; providers of services to families and children; researchers and policy-makers; and the broader Australian community.</w:t>
      </w:r>
    </w:p>
    <w:p w:rsidR="0086082A" w:rsidRDefault="0086082A" w:rsidP="0086082A">
      <w:pPr>
        <w:pStyle w:val="Heading4"/>
      </w:pPr>
      <w:r>
        <w:t>Key activities in 2013–14</w:t>
      </w:r>
    </w:p>
    <w:p w:rsidR="0086082A" w:rsidRDefault="0086082A" w:rsidP="0086082A">
      <w:r>
        <w:t xml:space="preserve">The Institute’s priorities, guided by </w:t>
      </w:r>
      <w:r w:rsidRPr="0086082A">
        <w:rPr>
          <w:i/>
        </w:rPr>
        <w:t>AIFS Research Directions 2012–2015</w:t>
      </w:r>
      <w:r>
        <w:t xml:space="preserve"> and </w:t>
      </w:r>
      <w:r w:rsidRPr="0086082A">
        <w:rPr>
          <w:i/>
        </w:rPr>
        <w:t>AIFS Strategic Directions 2012–2015</w:t>
      </w:r>
      <w:r>
        <w:t>, will include a number of significant activities.</w:t>
      </w:r>
    </w:p>
    <w:p w:rsidR="0086082A" w:rsidRDefault="0086082A" w:rsidP="0086082A">
      <w:r>
        <w:t xml:space="preserve">The Australian Gambling Research Centre (AGRC) will commence operation at AIFS this financial year, as a new measure. The AGRC has been established under the </w:t>
      </w:r>
      <w:r w:rsidRPr="00AC5FA1">
        <w:rPr>
          <w:i/>
        </w:rPr>
        <w:t>National Gambling Reform Act 2012</w:t>
      </w:r>
      <w:r>
        <w:t xml:space="preserve"> to complement the work of a range of research organisations. It will be a mechanism for drawing together the evidence, and identifying gaps in existing research and evaluation data. The AGRC will progress a research agenda that will be forward thinking and will improve the evidence base into problem gambling, playing a critical role in informing and shaping gambling reforms. The AGRC is being established within the Institute to ensure independence from government while leveraging the expertise of an established research organisation. </w:t>
      </w:r>
    </w:p>
    <w:p w:rsidR="0086082A" w:rsidRDefault="0086082A" w:rsidP="0086082A">
      <w:r>
        <w:t xml:space="preserve">Longitudinal studies – particularly </w:t>
      </w:r>
      <w:proofErr w:type="gramStart"/>
      <w:r>
        <w:t>Growing</w:t>
      </w:r>
      <w:proofErr w:type="gramEnd"/>
      <w:r>
        <w:t xml:space="preserve"> up in Australia: the Longitudinal Study of Australian Children (LSAC), Building a New Life in Australia: the Longitudinal Study of Humanitarian Migrants, the Australian Temperament Project and the Longitudinal Study of Separated Families – will continue to be a focus for AIFS. These studies are the key components of an evidence base to inform policy development and analysis undertaken within AIFS and by other researchers.</w:t>
      </w:r>
    </w:p>
    <w:p w:rsidR="0086082A" w:rsidRDefault="0086082A" w:rsidP="0086082A">
      <w:r>
        <w:t>Knowledge dissemination – including the work of the Child Family Community Australia information exchange, the Australian Centre for the Study of Sexual Assault and the Closing the Gap Clearinghouse – will continue to be integral to the Institute’s work. These are important vehicles for disseminating sector-specific research and data, and will continue to communicate research findings to policy-makers and child and family welfare practitioners.</w:t>
      </w:r>
    </w:p>
    <w:p w:rsidR="0086082A" w:rsidRDefault="0086082A" w:rsidP="0086082A">
      <w:r>
        <w:t>In November 2013, the biennial Longitudinal Study of Australian Children-Longitudinal Study of Indigenous Children (LSAC–LSIC) research conference will provide a national forum for presenting research based on these two valuable datasets. The AIFS Seminar Series (now also delivered through webinar technology), the biennial AIFS Conference in 2014 and events such as the LSAC–LSIC conference provide platforms for world-class speakers to share their knowledge on matters affecting family wellbeing. These activities reach a broad audience in Australia and beyond.</w:t>
      </w:r>
    </w:p>
    <w:p w:rsidR="0086082A" w:rsidRDefault="0086082A" w:rsidP="0086082A">
      <w:r>
        <w:lastRenderedPageBreak/>
        <w:t xml:space="preserve">This year, AIFS will continue to build relationships with organisations that also have a stake in research, policy and practice that affect family wellbeing. These relationships help to efficiently build research capability and communications reach, for the benefit of the Australian Government and the Australian community. </w:t>
      </w:r>
    </w:p>
    <w:p w:rsidR="0086082A" w:rsidRPr="0086082A" w:rsidRDefault="0086082A" w:rsidP="0086082A">
      <w:r>
        <w:t>Finally, the Institute will maintain high standards in relation to its research and corporate governance through adherence to the standards set by the National Statement on Ethical Conduct in Human Research, through use of peer reviewing of projects and publications, and involvement of its Advisory Council, the AGRC Expert Advisory Group and the Risk Assessment and Audit Committee.</w:t>
      </w:r>
    </w:p>
    <w:p w:rsidR="00F3759F" w:rsidRDefault="00F3759F" w:rsidP="00F3759F">
      <w:pPr>
        <w:pStyle w:val="Heading3"/>
      </w:pPr>
      <w:r>
        <w:br w:type="page"/>
      </w:r>
      <w:r>
        <w:lastRenderedPageBreak/>
        <w:t>1.2</w:t>
      </w:r>
      <w:r>
        <w:tab/>
        <w:t>Agency resource statement</w:t>
      </w:r>
    </w:p>
    <w:p w:rsidR="00F3759F" w:rsidRDefault="00AC5FA1" w:rsidP="00F3759F">
      <w:r w:rsidRPr="00AC5FA1">
        <w:t>Table 1.1 shows the total resources from all sources. The table summarises how resources will be applied by outcome and by administered and departmental classification.</w:t>
      </w:r>
    </w:p>
    <w:p w:rsidR="00F3759F" w:rsidRDefault="00F3759F" w:rsidP="00F3759F">
      <w:pPr>
        <w:pStyle w:val="TableHeading"/>
      </w:pPr>
      <w:r>
        <w:t xml:space="preserve">Table 1.1: </w:t>
      </w:r>
      <w:r w:rsidR="00DD4C01">
        <w:t>AIFS</w:t>
      </w:r>
      <w:r>
        <w:t xml:space="preserve"> Resource Statement </w:t>
      </w:r>
      <w:r w:rsidR="00DD4C01">
        <w:t xml:space="preserve">– </w:t>
      </w:r>
      <w:r>
        <w:t>Budget Estimates for 2013–14 as at Budget May 201</w:t>
      </w:r>
      <w:r w:rsidR="00D413A5">
        <w:t>3</w:t>
      </w:r>
    </w:p>
    <w:p w:rsidR="00F3759F" w:rsidRDefault="00262066" w:rsidP="00F3759F">
      <w:pPr>
        <w:pStyle w:val="TableGraphic"/>
      </w:pPr>
      <w:r>
        <w:rPr>
          <w:noProof/>
        </w:rPr>
        <w:drawing>
          <wp:inline distT="0" distB="0" distL="0" distR="0" wp14:anchorId="09AE070F" wp14:editId="74518005">
            <wp:extent cx="4878705" cy="5360903"/>
            <wp:effectExtent l="0" t="0" r="0" b="0"/>
            <wp:docPr id="7" name="Picture 7" descr="Table 1.1: AIFS Resource Statement – Budget Estimates for 2013–14 as at Budget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78705" cy="5360903"/>
                    </a:xfrm>
                    <a:prstGeom prst="rect">
                      <a:avLst/>
                    </a:prstGeom>
                    <a:noFill/>
                    <a:ln>
                      <a:noFill/>
                    </a:ln>
                  </pic:spPr>
                </pic:pic>
              </a:graphicData>
            </a:graphic>
          </wp:inline>
        </w:drawing>
      </w:r>
    </w:p>
    <w:p w:rsidR="00F3759F" w:rsidRDefault="00F3759F" w:rsidP="00F3759F">
      <w:pPr>
        <w:pStyle w:val="Heading3"/>
      </w:pPr>
      <w:r>
        <w:br w:type="page"/>
      </w:r>
      <w:r>
        <w:lastRenderedPageBreak/>
        <w:t>1.3</w:t>
      </w:r>
      <w:r>
        <w:tab/>
        <w:t>Budget measures</w:t>
      </w:r>
    </w:p>
    <w:p w:rsidR="00F3759F" w:rsidRDefault="00AC5FA1" w:rsidP="00F3759F">
      <w:r w:rsidRPr="00AC5FA1">
        <w:t>Budget measures relating to AIFS are detailed in Budget Paper No. 2 and are summarised below.</w:t>
      </w:r>
    </w:p>
    <w:p w:rsidR="00AC5FA1" w:rsidRDefault="00AC5FA1" w:rsidP="00AC5FA1">
      <w:pPr>
        <w:pStyle w:val="TableHeading"/>
      </w:pPr>
      <w:r>
        <w:t>Table 1.2</w:t>
      </w:r>
      <w:r w:rsidRPr="00AC5FA1">
        <w:t xml:space="preserve"> </w:t>
      </w:r>
      <w:r>
        <w:t>Agency 2013–14 budget measures</w:t>
      </w:r>
      <w:r>
        <w:br/>
        <w:t>Part 1: Measures announced since the 2012–13 MYEFO</w:t>
      </w:r>
    </w:p>
    <w:p w:rsidR="00AC5FA1" w:rsidRDefault="004321A2" w:rsidP="00AC5FA1">
      <w:pPr>
        <w:pStyle w:val="TableGraphic"/>
      </w:pPr>
      <w:r>
        <w:rPr>
          <w:noProof/>
        </w:rPr>
        <w:drawing>
          <wp:inline distT="0" distB="0" distL="0" distR="0" wp14:anchorId="75A93B25" wp14:editId="784EF9E4">
            <wp:extent cx="4878705" cy="4073482"/>
            <wp:effectExtent l="0" t="0" r="0" b="3810"/>
            <wp:docPr id="384" name="Picture 384" descr="Table 1.2 Agency 2013–14 budget measures&#10;Part 1: Measures announced since the 2012–13 MYE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78705" cy="4073482"/>
                    </a:xfrm>
                    <a:prstGeom prst="rect">
                      <a:avLst/>
                    </a:prstGeom>
                    <a:noFill/>
                    <a:ln>
                      <a:noFill/>
                    </a:ln>
                  </pic:spPr>
                </pic:pic>
              </a:graphicData>
            </a:graphic>
          </wp:inline>
        </w:drawing>
      </w:r>
    </w:p>
    <w:p w:rsidR="00AC5FA1" w:rsidRDefault="00AC5FA1" w:rsidP="00AC5FA1">
      <w:pPr>
        <w:pStyle w:val="TableHeading"/>
      </w:pPr>
      <w:r>
        <w:lastRenderedPageBreak/>
        <w:t>Table 1.2: Agency 2013–14 budget measures</w:t>
      </w:r>
      <w:r>
        <w:br/>
        <w:t>Part 2: Measures not previously reported in a portfolio statement</w:t>
      </w:r>
    </w:p>
    <w:p w:rsidR="00AC5FA1" w:rsidRPr="00AC5FA1" w:rsidRDefault="004321A2" w:rsidP="00AC5FA1">
      <w:pPr>
        <w:pStyle w:val="TableGraphic"/>
      </w:pPr>
      <w:r>
        <w:rPr>
          <w:noProof/>
        </w:rPr>
        <w:drawing>
          <wp:inline distT="0" distB="0" distL="0" distR="0" wp14:anchorId="08D59EFC" wp14:editId="0640E678">
            <wp:extent cx="4878705" cy="2349287"/>
            <wp:effectExtent l="0" t="0" r="0" b="0"/>
            <wp:docPr id="385" name="Picture 385" descr="Table 1.2: Agency 2013–14 budget measures&#10;Part 2: Measures not previously reported in a portfolio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78705" cy="2349287"/>
                    </a:xfrm>
                    <a:prstGeom prst="rect">
                      <a:avLst/>
                    </a:prstGeom>
                    <a:noFill/>
                    <a:ln>
                      <a:noFill/>
                    </a:ln>
                  </pic:spPr>
                </pic:pic>
              </a:graphicData>
            </a:graphic>
          </wp:inline>
        </w:drawing>
      </w:r>
    </w:p>
    <w:p w:rsidR="00F3759F" w:rsidRDefault="00F3759F" w:rsidP="00F3759F">
      <w:pPr>
        <w:pStyle w:val="Heading2"/>
      </w:pPr>
      <w:r>
        <w:br w:type="page"/>
      </w:r>
      <w:r>
        <w:lastRenderedPageBreak/>
        <w:t>Section 2: Outcomes and planned performance</w:t>
      </w:r>
    </w:p>
    <w:p w:rsidR="00F3759F" w:rsidRDefault="00F3759F" w:rsidP="00F3759F">
      <w:pPr>
        <w:pStyle w:val="Heading3"/>
      </w:pPr>
      <w:r>
        <w:t>2.1</w:t>
      </w:r>
      <w:r>
        <w:tab/>
        <w:t>Outcomes and performance information</w:t>
      </w:r>
    </w:p>
    <w:p w:rsidR="00AC5FA1" w:rsidRDefault="00AC5FA1" w:rsidP="00AC5FA1">
      <w:r>
        <w:t>Government outcomes are the intended results, impacts or consequences of actions by government on the Australian community. Commonwealth programs are the primary vehicle by which government agencies achieve the intended results of their outcome statements. Agencies are required to identify the programs that contribute to government outcomes over the budget and forward years.</w:t>
      </w:r>
    </w:p>
    <w:p w:rsidR="003608C9" w:rsidRDefault="00AC5FA1" w:rsidP="0040773D">
      <w:r>
        <w:t>Each outcome is described below together with its related programs, specifying the performance indicators and targets used to assess and monitor the performance of the Australian Institute of Family Studies in achieving government outcomes.</w:t>
      </w:r>
    </w:p>
    <w:p w:rsidR="00E344AC" w:rsidRDefault="00E344AC" w:rsidP="00E344AC">
      <w:pPr>
        <w:pStyle w:val="Heading4"/>
        <w:pBdr>
          <w:top w:val="single" w:sz="4" w:space="1" w:color="auto"/>
          <w:left w:val="single" w:sz="4" w:space="4" w:color="auto"/>
          <w:bottom w:val="single" w:sz="4" w:space="1" w:color="auto"/>
          <w:right w:val="single" w:sz="4" w:space="4" w:color="auto"/>
        </w:pBdr>
        <w:shd w:val="pct15" w:color="auto" w:fill="auto"/>
      </w:pPr>
      <w:r>
        <w:t>Outcome 1</w:t>
      </w:r>
    </w:p>
    <w:p w:rsidR="00F3759F" w:rsidRPr="00E344AC" w:rsidRDefault="00E344AC" w:rsidP="00E344AC">
      <w:pPr>
        <w:pStyle w:val="SinglePara"/>
        <w:pBdr>
          <w:top w:val="single" w:sz="4" w:space="1" w:color="auto"/>
          <w:left w:val="single" w:sz="4" w:space="4" w:color="auto"/>
          <w:bottom w:val="single" w:sz="4" w:space="1" w:color="auto"/>
          <w:right w:val="single" w:sz="4" w:space="4" w:color="auto"/>
        </w:pBdr>
        <w:shd w:val="pct15" w:color="auto" w:fill="auto"/>
        <w:rPr>
          <w:rFonts w:ascii="Arial" w:hAnsi="Arial" w:cs="Arial"/>
          <w:sz w:val="20"/>
        </w:rPr>
      </w:pPr>
      <w:r w:rsidRPr="00E344AC">
        <w:rPr>
          <w:rFonts w:ascii="Arial" w:hAnsi="Arial" w:cs="Arial"/>
          <w:sz w:val="20"/>
        </w:rPr>
        <w:t>Increased understanding of factors affecting how families function by conducting research and communicating findings to policy-makers, service providers and the broader community.</w:t>
      </w:r>
    </w:p>
    <w:p w:rsidR="00F3759F" w:rsidRDefault="00F3759F" w:rsidP="00E344AC">
      <w:pPr>
        <w:pStyle w:val="Heading5"/>
      </w:pPr>
      <w:r>
        <w:t xml:space="preserve">Outcome 1 </w:t>
      </w:r>
      <w:r w:rsidR="00114603">
        <w:t>strategy</w:t>
      </w:r>
    </w:p>
    <w:p w:rsidR="00AC5FA1" w:rsidRDefault="00AC5FA1" w:rsidP="00AC5FA1">
      <w:pPr>
        <w:pStyle w:val="BulletIntro"/>
      </w:pPr>
      <w:r>
        <w:t xml:space="preserve">The Institute continues to have a single planned outcome. AIFS has two strategies to meet this outcome: </w:t>
      </w:r>
    </w:p>
    <w:p w:rsidR="00AC5FA1" w:rsidRDefault="00AC5FA1" w:rsidP="00AC5FA1">
      <w:pPr>
        <w:pStyle w:val="Bullet"/>
      </w:pPr>
      <w:r>
        <w:t>AIFS undertakes high-</w:t>
      </w:r>
      <w:r w:rsidRPr="00AC5FA1">
        <w:t>quality</w:t>
      </w:r>
      <w:r>
        <w:t>, impartial research that is relevant to good policy and practice; and</w:t>
      </w:r>
    </w:p>
    <w:p w:rsidR="00AC5FA1" w:rsidRDefault="00AC5FA1" w:rsidP="00AC5FA1">
      <w:pPr>
        <w:pStyle w:val="BulletLast"/>
      </w:pPr>
      <w:r>
        <w:t>AIFS disseminates its findings to policy makers, community service providers, the research community and the Australian community.</w:t>
      </w:r>
    </w:p>
    <w:p w:rsidR="00AC5FA1" w:rsidRDefault="00AC5FA1" w:rsidP="00AC5FA1">
      <w:pPr>
        <w:pStyle w:val="BulletIntro"/>
      </w:pPr>
      <w:r>
        <w:t>In 2013</w:t>
      </w:r>
      <w:r w:rsidR="006243A7">
        <w:t>–</w:t>
      </w:r>
      <w:r>
        <w:t xml:space="preserve">14, AIFS' resources will be directed towards: </w:t>
      </w:r>
    </w:p>
    <w:p w:rsidR="00AC5FA1" w:rsidRDefault="00AC5FA1" w:rsidP="00AC5FA1">
      <w:pPr>
        <w:pStyle w:val="Bullet"/>
      </w:pPr>
      <w:r>
        <w:t>continuing to develop the evidence base to inform policy development and good practice, including:</w:t>
      </w:r>
    </w:p>
    <w:p w:rsidR="00AC5FA1" w:rsidRDefault="00AC5FA1" w:rsidP="00AC5FA1">
      <w:pPr>
        <w:pStyle w:val="Dash"/>
      </w:pPr>
      <w:r>
        <w:t xml:space="preserve">major longitudinal studies </w:t>
      </w:r>
    </w:p>
    <w:p w:rsidR="00AC5FA1" w:rsidRDefault="00AC5FA1" w:rsidP="00AC5FA1">
      <w:pPr>
        <w:pStyle w:val="Dash"/>
      </w:pPr>
      <w:r>
        <w:t>short- and medium-term research projects, submissions and reports</w:t>
      </w:r>
    </w:p>
    <w:p w:rsidR="00AC5FA1" w:rsidRDefault="00AC5FA1" w:rsidP="00AC5FA1">
      <w:pPr>
        <w:pStyle w:val="Dash"/>
      </w:pPr>
      <w:r>
        <w:t xml:space="preserve">program evaluations </w:t>
      </w:r>
    </w:p>
    <w:p w:rsidR="00AC5FA1" w:rsidRDefault="00AC5FA1" w:rsidP="00AC5FA1">
      <w:pPr>
        <w:pStyle w:val="Dash"/>
      </w:pPr>
      <w:r>
        <w:t>literature reviews</w:t>
      </w:r>
    </w:p>
    <w:p w:rsidR="00AC5FA1" w:rsidRDefault="00AC5FA1" w:rsidP="00AC5FA1">
      <w:pPr>
        <w:pStyle w:val="Bullet"/>
      </w:pPr>
      <w:r w:rsidRPr="00AC5FA1">
        <w:t>continuing</w:t>
      </w:r>
      <w:r>
        <w:t xml:space="preserve"> to communicate research findings to four targeted groups: </w:t>
      </w:r>
    </w:p>
    <w:p w:rsidR="00AC5FA1" w:rsidRDefault="00AC5FA1" w:rsidP="00AC5FA1">
      <w:pPr>
        <w:pStyle w:val="Dash"/>
      </w:pPr>
      <w:r w:rsidRPr="00AC5FA1">
        <w:rPr>
          <w:b/>
        </w:rPr>
        <w:t>policy makers</w:t>
      </w:r>
      <w:r>
        <w:t>: to inform the development and review of policies and programs affecting families</w:t>
      </w:r>
    </w:p>
    <w:p w:rsidR="00AC5FA1" w:rsidRDefault="00AC5FA1" w:rsidP="00AC5FA1">
      <w:pPr>
        <w:pStyle w:val="Dash"/>
      </w:pPr>
      <w:r w:rsidRPr="00AC5FA1">
        <w:rPr>
          <w:b/>
        </w:rPr>
        <w:t>service providers</w:t>
      </w:r>
      <w:r>
        <w:t>: to improve professional practice that supports families</w:t>
      </w:r>
    </w:p>
    <w:p w:rsidR="00AC5FA1" w:rsidRDefault="00AC5FA1" w:rsidP="00AC5FA1">
      <w:pPr>
        <w:pStyle w:val="Dash"/>
      </w:pPr>
      <w:r w:rsidRPr="00AC5FA1">
        <w:rPr>
          <w:b/>
        </w:rPr>
        <w:lastRenderedPageBreak/>
        <w:t>researchers</w:t>
      </w:r>
      <w:r>
        <w:t xml:space="preserve">: to encourage further research on issues affecting the wellbeing of Australian families </w:t>
      </w:r>
    </w:p>
    <w:p w:rsidR="00AC5FA1" w:rsidRDefault="00AC5FA1" w:rsidP="00AC5FA1">
      <w:pPr>
        <w:pStyle w:val="Dash"/>
      </w:pPr>
      <w:proofErr w:type="gramStart"/>
      <w:r w:rsidRPr="00AC5FA1">
        <w:rPr>
          <w:b/>
        </w:rPr>
        <w:t>the</w:t>
      </w:r>
      <w:proofErr w:type="gramEnd"/>
      <w:r w:rsidRPr="00AC5FA1">
        <w:rPr>
          <w:b/>
        </w:rPr>
        <w:t xml:space="preserve"> Australian community</w:t>
      </w:r>
      <w:r>
        <w:t>: to raise understanding and knowledge of family functioning.</w:t>
      </w:r>
    </w:p>
    <w:p w:rsidR="00AC5FA1" w:rsidRDefault="00AC5FA1" w:rsidP="00AC5FA1">
      <w:r>
        <w:t>These strategies will be extended to the establishment of the Australian Gambling Research Centre within AIFS.</w:t>
      </w:r>
    </w:p>
    <w:p w:rsidR="00AC5FA1" w:rsidRDefault="00AC5FA1" w:rsidP="00802F4F">
      <w:pPr>
        <w:pStyle w:val="BulletIntro"/>
      </w:pPr>
      <w:r>
        <w:t>A significant element of this strategy continues to be the delivery of the Institute's national information exchange services, which include:</w:t>
      </w:r>
    </w:p>
    <w:p w:rsidR="00AC5FA1" w:rsidRPr="00802F4F" w:rsidRDefault="00AC5FA1" w:rsidP="00802F4F">
      <w:pPr>
        <w:pStyle w:val="Bullet"/>
      </w:pPr>
      <w:r>
        <w:t xml:space="preserve">the Child Family </w:t>
      </w:r>
      <w:r w:rsidRPr="00802F4F">
        <w:t>Community Australia information exchange;</w:t>
      </w:r>
    </w:p>
    <w:p w:rsidR="00AC5FA1" w:rsidRDefault="00AC5FA1" w:rsidP="00802F4F">
      <w:pPr>
        <w:pStyle w:val="Bullet"/>
      </w:pPr>
      <w:r w:rsidRPr="00802F4F">
        <w:t>the Australian Centre for th</w:t>
      </w:r>
      <w:r>
        <w:t>e Study of Sexual Assault; and</w:t>
      </w:r>
    </w:p>
    <w:p w:rsidR="00AC5FA1" w:rsidRDefault="00AC5FA1" w:rsidP="00802F4F">
      <w:pPr>
        <w:pStyle w:val="BulletLast"/>
      </w:pPr>
      <w:proofErr w:type="gramStart"/>
      <w:r>
        <w:t>the</w:t>
      </w:r>
      <w:proofErr w:type="gramEnd"/>
      <w:r>
        <w:t xml:space="preserve"> Closing the Gap Clearinghouse, which is focused on improving understanding and outcomes for Indigenous families (delivered in partnership with the Australian Institute of Health and Welfare).</w:t>
      </w:r>
    </w:p>
    <w:p w:rsidR="00F3759F" w:rsidRDefault="00AC5FA1" w:rsidP="00802F4F">
      <w:r>
        <w:t>The major external factors that may affect the capacity of the Institute to achieve its outcome are its ability to absorb the potential impact of the efficiency dividend and the potential reduction in the capacity of other government agencies to commission research from the Institute. However, AIFS will maintain its responsiveness to changing policy priorities within budget constraints.</w:t>
      </w:r>
    </w:p>
    <w:p w:rsidR="00F3759F" w:rsidRDefault="00727278" w:rsidP="00E344AC">
      <w:pPr>
        <w:pStyle w:val="Heading5"/>
      </w:pPr>
      <w:r>
        <w:br w:type="page"/>
      </w:r>
      <w:r w:rsidR="00F3759F">
        <w:lastRenderedPageBreak/>
        <w:t xml:space="preserve">Outcome </w:t>
      </w:r>
      <w:r w:rsidR="004164A2">
        <w:t>expense statement</w:t>
      </w:r>
    </w:p>
    <w:p w:rsidR="00F3759F" w:rsidRDefault="00802F4F" w:rsidP="00F3759F">
      <w:r w:rsidRPr="00802F4F">
        <w:t>Table 2.1 provides an overview of the total expenses for Outcome 1, by program.</w:t>
      </w:r>
    </w:p>
    <w:p w:rsidR="00F3759F" w:rsidRDefault="00F3759F" w:rsidP="00F3759F">
      <w:pPr>
        <w:pStyle w:val="TableHeading"/>
        <w:rPr>
          <w:lang w:val="en-GB"/>
        </w:rPr>
      </w:pPr>
      <w:r>
        <w:rPr>
          <w:lang w:val="en-GB"/>
        </w:rPr>
        <w:t xml:space="preserve">Table 2.1: Budgeted </w:t>
      </w:r>
      <w:r w:rsidR="00114603">
        <w:rPr>
          <w:lang w:val="en-GB"/>
        </w:rPr>
        <w:t>expenses</w:t>
      </w:r>
      <w:r>
        <w:rPr>
          <w:lang w:val="en-GB"/>
        </w:rPr>
        <w:t xml:space="preserve"> for Outcome 1</w:t>
      </w:r>
    </w:p>
    <w:p w:rsidR="00F3759F" w:rsidRPr="00A82139" w:rsidRDefault="002302C2" w:rsidP="00F3759F">
      <w:pPr>
        <w:pStyle w:val="TableGraphic"/>
        <w:rPr>
          <w:lang w:val="en-GB"/>
        </w:rPr>
      </w:pPr>
      <w:r>
        <w:rPr>
          <w:noProof/>
        </w:rPr>
        <w:drawing>
          <wp:inline distT="0" distB="0" distL="0" distR="0" wp14:anchorId="02D6308F" wp14:editId="6E11A2CE">
            <wp:extent cx="4878705" cy="3057726"/>
            <wp:effectExtent l="0" t="0" r="0" b="9525"/>
            <wp:docPr id="88" name="Picture 88" descr="Table 2.1: Budgeted expens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78705" cy="3057726"/>
                    </a:xfrm>
                    <a:prstGeom prst="rect">
                      <a:avLst/>
                    </a:prstGeom>
                    <a:noFill/>
                    <a:ln>
                      <a:noFill/>
                    </a:ln>
                  </pic:spPr>
                </pic:pic>
              </a:graphicData>
            </a:graphic>
          </wp:inline>
        </w:drawing>
      </w:r>
    </w:p>
    <w:p w:rsidR="00F3759F" w:rsidRDefault="00F3759F" w:rsidP="00E344AC">
      <w:pPr>
        <w:pStyle w:val="Heading5"/>
      </w:pPr>
      <w:r>
        <w:t xml:space="preserve"> </w:t>
      </w:r>
      <w:r>
        <w:br w:type="page"/>
      </w:r>
      <w:r>
        <w:lastRenderedPageBreak/>
        <w:t>Contributions to Outcome 1</w:t>
      </w:r>
    </w:p>
    <w:p w:rsidR="00F3759F" w:rsidRDefault="00F3759F" w:rsidP="00E344AC">
      <w:pPr>
        <w:pStyle w:val="Heading6"/>
      </w:pPr>
      <w:r>
        <w:t xml:space="preserve">Program 1.1: </w:t>
      </w:r>
      <w:r w:rsidR="00802F4F" w:rsidRPr="00802F4F">
        <w:t>Australian Institute of Family Studies</w:t>
      </w:r>
    </w:p>
    <w:p w:rsidR="00F3759F" w:rsidRDefault="00F3759F" w:rsidP="00F3759F">
      <w:pPr>
        <w:pStyle w:val="SinglePara"/>
      </w:pPr>
    </w:p>
    <w:p w:rsidR="00F3759F" w:rsidRDefault="005A23A0" w:rsidP="00E344AC">
      <w:pPr>
        <w:pStyle w:val="Heading7"/>
      </w:pPr>
      <w:r>
        <w:t>Program 1.1 o</w:t>
      </w:r>
      <w:r w:rsidR="00F3759F">
        <w:t>bjective</w:t>
      </w:r>
    </w:p>
    <w:p w:rsidR="00802F4F" w:rsidRDefault="00802F4F" w:rsidP="00802F4F">
      <w:pPr>
        <w:pStyle w:val="NormalBox"/>
      </w:pPr>
      <w:r>
        <w:t>To increase understanding of factors affecting how Australian families function by conducting research and communicating findings to policy-makers, service providers and the broader community, AIFS will manage its resources to:</w:t>
      </w:r>
    </w:p>
    <w:p w:rsidR="00802F4F" w:rsidRDefault="00802F4F" w:rsidP="00802F4F">
      <w:pPr>
        <w:pStyle w:val="BulletBox"/>
      </w:pPr>
      <w:r>
        <w:t>undertake high-quality, impartial research relating to the wellbeing of families in Australia;</w:t>
      </w:r>
    </w:p>
    <w:p w:rsidR="00802F4F" w:rsidRDefault="00802F4F" w:rsidP="00802F4F">
      <w:pPr>
        <w:pStyle w:val="BulletBox"/>
      </w:pPr>
      <w:r>
        <w:t>share the information and transfer the knowledge to identified target audiences;</w:t>
      </w:r>
    </w:p>
    <w:p w:rsidR="00802F4F" w:rsidRDefault="00802F4F" w:rsidP="00802F4F">
      <w:pPr>
        <w:pStyle w:val="BulletBox"/>
      </w:pPr>
      <w:r>
        <w:t>value and develop relationships with organisations that have a stake in research, policy and practice influencing the wellbeing of families; and</w:t>
      </w:r>
    </w:p>
    <w:p w:rsidR="00E344AC" w:rsidRDefault="00802F4F" w:rsidP="00E344AC">
      <w:pPr>
        <w:pStyle w:val="BulletBox"/>
      </w:pPr>
      <w:proofErr w:type="gramStart"/>
      <w:r>
        <w:t>manage</w:t>
      </w:r>
      <w:proofErr w:type="gramEnd"/>
      <w:r>
        <w:t xml:space="preserve"> the organisation to build organisational capability, culture, and a workforce that fosters the delivery of high-quality research on family wellbeing; and manage resources to the standards expected of an Australian Government agency.</w:t>
      </w:r>
    </w:p>
    <w:p w:rsidR="00E344AC" w:rsidRDefault="00E344AC" w:rsidP="00E344AC">
      <w:pPr>
        <w:pStyle w:val="BulletBox"/>
        <w:numPr>
          <w:ilvl w:val="0"/>
          <w:numId w:val="0"/>
        </w:numPr>
        <w:pBdr>
          <w:top w:val="none" w:sz="0" w:space="0" w:color="auto"/>
          <w:left w:val="none" w:sz="0" w:space="0" w:color="auto"/>
          <w:bottom w:val="none" w:sz="0" w:space="0" w:color="auto"/>
          <w:right w:val="none" w:sz="0" w:space="0" w:color="auto"/>
        </w:pBdr>
        <w:ind w:left="284" w:hanging="284"/>
      </w:pPr>
    </w:p>
    <w:p w:rsidR="00F3759F" w:rsidRDefault="00E344AC" w:rsidP="00E344AC">
      <w:pPr>
        <w:pStyle w:val="Heading7"/>
      </w:pPr>
      <w:r>
        <w:br w:type="page"/>
      </w:r>
      <w:r w:rsidR="00F3759F">
        <w:lastRenderedPageBreak/>
        <w:t xml:space="preserve">Program 1.1 </w:t>
      </w:r>
      <w:r w:rsidR="00114603">
        <w:t>deliverables</w:t>
      </w:r>
    </w:p>
    <w:p w:rsidR="00802F4F" w:rsidRPr="00802F4F" w:rsidRDefault="00802F4F" w:rsidP="00802F4F">
      <w:pPr>
        <w:pStyle w:val="NormalBox"/>
      </w:pPr>
      <w:r w:rsidRPr="00802F4F">
        <w:t>Research outputs, including research projects involving a range of data collection and analytical methods (including qualitative, quantitative and mixed methods), as well as undertaking longitudinal studies and analyses of major datasets such as the ABS census, and completing literature reviews and submissions to government inquiries.</w:t>
      </w:r>
    </w:p>
    <w:p w:rsidR="00802F4F" w:rsidRPr="00802F4F" w:rsidRDefault="00802F4F" w:rsidP="00802F4F">
      <w:pPr>
        <w:pStyle w:val="NormalBox"/>
      </w:pPr>
      <w:r w:rsidRPr="00802F4F">
        <w:t xml:space="preserve">Communication activities, including: </w:t>
      </w:r>
    </w:p>
    <w:p w:rsidR="00802F4F" w:rsidRPr="00802F4F" w:rsidRDefault="00802F4F" w:rsidP="00802F4F">
      <w:pPr>
        <w:pStyle w:val="BulletBox"/>
      </w:pPr>
      <w:r w:rsidRPr="00802F4F">
        <w:t>information exchange and clearinghouse activities;</w:t>
      </w:r>
    </w:p>
    <w:p w:rsidR="00802F4F" w:rsidRPr="00802F4F" w:rsidRDefault="00802F4F" w:rsidP="00802F4F">
      <w:pPr>
        <w:pStyle w:val="BulletBox"/>
      </w:pPr>
      <w:r w:rsidRPr="00802F4F">
        <w:t xml:space="preserve">publications such as </w:t>
      </w:r>
      <w:r w:rsidRPr="00802F4F">
        <w:rPr>
          <w:i/>
        </w:rPr>
        <w:t>Family Matters</w:t>
      </w:r>
      <w:r w:rsidRPr="00802F4F">
        <w:t xml:space="preserve"> journal, research reports and papers, articles in journals, and books published elsewhere;</w:t>
      </w:r>
    </w:p>
    <w:p w:rsidR="00802F4F" w:rsidRPr="00802F4F" w:rsidRDefault="00802F4F" w:rsidP="00802F4F">
      <w:pPr>
        <w:pStyle w:val="BulletBox"/>
      </w:pPr>
      <w:r w:rsidRPr="00802F4F">
        <w:t>conferences, seminars, webinars, forums, etc. hosted by AIFS;</w:t>
      </w:r>
    </w:p>
    <w:p w:rsidR="00802F4F" w:rsidRPr="00802F4F" w:rsidRDefault="00802F4F" w:rsidP="00802F4F">
      <w:pPr>
        <w:pStyle w:val="BulletBox"/>
      </w:pPr>
      <w:r w:rsidRPr="00802F4F">
        <w:t>websites and electronic publishing;</w:t>
      </w:r>
    </w:p>
    <w:p w:rsidR="00802F4F" w:rsidRPr="00802F4F" w:rsidRDefault="00802F4F" w:rsidP="00802F4F">
      <w:pPr>
        <w:pStyle w:val="BulletBox"/>
      </w:pPr>
      <w:r w:rsidRPr="00802F4F">
        <w:t>presentations by AIFS staff at conferences and forums related to the wellbeing of families in Australia; and</w:t>
      </w:r>
    </w:p>
    <w:p w:rsidR="00F3759F" w:rsidRDefault="00802F4F" w:rsidP="00802F4F">
      <w:pPr>
        <w:pStyle w:val="BulletBox"/>
      </w:pPr>
      <w:proofErr w:type="gramStart"/>
      <w:r w:rsidRPr="00802F4F">
        <w:t>bibliographic</w:t>
      </w:r>
      <w:proofErr w:type="gramEnd"/>
      <w:r w:rsidRPr="00802F4F">
        <w:t xml:space="preserve"> and other library services.</w:t>
      </w:r>
    </w:p>
    <w:p w:rsidR="00F3759F" w:rsidRDefault="00802F4F" w:rsidP="00F3759F">
      <w:pPr>
        <w:pStyle w:val="TableHeading"/>
      </w:pPr>
      <w:r w:rsidRPr="00802F4F">
        <w:t xml:space="preserve">Australian </w:t>
      </w:r>
      <w:proofErr w:type="gramStart"/>
      <w:r w:rsidRPr="00802F4F">
        <w:t>Institute of Family Studies</w:t>
      </w:r>
      <w:proofErr w:type="gramEnd"/>
      <w:r w:rsidRPr="00802F4F">
        <w:t xml:space="preserve"> </w:t>
      </w:r>
      <w:r w:rsidR="00114603">
        <w:t>deliverables</w:t>
      </w:r>
      <w:r w:rsidR="00F3759F">
        <w:t xml:space="preserve"> </w:t>
      </w:r>
      <w:r w:rsidR="00114603">
        <w:t>targets</w:t>
      </w:r>
      <w:r w:rsidRPr="0040773D">
        <w:rPr>
          <w:rStyle w:val="FootnoteReference"/>
          <w:b w:val="0"/>
        </w:rPr>
        <w:footnoteReference w:id="38"/>
      </w:r>
    </w:p>
    <w:tbl>
      <w:tblPr>
        <w:tblW w:w="7651" w:type="dxa"/>
        <w:tblInd w:w="40" w:type="dxa"/>
        <w:tblCellMar>
          <w:top w:w="57" w:type="dxa"/>
          <w:left w:w="30" w:type="dxa"/>
          <w:bottom w:w="57" w:type="dxa"/>
          <w:right w:w="30" w:type="dxa"/>
        </w:tblCellMar>
        <w:tblLook w:val="0000" w:firstRow="0" w:lastRow="0" w:firstColumn="0" w:lastColumn="0" w:noHBand="0" w:noVBand="0"/>
        <w:tblDescription w:val="Australian Institute of Family Studies deliverables targets "/>
      </w:tblPr>
      <w:tblGrid>
        <w:gridCol w:w="3107"/>
        <w:gridCol w:w="908"/>
        <w:gridCol w:w="909"/>
        <w:gridCol w:w="909"/>
        <w:gridCol w:w="909"/>
        <w:gridCol w:w="909"/>
      </w:tblGrid>
      <w:tr w:rsidR="00F3759F" w:rsidRPr="00893575" w:rsidTr="00F3759F">
        <w:trPr>
          <w:trHeight w:val="225"/>
        </w:trPr>
        <w:tc>
          <w:tcPr>
            <w:tcW w:w="3107" w:type="dxa"/>
            <w:tcBorders>
              <w:top w:val="single" w:sz="2" w:space="0" w:color="auto"/>
              <w:left w:val="nil"/>
              <w:bottom w:val="single" w:sz="2" w:space="0" w:color="auto"/>
              <w:right w:val="nil"/>
            </w:tcBorders>
            <w:vAlign w:val="center"/>
          </w:tcPr>
          <w:p w:rsidR="00F3759F" w:rsidRPr="00893575" w:rsidRDefault="00F3759F" w:rsidP="00F3759F">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802F4F" w:rsidRPr="00893575" w:rsidTr="00802F4F">
        <w:trPr>
          <w:trHeight w:val="225"/>
        </w:trPr>
        <w:tc>
          <w:tcPr>
            <w:tcW w:w="3107"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left"/>
              <w:rPr>
                <w:rFonts w:ascii="Arial" w:hAnsi="Arial" w:cs="Arial"/>
                <w:color w:val="000000"/>
                <w:sz w:val="16"/>
                <w:szCs w:val="16"/>
              </w:rPr>
            </w:pPr>
            <w:r w:rsidRPr="00802F4F">
              <w:rPr>
                <w:rFonts w:ascii="Arial" w:hAnsi="Arial" w:cs="Arial"/>
                <w:color w:val="000000"/>
                <w:sz w:val="16"/>
                <w:szCs w:val="16"/>
              </w:rPr>
              <w:t>Number of research outputs and publications</w:t>
            </w:r>
          </w:p>
        </w:tc>
        <w:tc>
          <w:tcPr>
            <w:tcW w:w="908" w:type="dxa"/>
            <w:tcBorders>
              <w:top w:val="nil"/>
              <w:left w:val="nil"/>
              <w:right w:val="nil"/>
            </w:tcBorders>
            <w:shd w:val="clear" w:color="auto" w:fill="auto"/>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90</w:t>
            </w:r>
          </w:p>
        </w:tc>
        <w:tc>
          <w:tcPr>
            <w:tcW w:w="909" w:type="dxa"/>
            <w:tcBorders>
              <w:top w:val="nil"/>
              <w:left w:val="nil"/>
              <w:right w:val="nil"/>
            </w:tcBorders>
            <w:shd w:val="clear" w:color="auto" w:fill="D9D9D9"/>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100</w:t>
            </w:r>
          </w:p>
        </w:tc>
        <w:tc>
          <w:tcPr>
            <w:tcW w:w="909"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100</w:t>
            </w:r>
          </w:p>
        </w:tc>
        <w:tc>
          <w:tcPr>
            <w:tcW w:w="909"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100</w:t>
            </w:r>
          </w:p>
        </w:tc>
        <w:tc>
          <w:tcPr>
            <w:tcW w:w="909"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100</w:t>
            </w:r>
          </w:p>
        </w:tc>
      </w:tr>
      <w:tr w:rsidR="00802F4F" w:rsidRPr="00893575" w:rsidTr="00802F4F">
        <w:trPr>
          <w:trHeight w:val="225"/>
        </w:trPr>
        <w:tc>
          <w:tcPr>
            <w:tcW w:w="3107"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left"/>
              <w:rPr>
                <w:rFonts w:ascii="Arial" w:hAnsi="Arial" w:cs="Arial"/>
                <w:color w:val="000000"/>
                <w:sz w:val="16"/>
                <w:szCs w:val="16"/>
              </w:rPr>
            </w:pPr>
            <w:r w:rsidRPr="00802F4F">
              <w:rPr>
                <w:rFonts w:ascii="Arial" w:hAnsi="Arial" w:cs="Arial"/>
                <w:color w:val="000000"/>
                <w:sz w:val="16"/>
                <w:szCs w:val="16"/>
              </w:rPr>
              <w:t>Number of conferences, seminars, webinars, forums, etc.</w:t>
            </w:r>
            <w:r>
              <w:rPr>
                <w:rStyle w:val="FootnoteReference"/>
                <w:rFonts w:cs="Arial"/>
                <w:color w:val="000000"/>
                <w:szCs w:val="16"/>
              </w:rPr>
              <w:footnoteReference w:id="39"/>
            </w:r>
          </w:p>
        </w:tc>
        <w:tc>
          <w:tcPr>
            <w:tcW w:w="908" w:type="dxa"/>
            <w:tcBorders>
              <w:top w:val="nil"/>
              <w:left w:val="nil"/>
              <w:right w:val="nil"/>
            </w:tcBorders>
            <w:shd w:val="clear" w:color="auto" w:fill="auto"/>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18</w:t>
            </w:r>
          </w:p>
        </w:tc>
        <w:tc>
          <w:tcPr>
            <w:tcW w:w="909" w:type="dxa"/>
            <w:tcBorders>
              <w:top w:val="nil"/>
              <w:left w:val="nil"/>
              <w:right w:val="nil"/>
            </w:tcBorders>
            <w:shd w:val="clear" w:color="auto" w:fill="D9D9D9"/>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15</w:t>
            </w:r>
          </w:p>
        </w:tc>
        <w:tc>
          <w:tcPr>
            <w:tcW w:w="909"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16</w:t>
            </w:r>
          </w:p>
        </w:tc>
        <w:tc>
          <w:tcPr>
            <w:tcW w:w="909"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17</w:t>
            </w:r>
          </w:p>
        </w:tc>
        <w:tc>
          <w:tcPr>
            <w:tcW w:w="909"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18</w:t>
            </w:r>
          </w:p>
        </w:tc>
      </w:tr>
      <w:tr w:rsidR="00802F4F" w:rsidRPr="00893575" w:rsidTr="00802F4F">
        <w:trPr>
          <w:trHeight w:val="225"/>
        </w:trPr>
        <w:tc>
          <w:tcPr>
            <w:tcW w:w="3107"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left"/>
              <w:rPr>
                <w:rFonts w:ascii="Arial" w:hAnsi="Arial" w:cs="Arial"/>
                <w:color w:val="000000"/>
                <w:sz w:val="16"/>
                <w:szCs w:val="16"/>
              </w:rPr>
            </w:pPr>
            <w:r w:rsidRPr="00802F4F">
              <w:rPr>
                <w:rFonts w:ascii="Arial" w:hAnsi="Arial" w:cs="Arial"/>
                <w:color w:val="000000"/>
                <w:sz w:val="16"/>
                <w:szCs w:val="16"/>
              </w:rPr>
              <w:t>Number of presentations given by AIFS</w:t>
            </w:r>
          </w:p>
        </w:tc>
        <w:tc>
          <w:tcPr>
            <w:tcW w:w="908" w:type="dxa"/>
            <w:tcBorders>
              <w:top w:val="nil"/>
              <w:left w:val="nil"/>
              <w:right w:val="nil"/>
            </w:tcBorders>
            <w:shd w:val="clear" w:color="auto" w:fill="auto"/>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100</w:t>
            </w:r>
          </w:p>
        </w:tc>
        <w:tc>
          <w:tcPr>
            <w:tcW w:w="909" w:type="dxa"/>
            <w:tcBorders>
              <w:top w:val="nil"/>
              <w:left w:val="nil"/>
              <w:right w:val="nil"/>
            </w:tcBorders>
            <w:shd w:val="clear" w:color="auto" w:fill="D9D9D9"/>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80</w:t>
            </w:r>
          </w:p>
        </w:tc>
        <w:tc>
          <w:tcPr>
            <w:tcW w:w="909"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100</w:t>
            </w:r>
          </w:p>
        </w:tc>
        <w:tc>
          <w:tcPr>
            <w:tcW w:w="909"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80</w:t>
            </w:r>
          </w:p>
        </w:tc>
        <w:tc>
          <w:tcPr>
            <w:tcW w:w="909" w:type="dxa"/>
            <w:tcBorders>
              <w:top w:val="nil"/>
              <w:left w:val="nil"/>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100</w:t>
            </w:r>
          </w:p>
        </w:tc>
      </w:tr>
      <w:tr w:rsidR="00802F4F" w:rsidRPr="00893575" w:rsidTr="00802F4F">
        <w:trPr>
          <w:trHeight w:val="248"/>
        </w:trPr>
        <w:tc>
          <w:tcPr>
            <w:tcW w:w="3107" w:type="dxa"/>
            <w:tcBorders>
              <w:top w:val="nil"/>
              <w:left w:val="nil"/>
              <w:bottom w:val="single" w:sz="4" w:space="0" w:color="auto"/>
              <w:right w:val="nil"/>
            </w:tcBorders>
            <w:vAlign w:val="bottom"/>
          </w:tcPr>
          <w:p w:rsidR="00802F4F" w:rsidRPr="00802F4F" w:rsidRDefault="00802F4F" w:rsidP="002302C2">
            <w:pPr>
              <w:keepNext/>
              <w:autoSpaceDE w:val="0"/>
              <w:autoSpaceDN w:val="0"/>
              <w:adjustRightInd w:val="0"/>
              <w:spacing w:after="0" w:line="240" w:lineRule="auto"/>
              <w:jc w:val="left"/>
              <w:rPr>
                <w:rFonts w:ascii="Arial" w:hAnsi="Arial" w:cs="Arial"/>
                <w:color w:val="000000"/>
                <w:sz w:val="16"/>
                <w:szCs w:val="16"/>
              </w:rPr>
            </w:pPr>
            <w:r w:rsidRPr="00802F4F">
              <w:rPr>
                <w:rFonts w:ascii="Arial" w:hAnsi="Arial" w:cs="Arial"/>
                <w:color w:val="000000"/>
                <w:sz w:val="16"/>
                <w:szCs w:val="16"/>
              </w:rPr>
              <w:t>Number of bibliographic records generated</w:t>
            </w:r>
            <w:r>
              <w:rPr>
                <w:rStyle w:val="FootnoteReference"/>
                <w:rFonts w:cs="Arial"/>
                <w:color w:val="000000"/>
                <w:szCs w:val="16"/>
              </w:rPr>
              <w:footnoteReference w:id="40"/>
            </w:r>
          </w:p>
        </w:tc>
        <w:tc>
          <w:tcPr>
            <w:tcW w:w="908" w:type="dxa"/>
            <w:tcBorders>
              <w:top w:val="nil"/>
              <w:left w:val="nil"/>
              <w:bottom w:val="single" w:sz="4" w:space="0" w:color="auto"/>
              <w:right w:val="nil"/>
            </w:tcBorders>
            <w:shd w:val="clear" w:color="auto" w:fill="auto"/>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1,800</w:t>
            </w:r>
          </w:p>
        </w:tc>
        <w:tc>
          <w:tcPr>
            <w:tcW w:w="909" w:type="dxa"/>
            <w:tcBorders>
              <w:top w:val="nil"/>
              <w:left w:val="nil"/>
              <w:bottom w:val="single" w:sz="4" w:space="0" w:color="auto"/>
              <w:right w:val="nil"/>
            </w:tcBorders>
            <w:shd w:val="clear" w:color="auto" w:fill="D9D9D9"/>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2,000</w:t>
            </w:r>
          </w:p>
        </w:tc>
        <w:tc>
          <w:tcPr>
            <w:tcW w:w="909" w:type="dxa"/>
            <w:tcBorders>
              <w:top w:val="nil"/>
              <w:left w:val="nil"/>
              <w:bottom w:val="single" w:sz="4" w:space="0" w:color="auto"/>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2,000</w:t>
            </w:r>
          </w:p>
        </w:tc>
        <w:tc>
          <w:tcPr>
            <w:tcW w:w="909" w:type="dxa"/>
            <w:tcBorders>
              <w:top w:val="nil"/>
              <w:left w:val="nil"/>
              <w:bottom w:val="single" w:sz="4" w:space="0" w:color="auto"/>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2,000</w:t>
            </w:r>
          </w:p>
        </w:tc>
        <w:tc>
          <w:tcPr>
            <w:tcW w:w="909" w:type="dxa"/>
            <w:tcBorders>
              <w:top w:val="nil"/>
              <w:left w:val="nil"/>
              <w:bottom w:val="single" w:sz="4" w:space="0" w:color="auto"/>
              <w:right w:val="nil"/>
            </w:tcBorders>
            <w:vAlign w:val="bottom"/>
          </w:tcPr>
          <w:p w:rsidR="00802F4F" w:rsidRPr="00802F4F" w:rsidRDefault="00802F4F" w:rsidP="002302C2">
            <w:pPr>
              <w:keepNext/>
              <w:autoSpaceDE w:val="0"/>
              <w:autoSpaceDN w:val="0"/>
              <w:adjustRightInd w:val="0"/>
              <w:spacing w:after="0" w:line="240" w:lineRule="auto"/>
              <w:jc w:val="right"/>
              <w:rPr>
                <w:rFonts w:ascii="Arial" w:hAnsi="Arial" w:cs="Arial"/>
                <w:sz w:val="16"/>
                <w:szCs w:val="16"/>
              </w:rPr>
            </w:pPr>
            <w:r w:rsidRPr="00802F4F">
              <w:rPr>
                <w:rFonts w:ascii="Arial" w:hAnsi="Arial" w:cs="Arial"/>
                <w:sz w:val="16"/>
                <w:szCs w:val="16"/>
              </w:rPr>
              <w:t>2,000</w:t>
            </w:r>
          </w:p>
        </w:tc>
      </w:tr>
    </w:tbl>
    <w:p w:rsidR="00F3759F" w:rsidRPr="00EE1AB7" w:rsidRDefault="00F3759F" w:rsidP="00F3759F"/>
    <w:p w:rsidR="00F3759F" w:rsidRDefault="00F3759F" w:rsidP="00E344AC">
      <w:pPr>
        <w:pStyle w:val="Heading7"/>
      </w:pPr>
      <w:r>
        <w:br w:type="page"/>
      </w:r>
      <w:r w:rsidRPr="00C33538">
        <w:lastRenderedPageBreak/>
        <w:t xml:space="preserve">Program </w:t>
      </w:r>
      <w:r>
        <w:t xml:space="preserve">1.1 </w:t>
      </w:r>
      <w:r w:rsidR="00114603">
        <w:t>key performance indicators</w:t>
      </w:r>
    </w:p>
    <w:p w:rsidR="00802F4F" w:rsidRPr="00802F4F" w:rsidRDefault="00802F4F" w:rsidP="00E344AC">
      <w:pPr>
        <w:pStyle w:val="Heading8"/>
      </w:pPr>
      <w:r w:rsidRPr="00802F4F">
        <w:t>Research Strategy</w:t>
      </w:r>
    </w:p>
    <w:p w:rsidR="00802F4F" w:rsidRPr="00802F4F" w:rsidRDefault="00802F4F" w:rsidP="00802F4F">
      <w:pPr>
        <w:pStyle w:val="BulletBox"/>
      </w:pPr>
      <w:r w:rsidRPr="00802F4F">
        <w:t xml:space="preserve">number of commissioning bodies </w:t>
      </w:r>
    </w:p>
    <w:p w:rsidR="00802F4F" w:rsidRPr="00802F4F" w:rsidRDefault="00802F4F" w:rsidP="00802F4F">
      <w:pPr>
        <w:pStyle w:val="BulletBox"/>
      </w:pPr>
      <w:r w:rsidRPr="00802F4F">
        <w:t xml:space="preserve">number of research projects </w:t>
      </w:r>
    </w:p>
    <w:p w:rsidR="00802F4F" w:rsidRPr="00802F4F" w:rsidRDefault="00802F4F" w:rsidP="00802F4F">
      <w:pPr>
        <w:pStyle w:val="BulletBox"/>
      </w:pPr>
      <w:r w:rsidRPr="00802F4F">
        <w:t xml:space="preserve">number of longitudinal studies </w:t>
      </w:r>
    </w:p>
    <w:p w:rsidR="00802F4F" w:rsidRPr="00802F4F" w:rsidRDefault="00802F4F" w:rsidP="00E344AC">
      <w:pPr>
        <w:pStyle w:val="Heading8"/>
      </w:pPr>
      <w:r w:rsidRPr="00802F4F">
        <w:t>Communication Strategy</w:t>
      </w:r>
    </w:p>
    <w:p w:rsidR="00802F4F" w:rsidRPr="00802F4F" w:rsidRDefault="00802F4F" w:rsidP="00802F4F">
      <w:pPr>
        <w:pStyle w:val="BulletBox"/>
      </w:pPr>
      <w:r w:rsidRPr="00802F4F">
        <w:t xml:space="preserve">number of copies of publications distributed and downloaded </w:t>
      </w:r>
    </w:p>
    <w:p w:rsidR="00802F4F" w:rsidRPr="00802F4F" w:rsidRDefault="00802F4F" w:rsidP="00802F4F">
      <w:pPr>
        <w:pStyle w:val="BulletBox"/>
      </w:pPr>
      <w:r w:rsidRPr="00802F4F">
        <w:t xml:space="preserve">total attendance at conferences, seminars, webinars, forums, etc. hosted </w:t>
      </w:r>
    </w:p>
    <w:p w:rsidR="00802F4F" w:rsidRPr="00802F4F" w:rsidRDefault="00802F4F" w:rsidP="00802F4F">
      <w:pPr>
        <w:pStyle w:val="BulletBox"/>
      </w:pPr>
      <w:r w:rsidRPr="00802F4F">
        <w:t>number of media mentions - online, print, television, radio</w:t>
      </w:r>
    </w:p>
    <w:p w:rsidR="00802F4F" w:rsidRPr="00802F4F" w:rsidRDefault="00802F4F" w:rsidP="00E344AC">
      <w:pPr>
        <w:pStyle w:val="Heading8"/>
      </w:pPr>
      <w:r w:rsidRPr="00802F4F">
        <w:t>Workforce Objective</w:t>
      </w:r>
    </w:p>
    <w:p w:rsidR="00F3759F" w:rsidRDefault="00802F4F" w:rsidP="00802F4F">
      <w:pPr>
        <w:pStyle w:val="BulletBox"/>
      </w:pPr>
      <w:r w:rsidRPr="00802F4F">
        <w:t>qualifications and professional expertise of AIFS employees</w:t>
      </w:r>
    </w:p>
    <w:p w:rsidR="00F3759F" w:rsidRDefault="00802F4F" w:rsidP="00F3759F">
      <w:pPr>
        <w:pStyle w:val="TableHeading"/>
      </w:pPr>
      <w:r w:rsidRPr="00802F4F">
        <w:t xml:space="preserve">Australian </w:t>
      </w:r>
      <w:proofErr w:type="gramStart"/>
      <w:r w:rsidRPr="00802F4F">
        <w:t>Institute of Family Studies</w:t>
      </w:r>
      <w:proofErr w:type="gramEnd"/>
      <w:r w:rsidRPr="00802F4F">
        <w:t xml:space="preserve"> </w:t>
      </w:r>
      <w:r w:rsidR="00114603">
        <w:t>key performance indicators</w:t>
      </w:r>
    </w:p>
    <w:tbl>
      <w:tblPr>
        <w:tblW w:w="7651" w:type="dxa"/>
        <w:tblInd w:w="40" w:type="dxa"/>
        <w:tblCellMar>
          <w:top w:w="57" w:type="dxa"/>
          <w:left w:w="30" w:type="dxa"/>
          <w:bottom w:w="57" w:type="dxa"/>
          <w:right w:w="30" w:type="dxa"/>
        </w:tblCellMar>
        <w:tblLook w:val="0000" w:firstRow="0" w:lastRow="0" w:firstColumn="0" w:lastColumn="0" w:noHBand="0" w:noVBand="0"/>
        <w:tblDescription w:val="Australian Institute of Family Studies key performance indicators"/>
      </w:tblPr>
      <w:tblGrid>
        <w:gridCol w:w="3107"/>
        <w:gridCol w:w="908"/>
        <w:gridCol w:w="909"/>
        <w:gridCol w:w="909"/>
        <w:gridCol w:w="909"/>
        <w:gridCol w:w="909"/>
      </w:tblGrid>
      <w:tr w:rsidR="00F3759F" w:rsidRPr="00893575" w:rsidTr="00F3759F">
        <w:trPr>
          <w:trHeight w:val="225"/>
        </w:trPr>
        <w:tc>
          <w:tcPr>
            <w:tcW w:w="3107" w:type="dxa"/>
            <w:tcBorders>
              <w:top w:val="single" w:sz="2" w:space="0" w:color="auto"/>
              <w:left w:val="nil"/>
              <w:bottom w:val="single" w:sz="2" w:space="0" w:color="auto"/>
              <w:right w:val="nil"/>
            </w:tcBorders>
            <w:vAlign w:val="center"/>
          </w:tcPr>
          <w:p w:rsidR="00F3759F" w:rsidRPr="00893575" w:rsidRDefault="00F3759F" w:rsidP="00F3759F">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F3759F" w:rsidRPr="00893575" w:rsidRDefault="00F3759F" w:rsidP="00F3759F">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E0479D" w:rsidRPr="00893575" w:rsidTr="00304174">
        <w:trPr>
          <w:trHeight w:val="225"/>
        </w:trPr>
        <w:tc>
          <w:tcPr>
            <w:tcW w:w="3107" w:type="dxa"/>
            <w:tcBorders>
              <w:top w:val="nil"/>
              <w:left w:val="nil"/>
              <w:right w:val="nil"/>
            </w:tcBorders>
            <w:vAlign w:val="bottom"/>
          </w:tcPr>
          <w:p w:rsidR="00E0479D" w:rsidRPr="00E0479D" w:rsidRDefault="00E0479D" w:rsidP="00304174">
            <w:pPr>
              <w:keepNext/>
              <w:autoSpaceDE w:val="0"/>
              <w:autoSpaceDN w:val="0"/>
              <w:adjustRightInd w:val="0"/>
              <w:spacing w:after="0" w:line="240" w:lineRule="auto"/>
              <w:jc w:val="left"/>
              <w:rPr>
                <w:rFonts w:ascii="Arial" w:hAnsi="Arial" w:cs="Arial"/>
                <w:color w:val="000000"/>
                <w:sz w:val="16"/>
                <w:szCs w:val="16"/>
              </w:rPr>
            </w:pPr>
            <w:r w:rsidRPr="00E0479D">
              <w:rPr>
                <w:rFonts w:ascii="Arial" w:hAnsi="Arial" w:cs="Arial"/>
                <w:color w:val="000000"/>
                <w:sz w:val="16"/>
                <w:szCs w:val="16"/>
              </w:rPr>
              <w:t>Number of commissioning bodies</w:t>
            </w:r>
          </w:p>
        </w:tc>
        <w:tc>
          <w:tcPr>
            <w:tcW w:w="908" w:type="dxa"/>
            <w:tcBorders>
              <w:top w:val="nil"/>
              <w:left w:val="nil"/>
              <w:right w:val="nil"/>
            </w:tcBorders>
            <w:shd w:val="clear" w:color="auto" w:fill="auto"/>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20</w:t>
            </w:r>
          </w:p>
        </w:tc>
        <w:tc>
          <w:tcPr>
            <w:tcW w:w="909" w:type="dxa"/>
            <w:tcBorders>
              <w:top w:val="nil"/>
              <w:left w:val="nil"/>
              <w:right w:val="nil"/>
            </w:tcBorders>
            <w:shd w:val="clear" w:color="auto" w:fill="D9D9D9"/>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20</w:t>
            </w:r>
          </w:p>
        </w:tc>
        <w:tc>
          <w:tcPr>
            <w:tcW w:w="909" w:type="dxa"/>
            <w:tcBorders>
              <w:top w:val="nil"/>
              <w:left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20</w:t>
            </w:r>
          </w:p>
        </w:tc>
        <w:tc>
          <w:tcPr>
            <w:tcW w:w="909" w:type="dxa"/>
            <w:tcBorders>
              <w:top w:val="nil"/>
              <w:left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20</w:t>
            </w:r>
          </w:p>
        </w:tc>
        <w:tc>
          <w:tcPr>
            <w:tcW w:w="909" w:type="dxa"/>
            <w:tcBorders>
              <w:top w:val="nil"/>
              <w:left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20</w:t>
            </w:r>
          </w:p>
        </w:tc>
      </w:tr>
      <w:tr w:rsidR="00E0479D" w:rsidRPr="00893575" w:rsidTr="00304174">
        <w:trPr>
          <w:trHeight w:val="225"/>
        </w:trPr>
        <w:tc>
          <w:tcPr>
            <w:tcW w:w="3107" w:type="dxa"/>
            <w:tcBorders>
              <w:top w:val="nil"/>
              <w:left w:val="nil"/>
              <w:right w:val="nil"/>
            </w:tcBorders>
            <w:vAlign w:val="bottom"/>
          </w:tcPr>
          <w:p w:rsidR="00E0479D" w:rsidRPr="00E0479D" w:rsidRDefault="00E0479D" w:rsidP="00304174">
            <w:pPr>
              <w:keepNext/>
              <w:autoSpaceDE w:val="0"/>
              <w:autoSpaceDN w:val="0"/>
              <w:adjustRightInd w:val="0"/>
              <w:spacing w:after="0" w:line="240" w:lineRule="auto"/>
              <w:jc w:val="left"/>
              <w:rPr>
                <w:rFonts w:ascii="Arial" w:hAnsi="Arial" w:cs="Arial"/>
                <w:color w:val="000000"/>
                <w:sz w:val="16"/>
                <w:szCs w:val="16"/>
              </w:rPr>
            </w:pPr>
            <w:r w:rsidRPr="00E0479D">
              <w:rPr>
                <w:rFonts w:ascii="Arial" w:hAnsi="Arial" w:cs="Arial"/>
                <w:color w:val="000000"/>
                <w:sz w:val="16"/>
                <w:szCs w:val="16"/>
              </w:rPr>
              <w:t>Number of research projects</w:t>
            </w:r>
          </w:p>
        </w:tc>
        <w:tc>
          <w:tcPr>
            <w:tcW w:w="908" w:type="dxa"/>
            <w:tcBorders>
              <w:top w:val="nil"/>
              <w:left w:val="nil"/>
              <w:right w:val="nil"/>
            </w:tcBorders>
            <w:shd w:val="clear" w:color="auto" w:fill="auto"/>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42</w:t>
            </w:r>
          </w:p>
        </w:tc>
        <w:tc>
          <w:tcPr>
            <w:tcW w:w="909" w:type="dxa"/>
            <w:tcBorders>
              <w:top w:val="nil"/>
              <w:left w:val="nil"/>
              <w:right w:val="nil"/>
            </w:tcBorders>
            <w:shd w:val="clear" w:color="auto" w:fill="D9D9D9"/>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42</w:t>
            </w:r>
          </w:p>
        </w:tc>
        <w:tc>
          <w:tcPr>
            <w:tcW w:w="909" w:type="dxa"/>
            <w:tcBorders>
              <w:top w:val="nil"/>
              <w:left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42</w:t>
            </w:r>
          </w:p>
        </w:tc>
        <w:tc>
          <w:tcPr>
            <w:tcW w:w="909" w:type="dxa"/>
            <w:tcBorders>
              <w:top w:val="nil"/>
              <w:left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42</w:t>
            </w:r>
          </w:p>
        </w:tc>
        <w:tc>
          <w:tcPr>
            <w:tcW w:w="909" w:type="dxa"/>
            <w:tcBorders>
              <w:top w:val="nil"/>
              <w:left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42</w:t>
            </w:r>
          </w:p>
        </w:tc>
      </w:tr>
      <w:tr w:rsidR="00E0479D" w:rsidRPr="00893575" w:rsidTr="00304174">
        <w:trPr>
          <w:trHeight w:val="225"/>
        </w:trPr>
        <w:tc>
          <w:tcPr>
            <w:tcW w:w="3107"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left"/>
              <w:rPr>
                <w:rFonts w:ascii="Arial" w:hAnsi="Arial" w:cs="Arial"/>
                <w:color w:val="000000"/>
                <w:sz w:val="16"/>
                <w:szCs w:val="16"/>
              </w:rPr>
            </w:pPr>
            <w:r w:rsidRPr="00E0479D">
              <w:rPr>
                <w:rFonts w:ascii="Arial" w:hAnsi="Arial" w:cs="Arial"/>
                <w:color w:val="000000"/>
                <w:sz w:val="16"/>
                <w:szCs w:val="16"/>
              </w:rPr>
              <w:t>Number of longitudinal studies</w:t>
            </w:r>
          </w:p>
        </w:tc>
        <w:tc>
          <w:tcPr>
            <w:tcW w:w="908" w:type="dxa"/>
            <w:tcBorders>
              <w:top w:val="nil"/>
              <w:left w:val="nil"/>
              <w:bottom w:val="nil"/>
              <w:right w:val="nil"/>
            </w:tcBorders>
            <w:shd w:val="clear" w:color="auto" w:fill="auto"/>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6</w:t>
            </w:r>
          </w:p>
        </w:tc>
        <w:tc>
          <w:tcPr>
            <w:tcW w:w="909" w:type="dxa"/>
            <w:tcBorders>
              <w:top w:val="nil"/>
              <w:left w:val="nil"/>
              <w:bottom w:val="nil"/>
              <w:right w:val="nil"/>
            </w:tcBorders>
            <w:shd w:val="clear" w:color="auto" w:fill="D9D9D9"/>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6</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6</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5</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5</w:t>
            </w:r>
          </w:p>
        </w:tc>
      </w:tr>
      <w:tr w:rsidR="00E0479D" w:rsidRPr="00893575" w:rsidTr="00304174">
        <w:trPr>
          <w:trHeight w:val="225"/>
        </w:trPr>
        <w:tc>
          <w:tcPr>
            <w:tcW w:w="3107"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left"/>
              <w:rPr>
                <w:rFonts w:ascii="Arial" w:hAnsi="Arial" w:cs="Arial"/>
                <w:color w:val="000000"/>
                <w:sz w:val="16"/>
                <w:szCs w:val="16"/>
              </w:rPr>
            </w:pPr>
            <w:r w:rsidRPr="00E0479D">
              <w:rPr>
                <w:rFonts w:ascii="Arial" w:hAnsi="Arial" w:cs="Arial"/>
                <w:color w:val="000000"/>
                <w:sz w:val="16"/>
                <w:szCs w:val="16"/>
              </w:rPr>
              <w:t>Number of publications distributed and downloaded (in millions)</w:t>
            </w:r>
          </w:p>
        </w:tc>
        <w:tc>
          <w:tcPr>
            <w:tcW w:w="908" w:type="dxa"/>
            <w:tcBorders>
              <w:top w:val="nil"/>
              <w:left w:val="nil"/>
              <w:bottom w:val="nil"/>
              <w:right w:val="nil"/>
            </w:tcBorders>
            <w:shd w:val="clear" w:color="auto" w:fill="auto"/>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1.8</w:t>
            </w:r>
          </w:p>
        </w:tc>
        <w:tc>
          <w:tcPr>
            <w:tcW w:w="909" w:type="dxa"/>
            <w:tcBorders>
              <w:top w:val="nil"/>
              <w:left w:val="nil"/>
              <w:bottom w:val="nil"/>
              <w:right w:val="nil"/>
            </w:tcBorders>
            <w:shd w:val="clear" w:color="auto" w:fill="D9D9D9"/>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2.0</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2.0</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2.0</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2.0</w:t>
            </w:r>
          </w:p>
        </w:tc>
      </w:tr>
      <w:tr w:rsidR="00E0479D" w:rsidRPr="00893575" w:rsidTr="00304174">
        <w:trPr>
          <w:trHeight w:val="225"/>
        </w:trPr>
        <w:tc>
          <w:tcPr>
            <w:tcW w:w="3107"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left"/>
              <w:rPr>
                <w:rFonts w:ascii="Arial" w:hAnsi="Arial" w:cs="Arial"/>
                <w:color w:val="000000"/>
                <w:sz w:val="16"/>
                <w:szCs w:val="16"/>
              </w:rPr>
            </w:pPr>
            <w:r w:rsidRPr="00E0479D">
              <w:rPr>
                <w:rFonts w:ascii="Arial" w:hAnsi="Arial" w:cs="Arial"/>
                <w:color w:val="000000"/>
                <w:sz w:val="16"/>
                <w:szCs w:val="16"/>
              </w:rPr>
              <w:t>Total attendance at AIFS conferences, seminars, webinars, forums, etc</w:t>
            </w:r>
            <w:r>
              <w:rPr>
                <w:rFonts w:ascii="Arial" w:hAnsi="Arial" w:cs="Arial"/>
                <w:color w:val="000000"/>
                <w:sz w:val="16"/>
                <w:szCs w:val="16"/>
              </w:rPr>
              <w:t>.</w:t>
            </w:r>
            <w:r>
              <w:rPr>
                <w:rStyle w:val="FootnoteReference"/>
                <w:rFonts w:cs="Arial"/>
                <w:color w:val="000000"/>
                <w:szCs w:val="16"/>
              </w:rPr>
              <w:footnoteReference w:id="41"/>
            </w:r>
          </w:p>
        </w:tc>
        <w:tc>
          <w:tcPr>
            <w:tcW w:w="908" w:type="dxa"/>
            <w:tcBorders>
              <w:top w:val="nil"/>
              <w:left w:val="nil"/>
              <w:bottom w:val="nil"/>
              <w:right w:val="nil"/>
            </w:tcBorders>
            <w:shd w:val="clear" w:color="auto" w:fill="auto"/>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1,500</w:t>
            </w:r>
          </w:p>
        </w:tc>
        <w:tc>
          <w:tcPr>
            <w:tcW w:w="909" w:type="dxa"/>
            <w:tcBorders>
              <w:top w:val="nil"/>
              <w:left w:val="nil"/>
              <w:bottom w:val="nil"/>
              <w:right w:val="nil"/>
            </w:tcBorders>
            <w:shd w:val="clear" w:color="auto" w:fill="D9D9D9"/>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1,200</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1,500</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1,200</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1,500</w:t>
            </w:r>
          </w:p>
        </w:tc>
      </w:tr>
      <w:tr w:rsidR="00E0479D" w:rsidRPr="00893575" w:rsidTr="00304174">
        <w:trPr>
          <w:trHeight w:val="225"/>
        </w:trPr>
        <w:tc>
          <w:tcPr>
            <w:tcW w:w="3107"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left"/>
              <w:rPr>
                <w:rFonts w:ascii="Arial" w:hAnsi="Arial" w:cs="Arial"/>
                <w:color w:val="000000"/>
                <w:sz w:val="16"/>
                <w:szCs w:val="16"/>
              </w:rPr>
            </w:pPr>
            <w:r w:rsidRPr="00E0479D">
              <w:rPr>
                <w:rFonts w:ascii="Arial" w:hAnsi="Arial" w:cs="Arial"/>
                <w:color w:val="000000"/>
                <w:sz w:val="16"/>
                <w:szCs w:val="16"/>
              </w:rPr>
              <w:t>Number of media mentions</w:t>
            </w:r>
          </w:p>
        </w:tc>
        <w:tc>
          <w:tcPr>
            <w:tcW w:w="908" w:type="dxa"/>
            <w:tcBorders>
              <w:top w:val="nil"/>
              <w:left w:val="nil"/>
              <w:bottom w:val="nil"/>
              <w:right w:val="nil"/>
            </w:tcBorders>
            <w:shd w:val="clear" w:color="auto" w:fill="auto"/>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2,800</w:t>
            </w:r>
          </w:p>
        </w:tc>
        <w:tc>
          <w:tcPr>
            <w:tcW w:w="909" w:type="dxa"/>
            <w:tcBorders>
              <w:top w:val="nil"/>
              <w:left w:val="nil"/>
              <w:bottom w:val="nil"/>
              <w:right w:val="nil"/>
            </w:tcBorders>
            <w:shd w:val="clear" w:color="auto" w:fill="D9D9D9"/>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2,300</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2,800</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2,300</w:t>
            </w:r>
          </w:p>
        </w:tc>
        <w:tc>
          <w:tcPr>
            <w:tcW w:w="909" w:type="dxa"/>
            <w:tcBorders>
              <w:top w:val="nil"/>
              <w:left w:val="nil"/>
              <w:bottom w:val="nil"/>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2,800</w:t>
            </w:r>
          </w:p>
        </w:tc>
      </w:tr>
      <w:tr w:rsidR="00E0479D" w:rsidRPr="00893575" w:rsidTr="00304174">
        <w:trPr>
          <w:trHeight w:val="225"/>
        </w:trPr>
        <w:tc>
          <w:tcPr>
            <w:tcW w:w="3107" w:type="dxa"/>
            <w:tcBorders>
              <w:top w:val="nil"/>
              <w:left w:val="nil"/>
              <w:bottom w:val="single" w:sz="4" w:space="0" w:color="auto"/>
              <w:right w:val="nil"/>
            </w:tcBorders>
            <w:vAlign w:val="bottom"/>
          </w:tcPr>
          <w:p w:rsidR="00E0479D" w:rsidRPr="00E0479D" w:rsidRDefault="00E0479D" w:rsidP="00304174">
            <w:pPr>
              <w:keepNext/>
              <w:autoSpaceDE w:val="0"/>
              <w:autoSpaceDN w:val="0"/>
              <w:adjustRightInd w:val="0"/>
              <w:spacing w:after="0" w:line="240" w:lineRule="auto"/>
              <w:jc w:val="left"/>
              <w:rPr>
                <w:rFonts w:ascii="Arial" w:hAnsi="Arial" w:cs="Arial"/>
                <w:color w:val="000000"/>
                <w:sz w:val="16"/>
                <w:szCs w:val="16"/>
              </w:rPr>
            </w:pPr>
            <w:r w:rsidRPr="00E0479D">
              <w:rPr>
                <w:rFonts w:ascii="Arial" w:hAnsi="Arial" w:cs="Arial"/>
                <w:color w:val="000000"/>
                <w:sz w:val="16"/>
                <w:szCs w:val="16"/>
              </w:rPr>
              <w:t>Percentage of research personnel with postgraduate qualifications</w:t>
            </w:r>
          </w:p>
        </w:tc>
        <w:tc>
          <w:tcPr>
            <w:tcW w:w="908" w:type="dxa"/>
            <w:tcBorders>
              <w:top w:val="nil"/>
              <w:left w:val="nil"/>
              <w:bottom w:val="single" w:sz="4" w:space="0" w:color="auto"/>
              <w:right w:val="nil"/>
            </w:tcBorders>
            <w:shd w:val="clear" w:color="auto" w:fill="auto"/>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55%</w:t>
            </w:r>
          </w:p>
        </w:tc>
        <w:tc>
          <w:tcPr>
            <w:tcW w:w="909" w:type="dxa"/>
            <w:tcBorders>
              <w:top w:val="nil"/>
              <w:left w:val="nil"/>
              <w:bottom w:val="single" w:sz="4" w:space="0" w:color="auto"/>
              <w:right w:val="nil"/>
            </w:tcBorders>
            <w:shd w:val="clear" w:color="auto" w:fill="D9D9D9"/>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55%</w:t>
            </w:r>
          </w:p>
        </w:tc>
        <w:tc>
          <w:tcPr>
            <w:tcW w:w="909" w:type="dxa"/>
            <w:tcBorders>
              <w:top w:val="nil"/>
              <w:left w:val="nil"/>
              <w:bottom w:val="single" w:sz="4" w:space="0" w:color="auto"/>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55%</w:t>
            </w:r>
          </w:p>
        </w:tc>
        <w:tc>
          <w:tcPr>
            <w:tcW w:w="909" w:type="dxa"/>
            <w:tcBorders>
              <w:top w:val="nil"/>
              <w:left w:val="nil"/>
              <w:bottom w:val="single" w:sz="4" w:space="0" w:color="auto"/>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55%</w:t>
            </w:r>
          </w:p>
        </w:tc>
        <w:tc>
          <w:tcPr>
            <w:tcW w:w="909" w:type="dxa"/>
            <w:tcBorders>
              <w:top w:val="nil"/>
              <w:left w:val="nil"/>
              <w:bottom w:val="single" w:sz="4" w:space="0" w:color="auto"/>
              <w:right w:val="nil"/>
            </w:tcBorders>
            <w:vAlign w:val="bottom"/>
          </w:tcPr>
          <w:p w:rsidR="00E0479D" w:rsidRPr="00E0479D" w:rsidRDefault="00E0479D" w:rsidP="00304174">
            <w:pPr>
              <w:keepNext/>
              <w:autoSpaceDE w:val="0"/>
              <w:autoSpaceDN w:val="0"/>
              <w:adjustRightInd w:val="0"/>
              <w:spacing w:after="0" w:line="240" w:lineRule="auto"/>
              <w:jc w:val="right"/>
              <w:rPr>
                <w:rFonts w:ascii="Arial" w:hAnsi="Arial" w:cs="Arial"/>
                <w:sz w:val="16"/>
                <w:szCs w:val="16"/>
              </w:rPr>
            </w:pPr>
            <w:r w:rsidRPr="00E0479D">
              <w:rPr>
                <w:rFonts w:ascii="Arial" w:hAnsi="Arial" w:cs="Arial"/>
                <w:sz w:val="16"/>
                <w:szCs w:val="16"/>
              </w:rPr>
              <w:t>55%</w:t>
            </w:r>
          </w:p>
        </w:tc>
      </w:tr>
    </w:tbl>
    <w:p w:rsidR="00F3759F" w:rsidRPr="00EE1AB7" w:rsidRDefault="00F3759F" w:rsidP="00F3759F"/>
    <w:p w:rsidR="00F3759F" w:rsidRDefault="00F3759F" w:rsidP="00F3759F">
      <w:pPr>
        <w:pStyle w:val="Heading2"/>
      </w:pPr>
      <w:r>
        <w:br w:type="page"/>
      </w:r>
      <w:r>
        <w:lastRenderedPageBreak/>
        <w:t>Section 3: Explanatory tables and budgeted financial statements</w:t>
      </w:r>
    </w:p>
    <w:p w:rsidR="00F3759F" w:rsidRPr="009C7F86" w:rsidRDefault="00E0479D" w:rsidP="00F3759F">
      <w:r w:rsidRPr="00E0479D">
        <w:t xml:space="preserve">Section 3 presents explanatory tables and budgeted financial statements that provide a comprehensive snapshot of agency finances for the 2013–14 budget </w:t>
      </w:r>
      <w:proofErr w:type="gramStart"/>
      <w:r w:rsidRPr="00E0479D">
        <w:t>year</w:t>
      </w:r>
      <w:proofErr w:type="gramEnd"/>
      <w:r w:rsidRPr="00E0479D">
        <w:t>. It explains how budget plans are incorporated into the financial statements and provides further details of the reconciliation between appropriations and program expenses, movements in administered funds, special accounts and government Indigenous expenditure.</w:t>
      </w:r>
    </w:p>
    <w:p w:rsidR="00F3759F" w:rsidRPr="00AD1D92" w:rsidRDefault="00F3759F" w:rsidP="00F3759F">
      <w:pPr>
        <w:pStyle w:val="Heading3"/>
      </w:pPr>
      <w:r w:rsidRPr="00AD1D92">
        <w:t>3.1</w:t>
      </w:r>
      <w:r w:rsidRPr="00AD1D92">
        <w:tab/>
        <w:t>Explanatory tables</w:t>
      </w:r>
    </w:p>
    <w:p w:rsidR="00F3759F" w:rsidRDefault="00F3759F" w:rsidP="00F3759F">
      <w:pPr>
        <w:pStyle w:val="Heading4"/>
      </w:pPr>
      <w:r>
        <w:t>3.1.1</w:t>
      </w:r>
      <w:r>
        <w:tab/>
        <w:t>Movement of administered funds between years</w:t>
      </w:r>
    </w:p>
    <w:p w:rsidR="00F3759F" w:rsidRDefault="00E0479D" w:rsidP="00F3759F">
      <w:r w:rsidRPr="00E0479D">
        <w:t>AIFS does not receive administered funds.</w:t>
      </w:r>
    </w:p>
    <w:p w:rsidR="00F3759F" w:rsidRPr="0088503F" w:rsidRDefault="00F3759F" w:rsidP="00F3759F">
      <w:pPr>
        <w:pStyle w:val="Heading4"/>
      </w:pPr>
      <w:r>
        <w:t>3.1.2</w:t>
      </w:r>
      <w:r>
        <w:tab/>
        <w:t>S</w:t>
      </w:r>
      <w:r w:rsidRPr="0088503F">
        <w:t xml:space="preserve">pecial </w:t>
      </w:r>
      <w:r w:rsidR="004E5764">
        <w:t>account</w:t>
      </w:r>
    </w:p>
    <w:p w:rsidR="00F3759F" w:rsidRDefault="00E0479D" w:rsidP="00F3759F">
      <w:r w:rsidRPr="00E0479D">
        <w:t>AIFS does not have a special account.</w:t>
      </w:r>
    </w:p>
    <w:p w:rsidR="00F3759F" w:rsidRPr="00C05025" w:rsidRDefault="00F3759F" w:rsidP="00F3759F">
      <w:pPr>
        <w:pStyle w:val="Heading4"/>
      </w:pPr>
      <w:r w:rsidRPr="00C05025">
        <w:t>3.1.3</w:t>
      </w:r>
      <w:r w:rsidRPr="00C05025">
        <w:tab/>
        <w:t>Australian Government Indigenous Expenditure</w:t>
      </w:r>
    </w:p>
    <w:p w:rsidR="00F3759F" w:rsidRDefault="00E0479D" w:rsidP="00F3759F">
      <w:r w:rsidRPr="00E0479D">
        <w:t>AIFS does not have any Indigenous-specific expenditure.</w:t>
      </w:r>
    </w:p>
    <w:p w:rsidR="00F3759F" w:rsidRDefault="00F3759F" w:rsidP="00F3759F">
      <w:pPr>
        <w:pStyle w:val="Heading3"/>
      </w:pPr>
      <w:r w:rsidRPr="00B06D93">
        <w:rPr>
          <w:highlight w:val="yellow"/>
        </w:rPr>
        <w:br w:type="page"/>
      </w:r>
      <w:r>
        <w:lastRenderedPageBreak/>
        <w:t>3.2</w:t>
      </w:r>
      <w:r>
        <w:tab/>
        <w:t>Budgeted financial statements</w:t>
      </w:r>
    </w:p>
    <w:p w:rsidR="00F3759F" w:rsidRDefault="00F3759F" w:rsidP="00F3759F">
      <w:pPr>
        <w:pStyle w:val="Heading4"/>
      </w:pPr>
      <w:r>
        <w:t>3.2.1</w:t>
      </w:r>
      <w:r>
        <w:tab/>
        <w:t>Differences in agency resourcing and financial statements</w:t>
      </w:r>
    </w:p>
    <w:p w:rsidR="00F3759F" w:rsidRPr="00C05025" w:rsidRDefault="00F3759F" w:rsidP="00F3759F">
      <w:r>
        <w:t>Table 3.2.1 recognises the full year revenue for 2013–14 on the basis of accrual accounting principles.</w:t>
      </w:r>
    </w:p>
    <w:p w:rsidR="00F3759F" w:rsidRDefault="00F3759F" w:rsidP="00F3759F">
      <w:pPr>
        <w:pStyle w:val="Heading4"/>
      </w:pPr>
      <w:r>
        <w:t>3.2.2</w:t>
      </w:r>
      <w:r>
        <w:tab/>
        <w:t>Analysis of budgeted financial statements</w:t>
      </w:r>
    </w:p>
    <w:p w:rsidR="00F3759F" w:rsidRDefault="00F3759F" w:rsidP="007C6B28">
      <w:pPr>
        <w:pStyle w:val="Heading5"/>
      </w:pPr>
      <w:r w:rsidRPr="00D33D7A">
        <w:t>Departmental</w:t>
      </w:r>
    </w:p>
    <w:p w:rsidR="00F3759F" w:rsidRPr="00CF29B7" w:rsidRDefault="00F3759F" w:rsidP="00E344AC">
      <w:pPr>
        <w:pStyle w:val="H6"/>
      </w:pPr>
      <w:r>
        <w:t>Income and expenses</w:t>
      </w:r>
    </w:p>
    <w:p w:rsidR="00E0479D" w:rsidRDefault="00E0479D" w:rsidP="00E0479D">
      <w:r>
        <w:t>AIFS is budgeting for a break-even position in 2013–14 and the forward years after adjusting for depreciation and amortisation expenses.</w:t>
      </w:r>
    </w:p>
    <w:p w:rsidR="00E0479D" w:rsidRDefault="00E0479D" w:rsidP="00E0479D">
      <w:r>
        <w:t>Total own-source revenue for 2013–14 is expected to be $10.7 million. Revenue from government is expected to be $4.7 million, which includes $1.3 million for the AGRC.</w:t>
      </w:r>
    </w:p>
    <w:p w:rsidR="00F3759F" w:rsidRDefault="00E0479D" w:rsidP="00E0479D">
      <w:r>
        <w:t>Total expenses for 2013–14 are expected to be $15.7 million, compared to $14.9 million in 2012–13.</w:t>
      </w:r>
    </w:p>
    <w:p w:rsidR="00F3759F" w:rsidRDefault="00F3759F" w:rsidP="00E344AC">
      <w:pPr>
        <w:pStyle w:val="H6"/>
      </w:pPr>
      <w:r>
        <w:t xml:space="preserve">Balance </w:t>
      </w:r>
      <w:r w:rsidR="004E5764">
        <w:t>sheet</w:t>
      </w:r>
    </w:p>
    <w:p w:rsidR="00E0479D" w:rsidRDefault="00E0479D" w:rsidP="00E0479D">
      <w:r>
        <w:t>AIFS has a budgeted net asset position of $1.3 million in 2013–14.</w:t>
      </w:r>
    </w:p>
    <w:p w:rsidR="00E0479D" w:rsidRDefault="00E0479D" w:rsidP="00E0479D">
      <w:r>
        <w:t>Total assets for 2013–14 are estimated to be $6.8 million, comprising $5.4 million of financial assets and $1.4 million in non-financial assets.</w:t>
      </w:r>
    </w:p>
    <w:p w:rsidR="00F3759F" w:rsidRDefault="00E0479D" w:rsidP="00E0479D">
      <w:r>
        <w:t>Total liabilities for 2013–14 are estimated to be $5.5 million, with the primary liabilities being accrued employee entitlements, which total $2.1 million, suppliers payables $0.</w:t>
      </w:r>
      <w:r w:rsidR="0032652C">
        <w:t>4 </w:t>
      </w:r>
      <w:r>
        <w:t>million and other payables of $3.0 million ($2.5 million unearned income, $0.</w:t>
      </w:r>
      <w:r w:rsidR="0032652C">
        <w:t>4 </w:t>
      </w:r>
      <w:r>
        <w:t>million property lease incentive and other $0.1 million).</w:t>
      </w:r>
    </w:p>
    <w:p w:rsidR="00F3759F" w:rsidRDefault="00F3759F" w:rsidP="00F3759F">
      <w:pPr>
        <w:pStyle w:val="Heading4"/>
        <w:rPr>
          <w:snapToGrid w:val="0"/>
        </w:rPr>
      </w:pPr>
      <w:r>
        <w:rPr>
          <w:snapToGrid w:val="0"/>
          <w:highlight w:val="yellow"/>
        </w:rPr>
        <w:br w:type="page"/>
      </w:r>
      <w:r>
        <w:rPr>
          <w:snapToGrid w:val="0"/>
        </w:rPr>
        <w:lastRenderedPageBreak/>
        <w:t>3.2.3</w:t>
      </w:r>
      <w:r>
        <w:rPr>
          <w:snapToGrid w:val="0"/>
        </w:rPr>
        <w:tab/>
        <w:t>Budgeted financial statements tables</w:t>
      </w:r>
    </w:p>
    <w:p w:rsidR="00F3759F" w:rsidRDefault="00F3759F" w:rsidP="00F3759F">
      <w:pPr>
        <w:pStyle w:val="TableHeading"/>
        <w:spacing w:before="0"/>
      </w:pPr>
      <w:r>
        <w:t>Table 3.2.1: Comprehensive income statement (showing net cost of services</w:t>
      </w:r>
      <w:r w:rsidR="003F4B01">
        <w:t xml:space="preserve">) </w:t>
      </w:r>
      <w:r>
        <w:br/>
        <w:t>(</w:t>
      </w:r>
      <w:r w:rsidRPr="00C61513">
        <w:t>for the period ended 30 June</w:t>
      </w:r>
      <w:r w:rsidR="00B20EE2">
        <w:t>)</w:t>
      </w:r>
    </w:p>
    <w:p w:rsidR="00F3759F" w:rsidRPr="00DE604F" w:rsidRDefault="00304174" w:rsidP="00F3759F">
      <w:pPr>
        <w:pStyle w:val="TableGraphic"/>
      </w:pPr>
      <w:r>
        <w:rPr>
          <w:noProof/>
        </w:rPr>
        <w:drawing>
          <wp:inline distT="0" distB="0" distL="0" distR="0" wp14:anchorId="49DA4428" wp14:editId="55757D29">
            <wp:extent cx="4878705" cy="6871665"/>
            <wp:effectExtent l="0" t="0" r="0" b="5715"/>
            <wp:docPr id="89" name="Picture 89" descr="Table 3.2.1: Comprehensive income statement (showing net cost of services) &#10;(for the period ended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78705" cy="6871665"/>
                    </a:xfrm>
                    <a:prstGeom prst="rect">
                      <a:avLst/>
                    </a:prstGeom>
                    <a:noFill/>
                    <a:ln>
                      <a:noFill/>
                    </a:ln>
                  </pic:spPr>
                </pic:pic>
              </a:graphicData>
            </a:graphic>
          </wp:inline>
        </w:drawing>
      </w:r>
    </w:p>
    <w:p w:rsidR="00F3759F" w:rsidRDefault="00F3759F" w:rsidP="00E0479D">
      <w:pPr>
        <w:pStyle w:val="TableHeading"/>
        <w:spacing w:before="0"/>
      </w:pPr>
      <w:r w:rsidRPr="0061699A">
        <w:rPr>
          <w:b w:val="0"/>
        </w:rPr>
        <w:br w:type="page"/>
      </w:r>
      <w:r w:rsidRPr="008B191A">
        <w:lastRenderedPageBreak/>
        <w:t>Table 3.2.2: Budgeted departmental balance sheet (as at 30 June</w:t>
      </w:r>
      <w:r w:rsidRPr="000367BE">
        <w:t>)</w:t>
      </w:r>
    </w:p>
    <w:p w:rsidR="00F3759F" w:rsidRPr="000367BE" w:rsidRDefault="00304174" w:rsidP="00F3759F">
      <w:pPr>
        <w:pStyle w:val="TableGraphic"/>
      </w:pPr>
      <w:r>
        <w:rPr>
          <w:noProof/>
        </w:rPr>
        <w:drawing>
          <wp:inline distT="0" distB="0" distL="0" distR="0" wp14:anchorId="174F6471" wp14:editId="5BCCEEA8">
            <wp:extent cx="4878705" cy="5136677"/>
            <wp:effectExtent l="0" t="0" r="0" b="6985"/>
            <wp:docPr id="90" name="Picture 90" descr="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78705" cy="5136677"/>
                    </a:xfrm>
                    <a:prstGeom prst="rect">
                      <a:avLst/>
                    </a:prstGeom>
                    <a:noFill/>
                    <a:ln>
                      <a:noFill/>
                    </a:ln>
                  </pic:spPr>
                </pic:pic>
              </a:graphicData>
            </a:graphic>
          </wp:inline>
        </w:drawing>
      </w:r>
    </w:p>
    <w:p w:rsidR="00F3759F" w:rsidRDefault="00F3759F" w:rsidP="00F3759F">
      <w:pPr>
        <w:pStyle w:val="TableHeading"/>
      </w:pPr>
      <w:r>
        <w:rPr>
          <w:highlight w:val="yellow"/>
        </w:rPr>
        <w:br w:type="page"/>
      </w:r>
      <w:r w:rsidRPr="009402BE">
        <w:lastRenderedPageBreak/>
        <w:t>Table 3.2.3: Departmental statement of changes in equity</w:t>
      </w:r>
      <w:r w:rsidR="00CC6014">
        <w:t xml:space="preserve"> – </w:t>
      </w:r>
      <w:r w:rsidRPr="009402BE">
        <w:t>summary of movement (</w:t>
      </w:r>
      <w:r>
        <w:t>b</w:t>
      </w:r>
      <w:r w:rsidRPr="009402BE">
        <w:t xml:space="preserve">udget year </w:t>
      </w:r>
      <w:r w:rsidRPr="00892823">
        <w:t>201</w:t>
      </w:r>
      <w:r>
        <w:t>3–</w:t>
      </w:r>
      <w:r w:rsidRPr="00892823">
        <w:t>1</w:t>
      </w:r>
      <w:r>
        <w:t>4</w:t>
      </w:r>
      <w:r w:rsidRPr="009402BE">
        <w:t>)</w:t>
      </w:r>
    </w:p>
    <w:p w:rsidR="00F3759F" w:rsidRPr="00AF7454" w:rsidRDefault="00304174" w:rsidP="00F3759F">
      <w:pPr>
        <w:pStyle w:val="TableGraphic"/>
      </w:pPr>
      <w:r>
        <w:rPr>
          <w:noProof/>
        </w:rPr>
        <w:drawing>
          <wp:inline distT="0" distB="0" distL="0" distR="0" wp14:anchorId="5FEC984B" wp14:editId="129B595A">
            <wp:extent cx="4865370" cy="3321050"/>
            <wp:effectExtent l="0" t="0" r="0" b="0"/>
            <wp:docPr id="91" name="Picture 91" descr="Table 3.2.3: Departmental statement of changes in equity – summary of movement (budget yea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65370" cy="3321050"/>
                    </a:xfrm>
                    <a:prstGeom prst="rect">
                      <a:avLst/>
                    </a:prstGeom>
                    <a:noFill/>
                    <a:ln>
                      <a:noFill/>
                    </a:ln>
                  </pic:spPr>
                </pic:pic>
              </a:graphicData>
            </a:graphic>
          </wp:inline>
        </w:drawing>
      </w:r>
    </w:p>
    <w:p w:rsidR="00F3759F" w:rsidRDefault="00F3759F" w:rsidP="00F3759F">
      <w:pPr>
        <w:pStyle w:val="TableHeading"/>
      </w:pPr>
      <w:r>
        <w:br w:type="page"/>
      </w:r>
      <w:r w:rsidRPr="009402BE">
        <w:lastRenderedPageBreak/>
        <w:t>Table 3.2.4: Budgeted departmental statement of cash flows (</w:t>
      </w:r>
      <w:r>
        <w:t xml:space="preserve">for the period ended </w:t>
      </w:r>
      <w:r w:rsidRPr="009402BE">
        <w:t>30 June)</w:t>
      </w:r>
    </w:p>
    <w:p w:rsidR="00F3759F" w:rsidRDefault="00304174" w:rsidP="00F3759F">
      <w:pPr>
        <w:pStyle w:val="TableGraphic"/>
        <w:rPr>
          <w:snapToGrid w:val="0"/>
        </w:rPr>
      </w:pPr>
      <w:r>
        <w:rPr>
          <w:noProof/>
        </w:rPr>
        <w:drawing>
          <wp:inline distT="0" distB="0" distL="0" distR="0" wp14:anchorId="6CBF9EF2" wp14:editId="0E418E2C">
            <wp:extent cx="4878705" cy="6043092"/>
            <wp:effectExtent l="0" t="0" r="0" b="0"/>
            <wp:docPr id="100" name="Picture 100" descr="Table 3.2.4: Budgeted departmental statement of cash flow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78705" cy="6043092"/>
                    </a:xfrm>
                    <a:prstGeom prst="rect">
                      <a:avLst/>
                    </a:prstGeom>
                    <a:noFill/>
                    <a:ln>
                      <a:noFill/>
                    </a:ln>
                  </pic:spPr>
                </pic:pic>
              </a:graphicData>
            </a:graphic>
          </wp:inline>
        </w:drawing>
      </w:r>
    </w:p>
    <w:p w:rsidR="00F3759F" w:rsidRDefault="00F3759F" w:rsidP="00F3759F">
      <w:pPr>
        <w:pStyle w:val="TableHeading"/>
      </w:pPr>
      <w:r>
        <w:rPr>
          <w:snapToGrid w:val="0"/>
        </w:rPr>
        <w:br w:type="page"/>
      </w:r>
      <w:r w:rsidRPr="0033343C">
        <w:lastRenderedPageBreak/>
        <w:t>Table 3.2.5</w:t>
      </w:r>
      <w:r>
        <w:t>:</w:t>
      </w:r>
      <w:r w:rsidRPr="0033343C">
        <w:t xml:space="preserve"> Departmental </w:t>
      </w:r>
      <w:r>
        <w:t>c</w:t>
      </w:r>
      <w:r w:rsidRPr="0033343C">
        <w:t xml:space="preserve">apital </w:t>
      </w:r>
      <w:r>
        <w:t>b</w:t>
      </w:r>
      <w:r w:rsidRPr="0033343C">
        <w:t xml:space="preserve">udget </w:t>
      </w:r>
      <w:r>
        <w:t>s</w:t>
      </w:r>
      <w:r w:rsidRPr="0033343C">
        <w:t>tatement</w:t>
      </w:r>
    </w:p>
    <w:p w:rsidR="00F3759F" w:rsidRPr="0061699A" w:rsidRDefault="00304174" w:rsidP="00F3759F">
      <w:pPr>
        <w:pStyle w:val="TableGraphic"/>
      </w:pPr>
      <w:r>
        <w:rPr>
          <w:noProof/>
        </w:rPr>
        <w:drawing>
          <wp:inline distT="0" distB="0" distL="0" distR="0" wp14:anchorId="03F7E2D0" wp14:editId="57C4FB36">
            <wp:extent cx="4878705" cy="4019857"/>
            <wp:effectExtent l="0" t="0" r="0" b="0"/>
            <wp:docPr id="102" name="Picture 102" descr="Table 3.2.5: Departmental capital budge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78705" cy="4019857"/>
                    </a:xfrm>
                    <a:prstGeom prst="rect">
                      <a:avLst/>
                    </a:prstGeom>
                    <a:noFill/>
                    <a:ln>
                      <a:noFill/>
                    </a:ln>
                  </pic:spPr>
                </pic:pic>
              </a:graphicData>
            </a:graphic>
          </wp:inline>
        </w:drawing>
      </w:r>
    </w:p>
    <w:p w:rsidR="00F3759F" w:rsidRDefault="00F3759F" w:rsidP="00F3759F">
      <w:pPr>
        <w:pStyle w:val="TableHeading"/>
        <w:rPr>
          <w:snapToGrid w:val="0"/>
        </w:rPr>
      </w:pPr>
      <w:r>
        <w:rPr>
          <w:snapToGrid w:val="0"/>
        </w:rPr>
        <w:br w:type="page"/>
      </w:r>
      <w:r w:rsidRPr="0033343C">
        <w:rPr>
          <w:snapToGrid w:val="0"/>
        </w:rPr>
        <w:lastRenderedPageBreak/>
        <w:t>Table 3.2.6:</w:t>
      </w:r>
      <w:r>
        <w:rPr>
          <w:snapToGrid w:val="0"/>
        </w:rPr>
        <w:t xml:space="preserve"> </w:t>
      </w:r>
      <w:r w:rsidRPr="0033343C">
        <w:rPr>
          <w:snapToGrid w:val="0"/>
        </w:rPr>
        <w:t xml:space="preserve">Statement of </w:t>
      </w:r>
      <w:r>
        <w:rPr>
          <w:snapToGrid w:val="0"/>
        </w:rPr>
        <w:t>a</w:t>
      </w:r>
      <w:r w:rsidRPr="0033343C">
        <w:rPr>
          <w:snapToGrid w:val="0"/>
        </w:rPr>
        <w:t xml:space="preserve">sset </w:t>
      </w:r>
      <w:r>
        <w:rPr>
          <w:snapToGrid w:val="0"/>
        </w:rPr>
        <w:t>m</w:t>
      </w:r>
      <w:r w:rsidRPr="0033343C">
        <w:rPr>
          <w:snapToGrid w:val="0"/>
        </w:rPr>
        <w:t>ovements (</w:t>
      </w:r>
      <w:r>
        <w:rPr>
          <w:snapToGrid w:val="0"/>
        </w:rPr>
        <w:t>2013–</w:t>
      </w:r>
      <w:r w:rsidRPr="00892823">
        <w:rPr>
          <w:snapToGrid w:val="0"/>
        </w:rPr>
        <w:t>1</w:t>
      </w:r>
      <w:r>
        <w:rPr>
          <w:snapToGrid w:val="0"/>
        </w:rPr>
        <w:t>4</w:t>
      </w:r>
      <w:r w:rsidRPr="0033343C">
        <w:rPr>
          <w:snapToGrid w:val="0"/>
        </w:rPr>
        <w:t>)</w:t>
      </w:r>
    </w:p>
    <w:p w:rsidR="00F3759F" w:rsidRPr="00935871" w:rsidRDefault="00C44B7C" w:rsidP="00F3759F">
      <w:pPr>
        <w:pStyle w:val="TableGraphic"/>
        <w:rPr>
          <w:highlight w:val="yellow"/>
        </w:rPr>
      </w:pPr>
      <w:r>
        <w:rPr>
          <w:noProof/>
        </w:rPr>
        <w:drawing>
          <wp:inline distT="0" distB="0" distL="0" distR="0" wp14:anchorId="3AE6228E" wp14:editId="29C8768E">
            <wp:extent cx="4876800" cy="3971925"/>
            <wp:effectExtent l="0" t="0" r="0" b="9525"/>
            <wp:docPr id="285" name="Picture 285" descr="Table 3.2.6: Statement of asset movement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76800" cy="3971925"/>
                    </a:xfrm>
                    <a:prstGeom prst="rect">
                      <a:avLst/>
                    </a:prstGeom>
                    <a:noFill/>
                    <a:ln>
                      <a:noFill/>
                    </a:ln>
                  </pic:spPr>
                </pic:pic>
              </a:graphicData>
            </a:graphic>
          </wp:inline>
        </w:drawing>
      </w:r>
    </w:p>
    <w:p w:rsidR="00F3759F" w:rsidRPr="00710FF0" w:rsidRDefault="00F3759F" w:rsidP="00F3759F">
      <w:pPr>
        <w:pStyle w:val="SinglePara"/>
        <w:rPr>
          <w:snapToGrid w:val="0"/>
        </w:rPr>
      </w:pPr>
    </w:p>
    <w:p w:rsidR="00F3759F" w:rsidRDefault="00F3759F" w:rsidP="00F3759F"/>
    <w:p w:rsidR="00737E8F" w:rsidRDefault="00737E8F" w:rsidP="00554D3E">
      <w:pPr>
        <w:sectPr w:rsidR="00737E8F" w:rsidSect="00D7542D">
          <w:headerReference w:type="even" r:id="rId146"/>
          <w:headerReference w:type="default" r:id="rId147"/>
          <w:type w:val="oddPage"/>
          <w:pgSz w:w="11907" w:h="16840" w:code="9"/>
          <w:pgMar w:top="2466" w:right="2126" w:bottom="2466" w:left="2098" w:header="1899" w:footer="1899" w:gutter="0"/>
          <w:cols w:space="708"/>
          <w:titlePg/>
          <w:docGrid w:linePitch="360"/>
        </w:sectPr>
      </w:pPr>
    </w:p>
    <w:p w:rsidR="00737E8F" w:rsidRDefault="00737E8F" w:rsidP="00737E8F">
      <w:pPr>
        <w:pStyle w:val="PartHeading"/>
        <w:spacing w:before="2160"/>
      </w:pPr>
      <w:r>
        <w:lastRenderedPageBreak/>
        <w:t>Indigenous Business Australia</w:t>
      </w:r>
    </w:p>
    <w:p w:rsidR="00737E8F" w:rsidRPr="00CF29B7" w:rsidRDefault="00737E8F" w:rsidP="00737E8F">
      <w:pPr>
        <w:pStyle w:val="PartHeading"/>
        <w:spacing w:before="2160"/>
      </w:pPr>
      <w:r>
        <w:t>Agency Resources and Planned Performance</w:t>
      </w:r>
    </w:p>
    <w:p w:rsidR="00737E8F" w:rsidRDefault="00737E8F" w:rsidP="00737E8F">
      <w:pPr>
        <w:jc w:val="left"/>
        <w:sectPr w:rsidR="00737E8F" w:rsidSect="00D7542D">
          <w:footerReference w:type="first" r:id="rId148"/>
          <w:type w:val="oddPage"/>
          <w:pgSz w:w="11907" w:h="16840" w:code="9"/>
          <w:pgMar w:top="2466" w:right="2126" w:bottom="2466" w:left="2098" w:header="1899" w:footer="1899" w:gutter="0"/>
          <w:cols w:space="708"/>
          <w:titlePg/>
          <w:docGrid w:linePitch="360"/>
        </w:sectPr>
      </w:pPr>
    </w:p>
    <w:p w:rsidR="00737E8F" w:rsidRPr="00042738" w:rsidRDefault="00737E8F" w:rsidP="00737E8F">
      <w:pPr>
        <w:pStyle w:val="ContentsHeading"/>
      </w:pPr>
      <w:r>
        <w:lastRenderedPageBreak/>
        <w:t>Indigenous Business Australia</w:t>
      </w:r>
    </w:p>
    <w:p w:rsidR="00737E8F" w:rsidRPr="0032739E" w:rsidRDefault="00737E8F" w:rsidP="00737E8F">
      <w:pPr>
        <w:pStyle w:val="TOC1"/>
      </w:pPr>
      <w:r w:rsidRPr="0032739E">
        <w:t>Section 1: Agency overview and resources</w:t>
      </w:r>
      <w:r w:rsidRPr="0032739E">
        <w:tab/>
      </w:r>
      <w:r w:rsidR="009A2C55">
        <w:t>229</w:t>
      </w:r>
    </w:p>
    <w:p w:rsidR="00737E8F" w:rsidRPr="0032739E" w:rsidRDefault="00737E8F" w:rsidP="00737E8F">
      <w:pPr>
        <w:pStyle w:val="TOC2"/>
      </w:pPr>
      <w:r w:rsidRPr="0032739E">
        <w:t>1.1</w:t>
      </w:r>
      <w:r>
        <w:t xml:space="preserve"> </w:t>
      </w:r>
      <w:r w:rsidRPr="0032739E">
        <w:t xml:space="preserve">Strategic </w:t>
      </w:r>
      <w:r>
        <w:t>d</w:t>
      </w:r>
      <w:r w:rsidRPr="0032739E">
        <w:t>irection</w:t>
      </w:r>
      <w:r w:rsidR="006911FE">
        <w:t xml:space="preserve"> statement</w:t>
      </w:r>
      <w:r w:rsidRPr="0032739E">
        <w:tab/>
      </w:r>
      <w:r w:rsidR="009A2C55">
        <w:t>229</w:t>
      </w:r>
    </w:p>
    <w:p w:rsidR="00737E8F" w:rsidRPr="0032739E" w:rsidRDefault="00737E8F" w:rsidP="00737E8F">
      <w:pPr>
        <w:pStyle w:val="TOC2"/>
      </w:pPr>
      <w:r w:rsidRPr="0032739E">
        <w:t>1.2</w:t>
      </w:r>
      <w:r>
        <w:t xml:space="preserve"> </w:t>
      </w:r>
      <w:r w:rsidRPr="0032739E">
        <w:t xml:space="preserve">Agency </w:t>
      </w:r>
      <w:r>
        <w:t>r</w:t>
      </w:r>
      <w:r w:rsidRPr="0032739E">
        <w:t xml:space="preserve">esource </w:t>
      </w:r>
      <w:r>
        <w:t>s</w:t>
      </w:r>
      <w:r w:rsidRPr="0032739E">
        <w:t>tatement</w:t>
      </w:r>
      <w:r w:rsidRPr="0032739E">
        <w:tab/>
      </w:r>
      <w:r w:rsidR="009A2C55">
        <w:t>231</w:t>
      </w:r>
    </w:p>
    <w:p w:rsidR="00737E8F" w:rsidRPr="0032739E" w:rsidRDefault="00737E8F" w:rsidP="00737E8F">
      <w:pPr>
        <w:pStyle w:val="TOC2"/>
      </w:pPr>
      <w:r w:rsidRPr="0032739E">
        <w:t>1.3</w:t>
      </w:r>
      <w:r>
        <w:t xml:space="preserve"> Budget measures</w:t>
      </w:r>
      <w:r w:rsidRPr="0032739E">
        <w:tab/>
      </w:r>
      <w:r w:rsidR="009A2C55">
        <w:t>232</w:t>
      </w:r>
    </w:p>
    <w:p w:rsidR="00737E8F" w:rsidRPr="0032739E" w:rsidRDefault="00737E8F" w:rsidP="00737E8F">
      <w:pPr>
        <w:pStyle w:val="TOC1"/>
      </w:pPr>
      <w:r w:rsidRPr="0032739E">
        <w:t xml:space="preserve">Section 2: </w:t>
      </w:r>
      <w:r>
        <w:t>O</w:t>
      </w:r>
      <w:r w:rsidRPr="0032739E">
        <w:t>utcomes and planned performance</w:t>
      </w:r>
      <w:r w:rsidRPr="0032739E">
        <w:tab/>
      </w:r>
      <w:r w:rsidR="009A2C55">
        <w:t>233</w:t>
      </w:r>
    </w:p>
    <w:p w:rsidR="00737E8F" w:rsidRPr="0032739E" w:rsidRDefault="00737E8F" w:rsidP="00737E8F">
      <w:pPr>
        <w:pStyle w:val="TOC2"/>
      </w:pPr>
      <w:r w:rsidRPr="0032739E">
        <w:t>2.1</w:t>
      </w:r>
      <w:r>
        <w:t xml:space="preserve"> Outcomes and</w:t>
      </w:r>
      <w:r w:rsidRPr="0032739E">
        <w:t xml:space="preserve"> performance information</w:t>
      </w:r>
      <w:r w:rsidRPr="0032739E">
        <w:tab/>
      </w:r>
      <w:r w:rsidR="009A2C55">
        <w:t>233</w:t>
      </w:r>
    </w:p>
    <w:p w:rsidR="00737E8F" w:rsidRPr="0032739E" w:rsidRDefault="00737E8F" w:rsidP="00737E8F">
      <w:pPr>
        <w:pStyle w:val="TOC1"/>
      </w:pPr>
      <w:r w:rsidRPr="0032739E">
        <w:t>Section 3: Explanatory tables and budgeted financial statements</w:t>
      </w:r>
      <w:r w:rsidRPr="0032739E">
        <w:tab/>
      </w:r>
      <w:r w:rsidR="009A2C55">
        <w:t>243</w:t>
      </w:r>
    </w:p>
    <w:p w:rsidR="00737E8F" w:rsidRPr="0032739E" w:rsidRDefault="00737E8F" w:rsidP="00737E8F">
      <w:pPr>
        <w:pStyle w:val="TOC2"/>
      </w:pPr>
      <w:r w:rsidRPr="0032739E">
        <w:t>3.1</w:t>
      </w:r>
      <w:r>
        <w:t xml:space="preserve"> </w:t>
      </w:r>
      <w:r w:rsidRPr="0032739E">
        <w:t>Explanatory tables</w:t>
      </w:r>
      <w:r w:rsidRPr="0032739E">
        <w:tab/>
      </w:r>
      <w:r w:rsidR="009A2C55">
        <w:t>243</w:t>
      </w:r>
    </w:p>
    <w:p w:rsidR="00737E8F" w:rsidRDefault="00737E8F" w:rsidP="00737E8F">
      <w:pPr>
        <w:pStyle w:val="TOC2"/>
      </w:pPr>
      <w:r w:rsidRPr="0032739E">
        <w:t>3.2</w:t>
      </w:r>
      <w:r>
        <w:t xml:space="preserve"> </w:t>
      </w:r>
      <w:r w:rsidRPr="0032739E">
        <w:t>Budgeted financial statements</w:t>
      </w:r>
      <w:r w:rsidRPr="0032739E">
        <w:tab/>
      </w:r>
      <w:r w:rsidR="009A2C55">
        <w:t>244</w:t>
      </w:r>
    </w:p>
    <w:p w:rsidR="00737E8F" w:rsidRPr="008E4CBB" w:rsidRDefault="00737E8F" w:rsidP="00737E8F"/>
    <w:p w:rsidR="00737E8F" w:rsidRDefault="00737E8F" w:rsidP="00737E8F">
      <w:pPr>
        <w:jc w:val="left"/>
        <w:sectPr w:rsidR="00737E8F" w:rsidSect="00D7542D">
          <w:headerReference w:type="first" r:id="rId149"/>
          <w:footerReference w:type="first" r:id="rId150"/>
          <w:type w:val="oddPage"/>
          <w:pgSz w:w="11907" w:h="16840" w:code="9"/>
          <w:pgMar w:top="2466" w:right="2126" w:bottom="2466" w:left="2098" w:header="1899" w:footer="1899" w:gutter="0"/>
          <w:cols w:space="708"/>
          <w:titlePg/>
          <w:docGrid w:linePitch="360"/>
        </w:sectPr>
      </w:pPr>
    </w:p>
    <w:p w:rsidR="00737E8F" w:rsidRDefault="00737E8F" w:rsidP="00737E8F">
      <w:pPr>
        <w:pStyle w:val="Heading1"/>
      </w:pPr>
      <w:r>
        <w:lastRenderedPageBreak/>
        <w:t>Indigenous Business Australia</w:t>
      </w:r>
    </w:p>
    <w:p w:rsidR="00737E8F" w:rsidRDefault="00737E8F" w:rsidP="00737E8F">
      <w:pPr>
        <w:pStyle w:val="Heading2"/>
      </w:pPr>
      <w:r>
        <w:t>Section 1: Agency overview and resources</w:t>
      </w:r>
    </w:p>
    <w:p w:rsidR="00737E8F" w:rsidRDefault="00CA3692" w:rsidP="00737E8F">
      <w:r w:rsidRPr="00CA3692">
        <w:t>The planned outcome of Indigenous Business Australia (IBA) is stimulating the economic advancement of Aboriginal and Torres Strait Islander peoples.</w:t>
      </w:r>
    </w:p>
    <w:p w:rsidR="00737E8F" w:rsidRDefault="00B77C78" w:rsidP="00B77C78">
      <w:pPr>
        <w:pStyle w:val="Heading3"/>
      </w:pPr>
      <w:r>
        <w:t>1.1</w:t>
      </w:r>
      <w:r>
        <w:tab/>
      </w:r>
      <w:r w:rsidR="00737E8F" w:rsidRPr="00B77C78">
        <w:t>Strategic</w:t>
      </w:r>
      <w:r w:rsidR="00737E8F">
        <w:t xml:space="preserve"> direction statement</w:t>
      </w:r>
    </w:p>
    <w:p w:rsidR="00CA3692" w:rsidRDefault="00CA3692" w:rsidP="00CA3692">
      <w:pPr>
        <w:pStyle w:val="BulletIntro"/>
      </w:pPr>
      <w:r>
        <w:t xml:space="preserve">IBA's vision is for a nation in which the First Australians are economically independent and an integral part of the economy. Under its legislation, the </w:t>
      </w:r>
      <w:r w:rsidRPr="00CA3692">
        <w:rPr>
          <w:i/>
        </w:rPr>
        <w:t>Aboriginal and Torres Strait Islander Act 2005</w:t>
      </w:r>
      <w:r>
        <w:t>, IBA's purpose is to:</w:t>
      </w:r>
    </w:p>
    <w:p w:rsidR="00CA3692" w:rsidRDefault="00CA3692" w:rsidP="00CA3692">
      <w:pPr>
        <w:pStyle w:val="Bullet"/>
      </w:pPr>
      <w:r>
        <w:t xml:space="preserve">assist and enhance Aboriginal and Torres Strait Islander </w:t>
      </w:r>
      <w:proofErr w:type="spellStart"/>
      <w:r>
        <w:t>self management</w:t>
      </w:r>
      <w:proofErr w:type="spellEnd"/>
      <w:r>
        <w:t xml:space="preserve"> and economic self-sufficiency</w:t>
      </w:r>
      <w:r w:rsidR="00930450">
        <w:t>, and</w:t>
      </w:r>
    </w:p>
    <w:p w:rsidR="00CA3692" w:rsidRDefault="00CA3692" w:rsidP="00CA3692">
      <w:pPr>
        <w:pStyle w:val="BulletLast"/>
      </w:pPr>
      <w:proofErr w:type="gramStart"/>
      <w:r>
        <w:t>advance</w:t>
      </w:r>
      <w:proofErr w:type="gramEnd"/>
      <w:r>
        <w:t xml:space="preserve"> the commercial and economic interest of Aboriginal and Torres Strait Islanders by accumulating and using a substantial capital base for the benefit of the Aboriginal and Torres Strait Islander peoples.</w:t>
      </w:r>
    </w:p>
    <w:p w:rsidR="00CA3692" w:rsidRDefault="00CA3692" w:rsidP="00CA3692">
      <w:pPr>
        <w:pStyle w:val="BulletIntro"/>
      </w:pPr>
      <w:r>
        <w:t>To achieve its purpose, IBA has established four key strategic objectives, under which its specific strategies and performance indicators are grouped:</w:t>
      </w:r>
    </w:p>
    <w:p w:rsidR="00CA3692" w:rsidRDefault="00CA3692" w:rsidP="00CA3692">
      <w:pPr>
        <w:pStyle w:val="Bullet"/>
      </w:pPr>
      <w:r>
        <w:t>Accumulating an asset base for the benefit of Indigenous Australians. IBA implements an investment strategy aimed at a balanced portfolio generating returns for further investments and economic benefits for Indigenous Australians. These benefits include cash for further investments, improving employment opportunities and using the assets as the basis for developing small business opportunities. Initiatives are also implemented to support and develop the capacity of Indigenous joint venture partners.</w:t>
      </w:r>
    </w:p>
    <w:p w:rsidR="00CA3692" w:rsidRDefault="00CA3692" w:rsidP="00CA3692">
      <w:pPr>
        <w:pStyle w:val="Bullet"/>
      </w:pPr>
      <w:r>
        <w:t>Facilitating Indigenous Australians’ ownership of sustainable small business. IBA provides services and support arrangements which enable entrepreneurs to build awareness and business skills prior to entering into business and to help them sustain and grow their businesses; concessional business loans to eligible customers; and assistance with business mentoring to customers after entering into business and intensive loan and customer aftercare. IBA also facilitates access to other business support services and financial institutions where appropriate.</w:t>
      </w:r>
    </w:p>
    <w:p w:rsidR="00CA3692" w:rsidRDefault="00CA3692" w:rsidP="00CA3692">
      <w:pPr>
        <w:pStyle w:val="Bullet"/>
      </w:pPr>
      <w:r>
        <w:t>Bridging the gap in home ownership through concessional home loans and assistance with ongoing loan management and other aspects of home ownership. These services are provided for aspiring Indigenous home owners who cannot access bank loans. IBA also promotes awareness and informed choice of home ownership options and facilitates access to financial institutions where appropriate.</w:t>
      </w:r>
    </w:p>
    <w:p w:rsidR="00737E8F" w:rsidRPr="008E4CBB" w:rsidRDefault="00CA3692" w:rsidP="00CA3692">
      <w:pPr>
        <w:pStyle w:val="BulletLast"/>
      </w:pPr>
      <w:r>
        <w:lastRenderedPageBreak/>
        <w:t>Promoting and encouraging Indigenous Australians’ self-management and economic self-sufficiency. IBA maximises the opportunities for Indigenous employment and training through its activities, undertakes or contributes to initiatives that support the development of Indigenous commercial capacity, and brokers partnerships with the private sector, Indigenous organisations and government to deliver support and services that promote Indigenous economic development.</w:t>
      </w:r>
    </w:p>
    <w:p w:rsidR="00737E8F" w:rsidRDefault="00737E8F" w:rsidP="00737E8F">
      <w:pPr>
        <w:pStyle w:val="Heading3"/>
      </w:pPr>
      <w:r>
        <w:br w:type="page"/>
      </w:r>
      <w:r>
        <w:lastRenderedPageBreak/>
        <w:t>1.2</w:t>
      </w:r>
      <w:r>
        <w:tab/>
        <w:t>Agency resource statement</w:t>
      </w:r>
    </w:p>
    <w:p w:rsidR="00737E8F" w:rsidRDefault="00B36C6A" w:rsidP="00737E8F">
      <w:r w:rsidRPr="00B36C6A">
        <w:t>Table 1.1 shows the total resources from all sources. The table summarises how resources will be applied by outcome and by administered and departmental classification.</w:t>
      </w:r>
    </w:p>
    <w:p w:rsidR="00737E8F" w:rsidRDefault="00737E8F" w:rsidP="00737E8F">
      <w:pPr>
        <w:pStyle w:val="TableHeading"/>
      </w:pPr>
      <w:r>
        <w:t xml:space="preserve">Table 1.1: </w:t>
      </w:r>
      <w:r w:rsidR="00B351F4">
        <w:t>IBA</w:t>
      </w:r>
      <w:r>
        <w:t xml:space="preserve"> Resource Statement – Budget Estimates for 2013–14 as at Budget May 201</w:t>
      </w:r>
      <w:r w:rsidR="00D413A5">
        <w:t>3</w:t>
      </w:r>
    </w:p>
    <w:p w:rsidR="00737E8F" w:rsidRDefault="002C2B2A" w:rsidP="00737E8F">
      <w:pPr>
        <w:pStyle w:val="TableGraphic"/>
      </w:pPr>
      <w:r>
        <w:rPr>
          <w:noProof/>
        </w:rPr>
        <w:drawing>
          <wp:inline distT="0" distB="0" distL="0" distR="0" wp14:anchorId="0A78FEAE" wp14:editId="5ECF0B90">
            <wp:extent cx="4878705" cy="4223782"/>
            <wp:effectExtent l="0" t="0" r="0" b="5715"/>
            <wp:docPr id="289" name="Picture 289" descr="Table 1.1: IBA Resource Statement – Budget Estimates for 2013–14 as at Budget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878705" cy="4223782"/>
                    </a:xfrm>
                    <a:prstGeom prst="rect">
                      <a:avLst/>
                    </a:prstGeom>
                    <a:noFill/>
                    <a:ln>
                      <a:noFill/>
                    </a:ln>
                  </pic:spPr>
                </pic:pic>
              </a:graphicData>
            </a:graphic>
          </wp:inline>
        </w:drawing>
      </w:r>
    </w:p>
    <w:p w:rsidR="00737E8F" w:rsidRDefault="00737E8F" w:rsidP="00737E8F">
      <w:pPr>
        <w:pStyle w:val="Heading3"/>
      </w:pPr>
      <w:r>
        <w:br w:type="page"/>
      </w:r>
      <w:r>
        <w:lastRenderedPageBreak/>
        <w:t>1.3</w:t>
      </w:r>
      <w:r>
        <w:tab/>
        <w:t>Budget measures</w:t>
      </w:r>
    </w:p>
    <w:p w:rsidR="00737E8F" w:rsidRDefault="00B36C6A" w:rsidP="00737E8F">
      <w:r w:rsidRPr="00B36C6A">
        <w:t>Budget measures relating to IBA are detailed in Budget Paper No. 2 and are summarised below.</w:t>
      </w:r>
    </w:p>
    <w:p w:rsidR="00B36C6A" w:rsidRDefault="00B36C6A" w:rsidP="00B36C6A">
      <w:pPr>
        <w:pStyle w:val="TableHeading"/>
      </w:pPr>
      <w:r>
        <w:t>Table 1.2: IBA 2013–14 budget measures</w:t>
      </w:r>
      <w:r>
        <w:br/>
        <w:t>MYEFO measures not previously reported in a portfolio statement</w:t>
      </w:r>
    </w:p>
    <w:p w:rsidR="00B36C6A" w:rsidRPr="00B36C6A" w:rsidRDefault="004321A2" w:rsidP="00B36C6A">
      <w:pPr>
        <w:pStyle w:val="TableGraphic"/>
      </w:pPr>
      <w:r>
        <w:rPr>
          <w:noProof/>
        </w:rPr>
        <w:drawing>
          <wp:inline distT="0" distB="0" distL="0" distR="0" wp14:anchorId="47FB6F8D" wp14:editId="13F33EB4">
            <wp:extent cx="4878705" cy="2363419"/>
            <wp:effectExtent l="0" t="0" r="0" b="0"/>
            <wp:docPr id="386" name="Picture 386" descr="Table 1.2: IBA 2013–14 budget measures&#10;MYEFO measures not previously reported in a portfolio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78705" cy="2363419"/>
                    </a:xfrm>
                    <a:prstGeom prst="rect">
                      <a:avLst/>
                    </a:prstGeom>
                    <a:noFill/>
                    <a:ln>
                      <a:noFill/>
                    </a:ln>
                  </pic:spPr>
                </pic:pic>
              </a:graphicData>
            </a:graphic>
          </wp:inline>
        </w:drawing>
      </w:r>
    </w:p>
    <w:p w:rsidR="00737E8F" w:rsidRDefault="00737E8F" w:rsidP="00737E8F">
      <w:pPr>
        <w:pStyle w:val="Heading2"/>
      </w:pPr>
      <w:r>
        <w:br w:type="page"/>
      </w:r>
      <w:r>
        <w:lastRenderedPageBreak/>
        <w:t>Section 2: Outcomes and planned performance</w:t>
      </w:r>
    </w:p>
    <w:p w:rsidR="00737E8F" w:rsidRDefault="00737E8F" w:rsidP="00737E8F">
      <w:pPr>
        <w:pStyle w:val="Heading3"/>
      </w:pPr>
      <w:r>
        <w:t>2.1</w:t>
      </w:r>
      <w:r>
        <w:tab/>
        <w:t>Outcomes and performance information</w:t>
      </w:r>
    </w:p>
    <w:p w:rsidR="00B36C6A" w:rsidRDefault="00B36C6A" w:rsidP="00B36C6A">
      <w:r>
        <w:t>Government outcomes are the intended results, impacts or consequences of actions by the Government on the Australian community. Commonwealth programs are the primary vehicle by which government agencies achieve the intended results of their outcome statements. Agencies are required to identify the programs that contribute to government outcomes over the budget and forward years.</w:t>
      </w:r>
    </w:p>
    <w:p w:rsidR="00737E8F" w:rsidRDefault="00B36C6A" w:rsidP="00B36C6A">
      <w:r>
        <w:t>Indigenous Business Australia’s (IBA) outcome is described below together with its related programs, specifying the performance indicators and targets used to assess and monitor the performance of IBA in achieving government outcomes.</w:t>
      </w:r>
    </w:p>
    <w:p w:rsidR="00DE527E" w:rsidRDefault="00DE527E" w:rsidP="00DE527E">
      <w:pPr>
        <w:pStyle w:val="Heading4"/>
        <w:pBdr>
          <w:top w:val="single" w:sz="4" w:space="1" w:color="auto"/>
          <w:left w:val="single" w:sz="4" w:space="4" w:color="auto"/>
          <w:bottom w:val="single" w:sz="4" w:space="1" w:color="auto"/>
          <w:right w:val="single" w:sz="4" w:space="4" w:color="auto"/>
        </w:pBdr>
        <w:shd w:val="pct15" w:color="auto" w:fill="auto"/>
      </w:pPr>
      <w:r>
        <w:t>Outcome 1</w:t>
      </w:r>
    </w:p>
    <w:p w:rsidR="00737E8F" w:rsidRPr="00DE527E" w:rsidRDefault="00DE527E" w:rsidP="00DE527E">
      <w:pPr>
        <w:pStyle w:val="SinglePara"/>
        <w:pBdr>
          <w:top w:val="single" w:sz="4" w:space="1" w:color="auto"/>
          <w:left w:val="single" w:sz="4" w:space="4" w:color="auto"/>
          <w:bottom w:val="single" w:sz="4" w:space="1" w:color="auto"/>
          <w:right w:val="single" w:sz="4" w:space="4" w:color="auto"/>
        </w:pBdr>
        <w:shd w:val="pct15" w:color="auto" w:fill="auto"/>
        <w:rPr>
          <w:rFonts w:ascii="Arial" w:hAnsi="Arial" w:cs="Arial"/>
          <w:sz w:val="20"/>
        </w:rPr>
      </w:pPr>
      <w:proofErr w:type="gramStart"/>
      <w:r w:rsidRPr="00DE527E">
        <w:rPr>
          <w:rFonts w:ascii="Arial" w:hAnsi="Arial" w:cs="Arial"/>
          <w:sz w:val="20"/>
        </w:rPr>
        <w:t>Improved wealth acquisition to support the economic independence of Aboriginal and Torres Strait Islander peoples through commercial enterprise, asset acquisition, construction and access to concessional home and business loans.</w:t>
      </w:r>
      <w:proofErr w:type="gramEnd"/>
    </w:p>
    <w:p w:rsidR="00737E8F" w:rsidRDefault="00737E8F" w:rsidP="00DE527E">
      <w:pPr>
        <w:pStyle w:val="Heading5"/>
      </w:pPr>
      <w:r>
        <w:t xml:space="preserve">Outcome 1 </w:t>
      </w:r>
      <w:r w:rsidR="00114603">
        <w:t>strategy</w:t>
      </w:r>
    </w:p>
    <w:p w:rsidR="00B36C6A" w:rsidRDefault="00B36C6A" w:rsidP="00B36C6A">
      <w:r>
        <w:t>IBA utilises a suite of commercially focused Indigenous economic development programs to enhance Indigenous economic self-sufficiency. IBA delivers flexible and concessional interest rate loan products and aftercare support to improve Indigenous home ownership in towns and cities and on Indigenous-held land. IBA also provides concessional interest rate business loans and business support to increase Indigenous ownership of small to medium-sized enterprises. For larger investment projects, IBA brings together private sector partners with Indigenous individuals and groups, co-investing in joint venture projects that provide both commercial returns and a direct transfer of business skills and acumen to Indigenous partners.</w:t>
      </w:r>
    </w:p>
    <w:p w:rsidR="00737E8F" w:rsidRDefault="00B36C6A" w:rsidP="00B36C6A">
      <w:r>
        <w:t>IBA offers a holistic approach to Indigenous economic and commercial development, which includes close engagement with private sector operators who share the vision of encouraging Indigenous participation in the broader economy.</w:t>
      </w:r>
    </w:p>
    <w:p w:rsidR="00737E8F" w:rsidRDefault="00727278" w:rsidP="00DE527E">
      <w:pPr>
        <w:pStyle w:val="Heading5"/>
      </w:pPr>
      <w:r>
        <w:br w:type="page"/>
      </w:r>
      <w:r w:rsidR="00737E8F">
        <w:lastRenderedPageBreak/>
        <w:t>Outcome Expense Statement</w:t>
      </w:r>
    </w:p>
    <w:p w:rsidR="00737E8F" w:rsidRDefault="00B36C6A" w:rsidP="00737E8F">
      <w:r w:rsidRPr="00B36C6A">
        <w:t>Table 2.1 provides an overview of the total expenses for Outcome 1, by program.</w:t>
      </w:r>
    </w:p>
    <w:p w:rsidR="00737E8F" w:rsidRDefault="00737E8F" w:rsidP="00737E8F">
      <w:pPr>
        <w:pStyle w:val="TableHeading"/>
        <w:rPr>
          <w:lang w:val="en-GB"/>
        </w:rPr>
      </w:pPr>
      <w:r>
        <w:rPr>
          <w:lang w:val="en-GB"/>
        </w:rPr>
        <w:t xml:space="preserve">Table 2.1: Budgeted </w:t>
      </w:r>
      <w:r w:rsidR="00114603">
        <w:rPr>
          <w:lang w:val="en-GB"/>
        </w:rPr>
        <w:t>expenses</w:t>
      </w:r>
      <w:r>
        <w:rPr>
          <w:lang w:val="en-GB"/>
        </w:rPr>
        <w:t xml:space="preserve"> for Outcome 1</w:t>
      </w:r>
    </w:p>
    <w:p w:rsidR="00737E8F" w:rsidRPr="00A82139" w:rsidRDefault="00622A70" w:rsidP="00737E8F">
      <w:pPr>
        <w:pStyle w:val="TableGraphic"/>
        <w:rPr>
          <w:lang w:val="en-GB"/>
        </w:rPr>
      </w:pPr>
      <w:r>
        <w:rPr>
          <w:noProof/>
        </w:rPr>
        <w:drawing>
          <wp:inline distT="0" distB="0" distL="0" distR="0" wp14:anchorId="75B947FE" wp14:editId="600BDBD9">
            <wp:extent cx="4878705" cy="5295526"/>
            <wp:effectExtent l="0" t="0" r="0" b="635"/>
            <wp:docPr id="353" name="Picture 353" descr="Table 2.1: Budgeted expens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878705" cy="5295526"/>
                    </a:xfrm>
                    <a:prstGeom prst="rect">
                      <a:avLst/>
                    </a:prstGeom>
                    <a:noFill/>
                    <a:ln>
                      <a:noFill/>
                    </a:ln>
                  </pic:spPr>
                </pic:pic>
              </a:graphicData>
            </a:graphic>
          </wp:inline>
        </w:drawing>
      </w:r>
    </w:p>
    <w:p w:rsidR="00737E8F" w:rsidRDefault="00737E8F" w:rsidP="00DE527E">
      <w:pPr>
        <w:pStyle w:val="Heading5"/>
      </w:pPr>
      <w:r>
        <w:t xml:space="preserve"> </w:t>
      </w:r>
      <w:r>
        <w:br w:type="page"/>
      </w:r>
      <w:r>
        <w:lastRenderedPageBreak/>
        <w:t>Contributions to Outcome 1</w:t>
      </w:r>
    </w:p>
    <w:p w:rsidR="00737E8F" w:rsidRDefault="00737E8F" w:rsidP="00DE527E">
      <w:pPr>
        <w:pStyle w:val="Heading6"/>
      </w:pPr>
      <w:r>
        <w:t xml:space="preserve">Program 1.1: </w:t>
      </w:r>
      <w:r w:rsidR="00B36C6A" w:rsidRPr="00B36C6A">
        <w:t>Equity and Investments</w:t>
      </w:r>
    </w:p>
    <w:p w:rsidR="00737E8F" w:rsidRDefault="00737E8F" w:rsidP="00737E8F">
      <w:pPr>
        <w:pStyle w:val="SinglePara"/>
      </w:pPr>
    </w:p>
    <w:p w:rsidR="00737E8F" w:rsidRDefault="00737E8F" w:rsidP="00DE527E">
      <w:pPr>
        <w:pStyle w:val="Heading7"/>
      </w:pPr>
      <w:r>
        <w:t xml:space="preserve">Program 1.1 </w:t>
      </w:r>
      <w:r w:rsidR="00114603">
        <w:t>objective</w:t>
      </w:r>
    </w:p>
    <w:p w:rsidR="00737E8F" w:rsidRDefault="00B36C6A" w:rsidP="00737E8F">
      <w:pPr>
        <w:pStyle w:val="NormalBox"/>
      </w:pPr>
      <w:r w:rsidRPr="00B36C6A">
        <w:t>IBA Investments’ objective is to assist and develop Indigenous Australians to achieve economic independence through direct investment and participation in commercial and joint venture business enterprises.</w:t>
      </w:r>
    </w:p>
    <w:p w:rsidR="00737E8F" w:rsidRDefault="00737E8F" w:rsidP="00737E8F">
      <w:pPr>
        <w:rPr>
          <w:lang w:val="en-GB"/>
        </w:rPr>
      </w:pPr>
    </w:p>
    <w:p w:rsidR="00737E8F" w:rsidRDefault="00737E8F" w:rsidP="00DE527E">
      <w:pPr>
        <w:pStyle w:val="Heading7"/>
      </w:pPr>
      <w:r>
        <w:t xml:space="preserve">Program 1.1 </w:t>
      </w:r>
      <w:r w:rsidR="00114603">
        <w:t>expenses</w:t>
      </w:r>
    </w:p>
    <w:p w:rsidR="00737E8F" w:rsidRPr="00A82139" w:rsidRDefault="00B36C6A" w:rsidP="00737E8F">
      <w:pPr>
        <w:pStyle w:val="NormalBox"/>
      </w:pPr>
      <w:r w:rsidRPr="00B36C6A">
        <w:t>Program 1.1 will not receive government funding, but will cover its operating expenses through prudent management of the investment portfolio.</w:t>
      </w:r>
    </w:p>
    <w:p w:rsidR="00737E8F" w:rsidRDefault="00737E8F" w:rsidP="00737E8F">
      <w:pPr>
        <w:pStyle w:val="TableHeading"/>
        <w:rPr>
          <w:lang w:val="en-GB"/>
        </w:rPr>
      </w:pPr>
      <w:r>
        <w:rPr>
          <w:lang w:val="en-GB"/>
        </w:rPr>
        <w:t xml:space="preserve">Table 2.1.1: Budgeted </w:t>
      </w:r>
      <w:r w:rsidR="00114603">
        <w:rPr>
          <w:lang w:val="en-GB"/>
        </w:rPr>
        <w:t>expenses</w:t>
      </w:r>
      <w:r>
        <w:rPr>
          <w:lang w:val="en-GB"/>
        </w:rPr>
        <w:t xml:space="preserve"> for </w:t>
      </w:r>
      <w:r w:rsidR="00B36C6A" w:rsidRPr="00B36C6A">
        <w:t>Equity and Investments</w:t>
      </w:r>
    </w:p>
    <w:p w:rsidR="00737E8F" w:rsidRDefault="00304174" w:rsidP="00737E8F">
      <w:pPr>
        <w:pStyle w:val="TableGraphic"/>
        <w:rPr>
          <w:lang w:val="en-GB"/>
        </w:rPr>
      </w:pPr>
      <w:r>
        <w:rPr>
          <w:noProof/>
        </w:rPr>
        <w:drawing>
          <wp:inline distT="0" distB="0" distL="0" distR="0" wp14:anchorId="41FE0859" wp14:editId="4993031E">
            <wp:extent cx="4878705" cy="952482"/>
            <wp:effectExtent l="0" t="0" r="0" b="635"/>
            <wp:docPr id="105" name="Picture 105" descr="Table 2.1.1: Budgeted expenses for Equity and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78705" cy="952482"/>
                    </a:xfrm>
                    <a:prstGeom prst="rect">
                      <a:avLst/>
                    </a:prstGeom>
                    <a:noFill/>
                    <a:ln>
                      <a:noFill/>
                    </a:ln>
                  </pic:spPr>
                </pic:pic>
              </a:graphicData>
            </a:graphic>
          </wp:inline>
        </w:drawing>
      </w:r>
    </w:p>
    <w:p w:rsidR="00DE527E" w:rsidRDefault="00DE527E" w:rsidP="00DE527E">
      <w:pPr>
        <w:rPr>
          <w:lang w:val="en-GB"/>
        </w:rPr>
      </w:pPr>
    </w:p>
    <w:p w:rsidR="00737E8F" w:rsidRDefault="00DE527E" w:rsidP="00DE527E">
      <w:pPr>
        <w:pStyle w:val="Heading7"/>
      </w:pPr>
      <w:r>
        <w:br w:type="page"/>
      </w:r>
      <w:r w:rsidR="00737E8F">
        <w:lastRenderedPageBreak/>
        <w:t xml:space="preserve">Program 1.1 </w:t>
      </w:r>
      <w:r w:rsidR="00114603">
        <w:t>deliverables</w:t>
      </w:r>
    </w:p>
    <w:p w:rsidR="004553DB" w:rsidRPr="004553DB" w:rsidRDefault="004553DB" w:rsidP="004553DB">
      <w:pPr>
        <w:pStyle w:val="NormalBox"/>
      </w:pPr>
      <w:r w:rsidRPr="004553DB">
        <w:t>A substantial portfolio of sustainable investments, diversified by industry and geography, which collectively provide Aboriginal and Torres Strait Islander peoples with meaningful opportunities for:</w:t>
      </w:r>
    </w:p>
    <w:p w:rsidR="004553DB" w:rsidRPr="004553DB" w:rsidRDefault="004553DB" w:rsidP="004553DB">
      <w:pPr>
        <w:pStyle w:val="BulletBox"/>
      </w:pPr>
      <w:r w:rsidRPr="004553DB">
        <w:t>asset ownership</w:t>
      </w:r>
    </w:p>
    <w:p w:rsidR="004553DB" w:rsidRPr="004553DB" w:rsidRDefault="004553DB" w:rsidP="004553DB">
      <w:pPr>
        <w:pStyle w:val="BulletBox"/>
      </w:pPr>
      <w:r w:rsidRPr="004553DB">
        <w:t>wealth accumulation</w:t>
      </w:r>
    </w:p>
    <w:p w:rsidR="004553DB" w:rsidRPr="004553DB" w:rsidRDefault="004553DB" w:rsidP="004553DB">
      <w:pPr>
        <w:pStyle w:val="BulletBox"/>
      </w:pPr>
      <w:r w:rsidRPr="004553DB">
        <w:t>stable and enduring income streams</w:t>
      </w:r>
    </w:p>
    <w:p w:rsidR="004553DB" w:rsidRPr="004553DB" w:rsidRDefault="004553DB" w:rsidP="004553DB">
      <w:pPr>
        <w:pStyle w:val="BulletBox"/>
      </w:pPr>
      <w:r w:rsidRPr="004553DB">
        <w:t>capacity development</w:t>
      </w:r>
    </w:p>
    <w:p w:rsidR="004553DB" w:rsidRPr="004553DB" w:rsidRDefault="004553DB" w:rsidP="004553DB">
      <w:pPr>
        <w:pStyle w:val="BulletBox"/>
      </w:pPr>
      <w:r w:rsidRPr="004553DB">
        <w:t>employment and training</w:t>
      </w:r>
    </w:p>
    <w:p w:rsidR="00737E8F" w:rsidRDefault="004553DB" w:rsidP="004553DB">
      <w:pPr>
        <w:pStyle w:val="BulletBox"/>
      </w:pPr>
      <w:r w:rsidRPr="004553DB">
        <w:t>supply chain opportunities</w:t>
      </w:r>
    </w:p>
    <w:p w:rsidR="00737E8F" w:rsidRDefault="00737E8F" w:rsidP="00DE527E">
      <w:pPr>
        <w:pStyle w:val="Heading7"/>
      </w:pPr>
      <w:r>
        <w:br w:type="page"/>
      </w:r>
      <w:r w:rsidRPr="00C33538">
        <w:lastRenderedPageBreak/>
        <w:t xml:space="preserve">Program </w:t>
      </w:r>
      <w:r>
        <w:t xml:space="preserve">1.1 </w:t>
      </w:r>
      <w:r w:rsidR="00114603">
        <w:t>key performance indicators</w:t>
      </w:r>
    </w:p>
    <w:p w:rsidR="00D4231E" w:rsidRPr="00D4231E" w:rsidRDefault="00D4231E" w:rsidP="00D4231E">
      <w:pPr>
        <w:pStyle w:val="BulletBox"/>
      </w:pPr>
      <w:r w:rsidRPr="00D4231E">
        <w:t>Portfolio Return: annual and rolling 5 years</w:t>
      </w:r>
    </w:p>
    <w:p w:rsidR="00D4231E" w:rsidRPr="00D4231E" w:rsidRDefault="00D4231E" w:rsidP="00D4231E">
      <w:pPr>
        <w:pStyle w:val="BulletBox"/>
      </w:pPr>
      <w:r w:rsidRPr="00D4231E">
        <w:t>Number of Indigenous investors supported during the budget year</w:t>
      </w:r>
    </w:p>
    <w:p w:rsidR="00D4231E" w:rsidRPr="00D4231E" w:rsidRDefault="00D4231E" w:rsidP="00D4231E">
      <w:pPr>
        <w:pStyle w:val="BulletBox"/>
      </w:pPr>
      <w:r w:rsidRPr="00D4231E">
        <w:t>Distribution to Indigenous co-investors</w:t>
      </w:r>
    </w:p>
    <w:p w:rsidR="00737E8F" w:rsidRDefault="00D4231E" w:rsidP="00D4231E">
      <w:pPr>
        <w:pStyle w:val="BulletBox"/>
      </w:pPr>
      <w:r w:rsidRPr="00D4231E">
        <w:t>Proportion of Indigenous jobs supported by the investment portfolio</w:t>
      </w:r>
    </w:p>
    <w:p w:rsidR="00737E8F" w:rsidRDefault="00D4231E" w:rsidP="00E6121A">
      <w:pPr>
        <w:pStyle w:val="TableHeading"/>
      </w:pPr>
      <w:r w:rsidRPr="00D4231E">
        <w:t xml:space="preserve">Equity </w:t>
      </w:r>
      <w:r w:rsidRPr="00E6121A">
        <w:t>and</w:t>
      </w:r>
      <w:r w:rsidRPr="00D4231E">
        <w:t xml:space="preserve"> Investments</w:t>
      </w:r>
      <w:r w:rsidR="00737E8F">
        <w:t xml:space="preserve"> </w:t>
      </w:r>
      <w:r w:rsidR="00114603">
        <w:t>key performance indicators</w:t>
      </w:r>
    </w:p>
    <w:tbl>
      <w:tblPr>
        <w:tblW w:w="7651" w:type="dxa"/>
        <w:tblInd w:w="40" w:type="dxa"/>
        <w:tblCellMar>
          <w:top w:w="57" w:type="dxa"/>
          <w:left w:w="30" w:type="dxa"/>
          <w:bottom w:w="57" w:type="dxa"/>
          <w:right w:w="30" w:type="dxa"/>
        </w:tblCellMar>
        <w:tblLook w:val="0000" w:firstRow="0" w:lastRow="0" w:firstColumn="0" w:lastColumn="0" w:noHBand="0" w:noVBand="0"/>
        <w:tblDescription w:val="Equity and Investments key performance indicators"/>
      </w:tblPr>
      <w:tblGrid>
        <w:gridCol w:w="3107"/>
        <w:gridCol w:w="908"/>
        <w:gridCol w:w="909"/>
        <w:gridCol w:w="909"/>
        <w:gridCol w:w="909"/>
        <w:gridCol w:w="909"/>
      </w:tblGrid>
      <w:tr w:rsidR="00737E8F" w:rsidRPr="00893575" w:rsidTr="00D31999">
        <w:trPr>
          <w:trHeight w:val="225"/>
        </w:trPr>
        <w:tc>
          <w:tcPr>
            <w:tcW w:w="3107" w:type="dxa"/>
            <w:tcBorders>
              <w:top w:val="single" w:sz="2" w:space="0" w:color="auto"/>
              <w:left w:val="nil"/>
              <w:bottom w:val="single" w:sz="2" w:space="0" w:color="auto"/>
              <w:right w:val="nil"/>
            </w:tcBorders>
            <w:vAlign w:val="center"/>
          </w:tcPr>
          <w:p w:rsidR="00737E8F" w:rsidRPr="00893575" w:rsidRDefault="00737E8F" w:rsidP="00D3199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D4231E" w:rsidRPr="00893575" w:rsidTr="00502B14">
        <w:trPr>
          <w:trHeight w:val="225"/>
        </w:trPr>
        <w:tc>
          <w:tcPr>
            <w:tcW w:w="3107" w:type="dxa"/>
            <w:tcBorders>
              <w:top w:val="nil"/>
              <w:left w:val="nil"/>
              <w:right w:val="nil"/>
            </w:tcBorders>
            <w:vAlign w:val="bottom"/>
          </w:tcPr>
          <w:p w:rsidR="00D4231E" w:rsidRPr="00D4231E" w:rsidRDefault="00D4231E" w:rsidP="00FE43C9">
            <w:pPr>
              <w:keepNext/>
              <w:autoSpaceDE w:val="0"/>
              <w:autoSpaceDN w:val="0"/>
              <w:adjustRightInd w:val="0"/>
              <w:spacing w:after="0" w:line="240" w:lineRule="auto"/>
              <w:jc w:val="left"/>
              <w:rPr>
                <w:rFonts w:ascii="Arial" w:hAnsi="Arial" w:cs="Arial"/>
                <w:sz w:val="16"/>
                <w:szCs w:val="16"/>
              </w:rPr>
            </w:pPr>
            <w:r w:rsidRPr="00D4231E">
              <w:rPr>
                <w:rFonts w:ascii="Arial" w:hAnsi="Arial" w:cs="Arial"/>
                <w:sz w:val="16"/>
                <w:szCs w:val="16"/>
              </w:rPr>
              <w:t>Portfolio Return (budget year)</w:t>
            </w:r>
            <w:r>
              <w:rPr>
                <w:rStyle w:val="FootnoteReference"/>
                <w:rFonts w:cs="Arial"/>
                <w:szCs w:val="16"/>
              </w:rPr>
              <w:footnoteReference w:id="42"/>
            </w:r>
            <w:r w:rsidR="00FE43C9" w:rsidRPr="00FE43C9">
              <w:rPr>
                <w:rFonts w:ascii="Arial" w:hAnsi="Arial" w:cs="Arial"/>
                <w:sz w:val="16"/>
                <w:szCs w:val="16"/>
                <w:vertAlign w:val="superscript"/>
              </w:rPr>
              <w:t xml:space="preserve">, </w:t>
            </w:r>
            <w:r w:rsidR="00FE43C9">
              <w:rPr>
                <w:rStyle w:val="FootnoteReference"/>
                <w:rFonts w:cs="Arial"/>
                <w:szCs w:val="16"/>
              </w:rPr>
              <w:footnoteReference w:id="43"/>
            </w:r>
          </w:p>
        </w:tc>
        <w:tc>
          <w:tcPr>
            <w:tcW w:w="908" w:type="dxa"/>
            <w:tcBorders>
              <w:top w:val="nil"/>
              <w:left w:val="nil"/>
              <w:right w:val="nil"/>
            </w:tcBorders>
            <w:shd w:val="clear" w:color="auto" w:fill="auto"/>
            <w:vAlign w:val="bottom"/>
          </w:tcPr>
          <w:p w:rsidR="00D4231E" w:rsidRPr="00D4231E" w:rsidRDefault="00D4231E" w:rsidP="00FE43C9">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sz w:val="16"/>
                <w:szCs w:val="16"/>
              </w:rPr>
              <w:t>Cash</w:t>
            </w:r>
            <w:r>
              <w:rPr>
                <w:rFonts w:ascii="Arial" w:hAnsi="Arial" w:cs="Arial"/>
                <w:sz w:val="16"/>
                <w:szCs w:val="16"/>
              </w:rPr>
              <w:br/>
              <w:t>+3%</w:t>
            </w:r>
          </w:p>
        </w:tc>
        <w:tc>
          <w:tcPr>
            <w:tcW w:w="909" w:type="dxa"/>
            <w:tcBorders>
              <w:top w:val="nil"/>
              <w:left w:val="nil"/>
              <w:right w:val="nil"/>
            </w:tcBorders>
            <w:shd w:val="clear" w:color="auto" w:fill="D9D9D9"/>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sz w:val="16"/>
                <w:szCs w:val="16"/>
              </w:rPr>
              <w:t>Cash</w:t>
            </w:r>
            <w:r>
              <w:rPr>
                <w:rFonts w:ascii="Arial" w:hAnsi="Arial" w:cs="Arial"/>
                <w:sz w:val="16"/>
                <w:szCs w:val="16"/>
              </w:rPr>
              <w:br/>
              <w:t>+3%</w:t>
            </w:r>
          </w:p>
        </w:tc>
        <w:tc>
          <w:tcPr>
            <w:tcW w:w="909" w:type="dxa"/>
            <w:tcBorders>
              <w:top w:val="nil"/>
              <w:left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sz w:val="16"/>
                <w:szCs w:val="16"/>
              </w:rPr>
              <w:t>Cash</w:t>
            </w:r>
            <w:r>
              <w:rPr>
                <w:rFonts w:ascii="Arial" w:hAnsi="Arial" w:cs="Arial"/>
                <w:sz w:val="16"/>
                <w:szCs w:val="16"/>
              </w:rPr>
              <w:br/>
              <w:t>+3%</w:t>
            </w:r>
          </w:p>
        </w:tc>
        <w:tc>
          <w:tcPr>
            <w:tcW w:w="909" w:type="dxa"/>
            <w:tcBorders>
              <w:top w:val="nil"/>
              <w:left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sz w:val="16"/>
                <w:szCs w:val="16"/>
              </w:rPr>
              <w:t>Cash</w:t>
            </w:r>
            <w:r>
              <w:rPr>
                <w:rFonts w:ascii="Arial" w:hAnsi="Arial" w:cs="Arial"/>
                <w:sz w:val="16"/>
                <w:szCs w:val="16"/>
              </w:rPr>
              <w:br/>
              <w:t>+3%</w:t>
            </w:r>
          </w:p>
        </w:tc>
        <w:tc>
          <w:tcPr>
            <w:tcW w:w="909" w:type="dxa"/>
            <w:tcBorders>
              <w:top w:val="nil"/>
              <w:left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sz w:val="16"/>
                <w:szCs w:val="16"/>
              </w:rPr>
              <w:t>Cash</w:t>
            </w:r>
            <w:r>
              <w:rPr>
                <w:rFonts w:ascii="Arial" w:hAnsi="Arial" w:cs="Arial"/>
                <w:sz w:val="16"/>
                <w:szCs w:val="16"/>
              </w:rPr>
              <w:br/>
              <w:t>+3%</w:t>
            </w:r>
          </w:p>
        </w:tc>
      </w:tr>
      <w:tr w:rsidR="00D4231E" w:rsidRPr="00893575" w:rsidTr="00D4231E">
        <w:trPr>
          <w:trHeight w:val="225"/>
        </w:trPr>
        <w:tc>
          <w:tcPr>
            <w:tcW w:w="3107" w:type="dxa"/>
            <w:tcBorders>
              <w:top w:val="nil"/>
              <w:left w:val="nil"/>
              <w:right w:val="nil"/>
            </w:tcBorders>
            <w:vAlign w:val="bottom"/>
          </w:tcPr>
          <w:p w:rsidR="00D4231E" w:rsidRPr="00D4231E" w:rsidRDefault="00D4231E" w:rsidP="001205C8">
            <w:pPr>
              <w:keepNext/>
              <w:autoSpaceDE w:val="0"/>
              <w:autoSpaceDN w:val="0"/>
              <w:adjustRightInd w:val="0"/>
              <w:spacing w:after="0" w:line="240" w:lineRule="auto"/>
              <w:jc w:val="left"/>
              <w:rPr>
                <w:rFonts w:ascii="Arial" w:hAnsi="Arial" w:cs="Arial"/>
                <w:sz w:val="16"/>
                <w:szCs w:val="16"/>
              </w:rPr>
            </w:pPr>
            <w:r w:rsidRPr="00D4231E">
              <w:rPr>
                <w:rFonts w:ascii="Arial" w:hAnsi="Arial" w:cs="Arial"/>
                <w:sz w:val="16"/>
                <w:szCs w:val="16"/>
              </w:rPr>
              <w:t>Portfolio Return (rolling 5 years)</w:t>
            </w:r>
            <w:r>
              <w:rPr>
                <w:rStyle w:val="FootnoteReference"/>
                <w:rFonts w:cs="Arial"/>
                <w:szCs w:val="16"/>
              </w:rPr>
              <w:footnoteReference w:id="44"/>
            </w:r>
          </w:p>
        </w:tc>
        <w:tc>
          <w:tcPr>
            <w:tcW w:w="908" w:type="dxa"/>
            <w:tcBorders>
              <w:top w:val="nil"/>
              <w:left w:val="nil"/>
              <w:right w:val="nil"/>
            </w:tcBorders>
            <w:shd w:val="clear" w:color="auto" w:fill="auto"/>
            <w:vAlign w:val="bottom"/>
          </w:tcPr>
          <w:p w:rsidR="00D4231E" w:rsidRPr="00D4231E" w:rsidRDefault="00D4231E" w:rsidP="001205C8">
            <w:pPr>
              <w:keepNext/>
              <w:autoSpaceDE w:val="0"/>
              <w:autoSpaceDN w:val="0"/>
              <w:adjustRightInd w:val="0"/>
              <w:spacing w:before="60" w:after="0" w:line="240" w:lineRule="auto"/>
              <w:jc w:val="right"/>
              <w:rPr>
                <w:rFonts w:ascii="Arial" w:hAnsi="Arial" w:cs="Arial"/>
                <w:color w:val="000000"/>
                <w:sz w:val="16"/>
                <w:szCs w:val="16"/>
              </w:rPr>
            </w:pPr>
            <w:r>
              <w:rPr>
                <w:rFonts w:ascii="Arial" w:hAnsi="Arial" w:cs="Arial"/>
                <w:sz w:val="16"/>
                <w:szCs w:val="16"/>
              </w:rPr>
              <w:t>Cash</w:t>
            </w:r>
            <w:r>
              <w:rPr>
                <w:rFonts w:ascii="Arial" w:hAnsi="Arial" w:cs="Arial"/>
                <w:sz w:val="16"/>
                <w:szCs w:val="16"/>
              </w:rPr>
              <w:br/>
              <w:t>+3%</w:t>
            </w:r>
          </w:p>
        </w:tc>
        <w:tc>
          <w:tcPr>
            <w:tcW w:w="909" w:type="dxa"/>
            <w:tcBorders>
              <w:top w:val="nil"/>
              <w:left w:val="nil"/>
              <w:right w:val="nil"/>
            </w:tcBorders>
            <w:shd w:val="clear" w:color="auto" w:fill="D9D9D9"/>
            <w:vAlign w:val="bottom"/>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sidRPr="00F905DA">
              <w:rPr>
                <w:rFonts w:ascii="Arial" w:hAnsi="Arial" w:cs="Arial"/>
                <w:sz w:val="16"/>
                <w:szCs w:val="16"/>
              </w:rPr>
              <w:t>Cash</w:t>
            </w:r>
            <w:r w:rsidRPr="00F905DA">
              <w:rPr>
                <w:rFonts w:ascii="Arial" w:hAnsi="Arial" w:cs="Arial"/>
                <w:sz w:val="16"/>
                <w:szCs w:val="16"/>
              </w:rPr>
              <w:br/>
              <w:t>+3%</w:t>
            </w:r>
          </w:p>
        </w:tc>
        <w:tc>
          <w:tcPr>
            <w:tcW w:w="909" w:type="dxa"/>
            <w:tcBorders>
              <w:top w:val="nil"/>
              <w:left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sidRPr="00F905DA">
              <w:rPr>
                <w:rFonts w:ascii="Arial" w:hAnsi="Arial" w:cs="Arial"/>
                <w:sz w:val="16"/>
                <w:szCs w:val="16"/>
              </w:rPr>
              <w:t>Cash</w:t>
            </w:r>
            <w:r w:rsidRPr="00F905DA">
              <w:rPr>
                <w:rFonts w:ascii="Arial" w:hAnsi="Arial" w:cs="Arial"/>
                <w:sz w:val="16"/>
                <w:szCs w:val="16"/>
              </w:rPr>
              <w:br/>
              <w:t>+3%</w:t>
            </w:r>
          </w:p>
        </w:tc>
        <w:tc>
          <w:tcPr>
            <w:tcW w:w="909" w:type="dxa"/>
            <w:tcBorders>
              <w:top w:val="nil"/>
              <w:left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sidRPr="00F905DA">
              <w:rPr>
                <w:rFonts w:ascii="Arial" w:hAnsi="Arial" w:cs="Arial"/>
                <w:sz w:val="16"/>
                <w:szCs w:val="16"/>
              </w:rPr>
              <w:t>Cash</w:t>
            </w:r>
            <w:r w:rsidRPr="00F905DA">
              <w:rPr>
                <w:rFonts w:ascii="Arial" w:hAnsi="Arial" w:cs="Arial"/>
                <w:sz w:val="16"/>
                <w:szCs w:val="16"/>
              </w:rPr>
              <w:br/>
              <w:t>+3%</w:t>
            </w:r>
          </w:p>
        </w:tc>
        <w:tc>
          <w:tcPr>
            <w:tcW w:w="909" w:type="dxa"/>
            <w:tcBorders>
              <w:top w:val="nil"/>
              <w:left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sz w:val="16"/>
                <w:szCs w:val="16"/>
              </w:rPr>
              <w:t>Cash</w:t>
            </w:r>
            <w:r>
              <w:rPr>
                <w:rFonts w:ascii="Arial" w:hAnsi="Arial" w:cs="Arial"/>
                <w:sz w:val="16"/>
                <w:szCs w:val="16"/>
              </w:rPr>
              <w:br/>
              <w:t>+3%</w:t>
            </w:r>
          </w:p>
        </w:tc>
      </w:tr>
      <w:tr w:rsidR="00D4231E" w:rsidRPr="00893575" w:rsidTr="00D4231E">
        <w:trPr>
          <w:trHeight w:val="225"/>
        </w:trPr>
        <w:tc>
          <w:tcPr>
            <w:tcW w:w="3107" w:type="dxa"/>
            <w:tcBorders>
              <w:top w:val="nil"/>
              <w:left w:val="nil"/>
              <w:bottom w:val="nil"/>
              <w:right w:val="nil"/>
            </w:tcBorders>
            <w:vAlign w:val="bottom"/>
          </w:tcPr>
          <w:p w:rsidR="00D4231E" w:rsidRPr="00D4231E" w:rsidRDefault="00D4231E" w:rsidP="001205C8">
            <w:pPr>
              <w:keepNext/>
              <w:autoSpaceDE w:val="0"/>
              <w:autoSpaceDN w:val="0"/>
              <w:adjustRightInd w:val="0"/>
              <w:spacing w:before="60" w:after="0" w:line="240" w:lineRule="auto"/>
              <w:jc w:val="left"/>
              <w:rPr>
                <w:rFonts w:ascii="Arial" w:hAnsi="Arial" w:cs="Arial"/>
                <w:sz w:val="16"/>
                <w:szCs w:val="16"/>
              </w:rPr>
            </w:pPr>
            <w:r w:rsidRPr="00D4231E">
              <w:rPr>
                <w:rFonts w:ascii="Arial" w:hAnsi="Arial" w:cs="Arial"/>
                <w:sz w:val="16"/>
                <w:szCs w:val="16"/>
              </w:rPr>
              <w:t>Number of Indigenous co-investors supported</w:t>
            </w:r>
            <w:r>
              <w:rPr>
                <w:rStyle w:val="FootnoteReference"/>
                <w:rFonts w:cs="Arial"/>
                <w:szCs w:val="16"/>
              </w:rPr>
              <w:footnoteReference w:id="45"/>
            </w:r>
          </w:p>
        </w:tc>
        <w:tc>
          <w:tcPr>
            <w:tcW w:w="908" w:type="dxa"/>
            <w:tcBorders>
              <w:top w:val="nil"/>
              <w:left w:val="nil"/>
              <w:bottom w:val="nil"/>
              <w:right w:val="nil"/>
            </w:tcBorders>
            <w:shd w:val="clear" w:color="auto" w:fill="auto"/>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w:t>
            </w:r>
          </w:p>
        </w:tc>
        <w:tc>
          <w:tcPr>
            <w:tcW w:w="909" w:type="dxa"/>
            <w:tcBorders>
              <w:top w:val="nil"/>
              <w:left w:val="nil"/>
              <w:bottom w:val="nil"/>
              <w:right w:val="nil"/>
            </w:tcBorders>
            <w:shd w:val="clear" w:color="auto" w:fill="D9D9D9"/>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w:t>
            </w:r>
          </w:p>
        </w:tc>
        <w:tc>
          <w:tcPr>
            <w:tcW w:w="909" w:type="dxa"/>
            <w:tcBorders>
              <w:top w:val="nil"/>
              <w:left w:val="nil"/>
              <w:bottom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w:t>
            </w:r>
          </w:p>
        </w:tc>
        <w:tc>
          <w:tcPr>
            <w:tcW w:w="909" w:type="dxa"/>
            <w:tcBorders>
              <w:top w:val="nil"/>
              <w:left w:val="nil"/>
              <w:bottom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w:t>
            </w:r>
          </w:p>
        </w:tc>
        <w:tc>
          <w:tcPr>
            <w:tcW w:w="909" w:type="dxa"/>
            <w:tcBorders>
              <w:top w:val="nil"/>
              <w:left w:val="nil"/>
              <w:bottom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w:t>
            </w:r>
          </w:p>
        </w:tc>
      </w:tr>
      <w:tr w:rsidR="00D4231E" w:rsidRPr="00893575" w:rsidTr="00D4231E">
        <w:trPr>
          <w:trHeight w:val="225"/>
        </w:trPr>
        <w:tc>
          <w:tcPr>
            <w:tcW w:w="3107" w:type="dxa"/>
            <w:tcBorders>
              <w:top w:val="nil"/>
              <w:left w:val="nil"/>
              <w:right w:val="nil"/>
            </w:tcBorders>
            <w:vAlign w:val="bottom"/>
          </w:tcPr>
          <w:p w:rsidR="00D4231E" w:rsidRPr="00D4231E" w:rsidRDefault="00D4231E" w:rsidP="001205C8">
            <w:pPr>
              <w:keepNext/>
              <w:autoSpaceDE w:val="0"/>
              <w:autoSpaceDN w:val="0"/>
              <w:adjustRightInd w:val="0"/>
              <w:spacing w:after="0" w:line="240" w:lineRule="auto"/>
              <w:jc w:val="left"/>
              <w:rPr>
                <w:rFonts w:ascii="Arial" w:hAnsi="Arial" w:cs="Arial"/>
                <w:sz w:val="16"/>
                <w:szCs w:val="16"/>
              </w:rPr>
            </w:pPr>
            <w:r w:rsidRPr="00D4231E">
              <w:rPr>
                <w:rFonts w:ascii="Arial" w:hAnsi="Arial" w:cs="Arial"/>
                <w:sz w:val="16"/>
                <w:szCs w:val="16"/>
              </w:rPr>
              <w:t>Distribution to Indigenous co-investors</w:t>
            </w:r>
            <w:r>
              <w:rPr>
                <w:rStyle w:val="FootnoteReference"/>
                <w:rFonts w:cs="Arial"/>
                <w:szCs w:val="16"/>
              </w:rPr>
              <w:footnoteReference w:id="46"/>
            </w:r>
            <w:r w:rsidR="002576BE" w:rsidRPr="002576BE">
              <w:rPr>
                <w:rFonts w:ascii="Arial" w:hAnsi="Arial" w:cs="Arial"/>
                <w:sz w:val="16"/>
                <w:szCs w:val="16"/>
                <w:vertAlign w:val="superscript"/>
              </w:rPr>
              <w:t xml:space="preserve">, </w:t>
            </w:r>
            <w:r w:rsidR="002576BE">
              <w:rPr>
                <w:rStyle w:val="FootnoteReference"/>
                <w:rFonts w:cs="Arial"/>
                <w:szCs w:val="16"/>
              </w:rPr>
              <w:footnoteReference w:id="47"/>
            </w:r>
          </w:p>
        </w:tc>
        <w:tc>
          <w:tcPr>
            <w:tcW w:w="908" w:type="dxa"/>
            <w:tcBorders>
              <w:top w:val="nil"/>
              <w:left w:val="nil"/>
              <w:right w:val="nil"/>
            </w:tcBorders>
            <w:shd w:val="clear" w:color="auto" w:fill="auto"/>
            <w:vAlign w:val="bottom"/>
          </w:tcPr>
          <w:p w:rsidR="00D4231E" w:rsidRPr="00D4231E" w:rsidRDefault="00D4231E" w:rsidP="002576BE">
            <w:pPr>
              <w:keepNext/>
              <w:autoSpaceDE w:val="0"/>
              <w:autoSpaceDN w:val="0"/>
              <w:adjustRightInd w:val="0"/>
              <w:spacing w:before="60" w:after="0" w:line="240" w:lineRule="auto"/>
              <w:jc w:val="right"/>
              <w:rPr>
                <w:rFonts w:ascii="Arial" w:hAnsi="Arial" w:cs="Arial"/>
                <w:sz w:val="16"/>
                <w:szCs w:val="16"/>
              </w:rPr>
            </w:pPr>
            <w:r>
              <w:rPr>
                <w:rFonts w:ascii="Arial" w:hAnsi="Arial" w:cs="Arial"/>
                <w:sz w:val="16"/>
                <w:szCs w:val="16"/>
              </w:rPr>
              <w:t>Cash</w:t>
            </w:r>
            <w:r>
              <w:rPr>
                <w:rFonts w:ascii="Arial" w:hAnsi="Arial" w:cs="Arial"/>
                <w:sz w:val="16"/>
                <w:szCs w:val="16"/>
              </w:rPr>
              <w:br/>
              <w:t>+3%</w:t>
            </w:r>
          </w:p>
        </w:tc>
        <w:tc>
          <w:tcPr>
            <w:tcW w:w="909" w:type="dxa"/>
            <w:tcBorders>
              <w:top w:val="nil"/>
              <w:left w:val="nil"/>
              <w:right w:val="nil"/>
            </w:tcBorders>
            <w:shd w:val="clear" w:color="auto" w:fill="D9D9D9"/>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sidRPr="00DC1359">
              <w:rPr>
                <w:rFonts w:ascii="Arial" w:hAnsi="Arial" w:cs="Arial"/>
                <w:sz w:val="16"/>
                <w:szCs w:val="16"/>
              </w:rPr>
              <w:t>Cash</w:t>
            </w:r>
            <w:r w:rsidRPr="00DC1359">
              <w:rPr>
                <w:rFonts w:ascii="Arial" w:hAnsi="Arial" w:cs="Arial"/>
                <w:sz w:val="16"/>
                <w:szCs w:val="16"/>
              </w:rPr>
              <w:br/>
              <w:t>+3%</w:t>
            </w:r>
          </w:p>
        </w:tc>
        <w:tc>
          <w:tcPr>
            <w:tcW w:w="909" w:type="dxa"/>
            <w:tcBorders>
              <w:top w:val="nil"/>
              <w:left w:val="nil"/>
              <w:right w:val="nil"/>
            </w:tcBorders>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sidRPr="00DC1359">
              <w:rPr>
                <w:rFonts w:ascii="Arial" w:hAnsi="Arial" w:cs="Arial"/>
                <w:sz w:val="16"/>
                <w:szCs w:val="16"/>
              </w:rPr>
              <w:t>Cash</w:t>
            </w:r>
            <w:r w:rsidRPr="00DC1359">
              <w:rPr>
                <w:rFonts w:ascii="Arial" w:hAnsi="Arial" w:cs="Arial"/>
                <w:sz w:val="16"/>
                <w:szCs w:val="16"/>
              </w:rPr>
              <w:br/>
              <w:t>+3%</w:t>
            </w:r>
          </w:p>
        </w:tc>
        <w:tc>
          <w:tcPr>
            <w:tcW w:w="909" w:type="dxa"/>
            <w:tcBorders>
              <w:top w:val="nil"/>
              <w:left w:val="nil"/>
              <w:right w:val="nil"/>
            </w:tcBorders>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sidRPr="00DC1359">
              <w:rPr>
                <w:rFonts w:ascii="Arial" w:hAnsi="Arial" w:cs="Arial"/>
                <w:sz w:val="16"/>
                <w:szCs w:val="16"/>
              </w:rPr>
              <w:t>Cash</w:t>
            </w:r>
            <w:r w:rsidRPr="00DC1359">
              <w:rPr>
                <w:rFonts w:ascii="Arial" w:hAnsi="Arial" w:cs="Arial"/>
                <w:sz w:val="16"/>
                <w:szCs w:val="16"/>
              </w:rPr>
              <w:br/>
              <w:t>+3%</w:t>
            </w:r>
          </w:p>
        </w:tc>
        <w:tc>
          <w:tcPr>
            <w:tcW w:w="909" w:type="dxa"/>
            <w:tcBorders>
              <w:top w:val="nil"/>
              <w:left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Cash</w:t>
            </w:r>
            <w:r>
              <w:rPr>
                <w:rFonts w:ascii="Arial" w:hAnsi="Arial" w:cs="Arial"/>
                <w:sz w:val="16"/>
                <w:szCs w:val="16"/>
              </w:rPr>
              <w:br/>
              <w:t>+3%</w:t>
            </w:r>
          </w:p>
        </w:tc>
      </w:tr>
      <w:tr w:rsidR="00D4231E" w:rsidRPr="00893575" w:rsidTr="00DE527E">
        <w:trPr>
          <w:trHeight w:val="225"/>
        </w:trPr>
        <w:tc>
          <w:tcPr>
            <w:tcW w:w="3107" w:type="dxa"/>
            <w:tcBorders>
              <w:top w:val="nil"/>
              <w:left w:val="nil"/>
              <w:bottom w:val="nil"/>
              <w:right w:val="nil"/>
            </w:tcBorders>
            <w:vAlign w:val="bottom"/>
          </w:tcPr>
          <w:p w:rsidR="00D4231E" w:rsidRPr="00D4231E" w:rsidRDefault="00D4231E" w:rsidP="001205C8">
            <w:pPr>
              <w:keepNext/>
              <w:autoSpaceDE w:val="0"/>
              <w:autoSpaceDN w:val="0"/>
              <w:adjustRightInd w:val="0"/>
              <w:spacing w:before="60" w:after="0" w:line="240" w:lineRule="auto"/>
              <w:jc w:val="left"/>
              <w:rPr>
                <w:rFonts w:ascii="Arial" w:hAnsi="Arial" w:cs="Arial"/>
                <w:sz w:val="16"/>
                <w:szCs w:val="16"/>
              </w:rPr>
            </w:pPr>
            <w:r w:rsidRPr="00D4231E">
              <w:rPr>
                <w:rFonts w:ascii="Arial" w:hAnsi="Arial" w:cs="Arial"/>
                <w:sz w:val="16"/>
                <w:szCs w:val="16"/>
              </w:rPr>
              <w:t>Proportion of Indigenous jobs supported by investment portfolio</w:t>
            </w:r>
            <w:r>
              <w:rPr>
                <w:rStyle w:val="FootnoteReference"/>
                <w:rFonts w:cs="Arial"/>
                <w:szCs w:val="16"/>
              </w:rPr>
              <w:footnoteReference w:id="48"/>
            </w:r>
          </w:p>
        </w:tc>
        <w:tc>
          <w:tcPr>
            <w:tcW w:w="908" w:type="dxa"/>
            <w:tcBorders>
              <w:top w:val="nil"/>
              <w:left w:val="nil"/>
              <w:bottom w:val="nil"/>
              <w:right w:val="nil"/>
            </w:tcBorders>
            <w:shd w:val="clear" w:color="auto" w:fill="auto"/>
            <w:vAlign w:val="bottom"/>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20%</w:t>
            </w:r>
          </w:p>
        </w:tc>
        <w:tc>
          <w:tcPr>
            <w:tcW w:w="909" w:type="dxa"/>
            <w:tcBorders>
              <w:top w:val="nil"/>
              <w:left w:val="nil"/>
              <w:bottom w:val="nil"/>
              <w:right w:val="nil"/>
            </w:tcBorders>
            <w:shd w:val="clear" w:color="auto" w:fill="D9D9D9"/>
            <w:vAlign w:val="bottom"/>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20%</w:t>
            </w:r>
          </w:p>
        </w:tc>
        <w:tc>
          <w:tcPr>
            <w:tcW w:w="909" w:type="dxa"/>
            <w:tcBorders>
              <w:top w:val="nil"/>
              <w:left w:val="nil"/>
              <w:bottom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22.5%</w:t>
            </w:r>
          </w:p>
        </w:tc>
        <w:tc>
          <w:tcPr>
            <w:tcW w:w="909" w:type="dxa"/>
            <w:tcBorders>
              <w:top w:val="nil"/>
              <w:left w:val="nil"/>
              <w:bottom w:val="nil"/>
              <w:right w:val="nil"/>
            </w:tcBorders>
            <w:vAlign w:val="bottom"/>
          </w:tcPr>
          <w:p w:rsidR="00D4231E" w:rsidRPr="00D4231E" w:rsidRDefault="00D4231E" w:rsidP="001205C8">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22.5%</w:t>
            </w:r>
          </w:p>
        </w:tc>
        <w:tc>
          <w:tcPr>
            <w:tcW w:w="909" w:type="dxa"/>
            <w:tcBorders>
              <w:top w:val="nil"/>
              <w:left w:val="nil"/>
              <w:bottom w:val="nil"/>
              <w:right w:val="nil"/>
            </w:tcBorders>
            <w:vAlign w:val="bottom"/>
          </w:tcPr>
          <w:p w:rsidR="00DE527E" w:rsidRPr="00D4231E" w:rsidRDefault="00D4231E" w:rsidP="00DE527E">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25%</w:t>
            </w:r>
          </w:p>
        </w:tc>
      </w:tr>
    </w:tbl>
    <w:p w:rsidR="00DE527E" w:rsidRPr="00DE527E" w:rsidRDefault="00DE527E" w:rsidP="00DE527E"/>
    <w:p w:rsidR="00DE527E" w:rsidRDefault="00DE527E" w:rsidP="00DE527E">
      <w:pPr>
        <w:rPr>
          <w:lang w:val="en-GB"/>
        </w:rPr>
      </w:pPr>
      <w:r>
        <w:rPr>
          <w:lang w:val="en-GB"/>
        </w:rPr>
        <w:br w:type="page"/>
      </w:r>
    </w:p>
    <w:p w:rsidR="00737E8F" w:rsidRDefault="00737E8F" w:rsidP="00DE527E">
      <w:pPr>
        <w:pStyle w:val="Heading6"/>
        <w:rPr>
          <w:lang w:val="en-GB"/>
        </w:rPr>
      </w:pPr>
      <w:r>
        <w:rPr>
          <w:lang w:val="en-GB"/>
        </w:rPr>
        <w:t xml:space="preserve">Program 1.2: </w:t>
      </w:r>
      <w:r w:rsidR="00E6121A" w:rsidRPr="00E6121A">
        <w:t>Indigenous Home Ownership</w:t>
      </w:r>
    </w:p>
    <w:p w:rsidR="00737E8F" w:rsidRDefault="00737E8F" w:rsidP="00737E8F">
      <w:pPr>
        <w:pStyle w:val="SinglePara"/>
        <w:rPr>
          <w:lang w:val="en-GB"/>
        </w:rPr>
      </w:pPr>
    </w:p>
    <w:p w:rsidR="00737E8F" w:rsidRDefault="00737E8F" w:rsidP="00DE527E">
      <w:pPr>
        <w:pStyle w:val="Heading7"/>
      </w:pPr>
      <w:r>
        <w:t xml:space="preserve">Program 1.2 </w:t>
      </w:r>
      <w:r w:rsidR="00114603">
        <w:t>objective</w:t>
      </w:r>
    </w:p>
    <w:p w:rsidR="00737E8F" w:rsidRDefault="00E6121A" w:rsidP="00737E8F">
      <w:pPr>
        <w:pStyle w:val="NormalBox"/>
      </w:pPr>
      <w:r w:rsidRPr="00E6121A">
        <w:t>Program 1.2 aims to facilitate Indigenous Australians into home ownership by addressing barriers such as lower incomes and savings, credit impairment and limited experience with loan repayments. The program is focused on first home buyers who have difficulty obtaining home loan finance from other financial institutions. The program also helps Indigenous people in remote Indigenous communities overcome additional barriers where there is appropriate tenure for home ownership, such as a lack of access to financial institutions and services, higher construction costs, the absence of established residential property markets and newly created land tenure arrangements. The program’s success is assessed in terms of increasing the percentage of Indigenous Australians who are home owners.</w:t>
      </w:r>
    </w:p>
    <w:p w:rsidR="00737E8F" w:rsidRDefault="00737E8F" w:rsidP="00502B14">
      <w:pPr>
        <w:pStyle w:val="SinglePara"/>
        <w:rPr>
          <w:lang w:val="en-GB"/>
        </w:rPr>
      </w:pPr>
    </w:p>
    <w:p w:rsidR="00737E8F" w:rsidRDefault="00737E8F" w:rsidP="00DE527E">
      <w:pPr>
        <w:pStyle w:val="Heading7"/>
      </w:pPr>
      <w:r>
        <w:t xml:space="preserve">Program 1.2 </w:t>
      </w:r>
      <w:r w:rsidR="00114603">
        <w:t>expenses</w:t>
      </w:r>
    </w:p>
    <w:p w:rsidR="00737E8F" w:rsidRPr="00A82139" w:rsidRDefault="00E6121A" w:rsidP="00737E8F">
      <w:pPr>
        <w:pStyle w:val="NormalBox"/>
      </w:pPr>
      <w:r w:rsidRPr="00E6121A">
        <w:t>Budgeted departmental expenses include the administrative costs for delivering the program, including activities involved in facilitated home ownership opportunities in remote and Indigenous communities, as well as legal, administrative and operating costs associated with undertaking lending and managing IBA’s loan portfolios. The increase in departmental costs in the budget year is attributable to an increase in lending capital due to the integration of programs (see 3.2.2) and resultant impact of the increase in fair value write down of the incremental loans written.</w:t>
      </w:r>
    </w:p>
    <w:p w:rsidR="00737E8F" w:rsidRDefault="00737E8F" w:rsidP="00737E8F">
      <w:pPr>
        <w:pStyle w:val="TableHeading"/>
        <w:rPr>
          <w:lang w:val="en-GB"/>
        </w:rPr>
      </w:pPr>
      <w:r>
        <w:rPr>
          <w:lang w:val="en-GB"/>
        </w:rPr>
        <w:t xml:space="preserve">Table 2.1.2: Budgeted </w:t>
      </w:r>
      <w:r w:rsidR="00114603">
        <w:rPr>
          <w:lang w:val="en-GB"/>
        </w:rPr>
        <w:t>expenses</w:t>
      </w:r>
      <w:r>
        <w:rPr>
          <w:lang w:val="en-GB"/>
        </w:rPr>
        <w:t xml:space="preserve"> for </w:t>
      </w:r>
      <w:r w:rsidR="0027213F" w:rsidRPr="0027213F">
        <w:t>Indigenous Home Ownership</w:t>
      </w:r>
    </w:p>
    <w:p w:rsidR="00737E8F" w:rsidRDefault="00304174" w:rsidP="00737E8F">
      <w:pPr>
        <w:pStyle w:val="TableGraphic"/>
        <w:rPr>
          <w:lang w:val="en-GB"/>
        </w:rPr>
      </w:pPr>
      <w:r>
        <w:rPr>
          <w:noProof/>
        </w:rPr>
        <w:drawing>
          <wp:inline distT="0" distB="0" distL="0" distR="0" wp14:anchorId="0C2D5001" wp14:editId="4162F827">
            <wp:extent cx="4878705" cy="952482"/>
            <wp:effectExtent l="0" t="0" r="0" b="635"/>
            <wp:docPr id="106" name="Picture 106" descr="Table 2.1.2: Budgeted expenses for Indigenous Home Ow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878705" cy="952482"/>
                    </a:xfrm>
                    <a:prstGeom prst="rect">
                      <a:avLst/>
                    </a:prstGeom>
                    <a:noFill/>
                    <a:ln>
                      <a:noFill/>
                    </a:ln>
                  </pic:spPr>
                </pic:pic>
              </a:graphicData>
            </a:graphic>
          </wp:inline>
        </w:drawing>
      </w:r>
    </w:p>
    <w:p w:rsidR="00737E8F" w:rsidRDefault="00DE527E" w:rsidP="00DE527E">
      <w:pPr>
        <w:pStyle w:val="Heading7"/>
      </w:pPr>
      <w:r>
        <w:br w:type="page"/>
      </w:r>
      <w:r w:rsidR="00737E8F">
        <w:lastRenderedPageBreak/>
        <w:t xml:space="preserve">Program 1.2 </w:t>
      </w:r>
      <w:r w:rsidR="00114603">
        <w:t>deliverables</w:t>
      </w:r>
    </w:p>
    <w:p w:rsidR="00737E8F" w:rsidRDefault="00E6121A" w:rsidP="00E6121A">
      <w:pPr>
        <w:pStyle w:val="NormalBox"/>
      </w:pPr>
      <w:r w:rsidRPr="00E6121A">
        <w:t>The key program deliverable is the provision of home loans and related assistance to Indigenous people and the effective management of the loan portfolio.</w:t>
      </w:r>
    </w:p>
    <w:p w:rsidR="00737E8F" w:rsidRDefault="00E6121A" w:rsidP="00737E8F">
      <w:pPr>
        <w:pStyle w:val="TableHeading"/>
      </w:pPr>
      <w:r>
        <w:t xml:space="preserve">Indigenous Home Ownership </w:t>
      </w:r>
      <w:r w:rsidR="00114603">
        <w:t>deliverables</w:t>
      </w:r>
      <w:r w:rsidR="00737E8F">
        <w:t xml:space="preserve"> </w:t>
      </w:r>
      <w:r w:rsidR="00114603">
        <w:t>targets</w:t>
      </w:r>
    </w:p>
    <w:tbl>
      <w:tblPr>
        <w:tblW w:w="7651" w:type="dxa"/>
        <w:tblInd w:w="40" w:type="dxa"/>
        <w:tblCellMar>
          <w:top w:w="57" w:type="dxa"/>
          <w:left w:w="30" w:type="dxa"/>
          <w:bottom w:w="57" w:type="dxa"/>
          <w:right w:w="30" w:type="dxa"/>
        </w:tblCellMar>
        <w:tblLook w:val="0000" w:firstRow="0" w:lastRow="0" w:firstColumn="0" w:lastColumn="0" w:noHBand="0" w:noVBand="0"/>
        <w:tblDescription w:val="Indigenous Home Ownership deliverables targets"/>
      </w:tblPr>
      <w:tblGrid>
        <w:gridCol w:w="3107"/>
        <w:gridCol w:w="908"/>
        <w:gridCol w:w="909"/>
        <w:gridCol w:w="909"/>
        <w:gridCol w:w="909"/>
        <w:gridCol w:w="909"/>
      </w:tblGrid>
      <w:tr w:rsidR="00737E8F" w:rsidRPr="00893575" w:rsidTr="00D31999">
        <w:trPr>
          <w:trHeight w:val="225"/>
        </w:trPr>
        <w:tc>
          <w:tcPr>
            <w:tcW w:w="3107" w:type="dxa"/>
            <w:tcBorders>
              <w:top w:val="single" w:sz="2" w:space="0" w:color="auto"/>
              <w:left w:val="nil"/>
              <w:bottom w:val="single" w:sz="2" w:space="0" w:color="auto"/>
              <w:right w:val="nil"/>
            </w:tcBorders>
            <w:vAlign w:val="center"/>
          </w:tcPr>
          <w:p w:rsidR="00737E8F" w:rsidRPr="00893575" w:rsidRDefault="00737E8F" w:rsidP="00D3199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E6121A" w:rsidRPr="00893575" w:rsidTr="00E6121A">
        <w:trPr>
          <w:trHeight w:val="225"/>
        </w:trPr>
        <w:tc>
          <w:tcPr>
            <w:tcW w:w="3107" w:type="dxa"/>
            <w:tcBorders>
              <w:top w:val="nil"/>
              <w:left w:val="nil"/>
              <w:right w:val="nil"/>
            </w:tcBorders>
            <w:vAlign w:val="bottom"/>
          </w:tcPr>
          <w:p w:rsidR="00E6121A" w:rsidRPr="00E6121A" w:rsidRDefault="00E6121A" w:rsidP="001205C8">
            <w:pPr>
              <w:keepNext/>
              <w:autoSpaceDE w:val="0"/>
              <w:autoSpaceDN w:val="0"/>
              <w:adjustRightInd w:val="0"/>
              <w:spacing w:before="60" w:after="0" w:line="240" w:lineRule="auto"/>
              <w:jc w:val="left"/>
              <w:rPr>
                <w:rFonts w:ascii="Arial" w:hAnsi="Arial" w:cs="Arial"/>
                <w:color w:val="000000"/>
                <w:sz w:val="16"/>
                <w:szCs w:val="16"/>
              </w:rPr>
            </w:pPr>
            <w:r w:rsidRPr="00E6121A">
              <w:rPr>
                <w:rFonts w:ascii="Arial" w:hAnsi="Arial" w:cs="Arial"/>
                <w:color w:val="000000"/>
                <w:sz w:val="16"/>
                <w:szCs w:val="16"/>
              </w:rPr>
              <w:t>Number of new Home Loans</w:t>
            </w:r>
          </w:p>
        </w:tc>
        <w:tc>
          <w:tcPr>
            <w:tcW w:w="908" w:type="dxa"/>
            <w:tcBorders>
              <w:top w:val="nil"/>
              <w:left w:val="nil"/>
              <w:right w:val="nil"/>
            </w:tcBorders>
            <w:shd w:val="clear" w:color="auto" w:fill="auto"/>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645</w:t>
            </w:r>
          </w:p>
        </w:tc>
        <w:tc>
          <w:tcPr>
            <w:tcW w:w="909" w:type="dxa"/>
            <w:tcBorders>
              <w:top w:val="nil"/>
              <w:left w:val="nil"/>
              <w:right w:val="nil"/>
            </w:tcBorders>
            <w:shd w:val="clear" w:color="auto" w:fill="D9D9D9"/>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560</w:t>
            </w:r>
          </w:p>
        </w:tc>
        <w:tc>
          <w:tcPr>
            <w:tcW w:w="909" w:type="dxa"/>
            <w:tcBorders>
              <w:top w:val="nil"/>
              <w:left w:val="nil"/>
              <w:right w:val="nil"/>
            </w:tcBorders>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540</w:t>
            </w:r>
          </w:p>
        </w:tc>
        <w:tc>
          <w:tcPr>
            <w:tcW w:w="909" w:type="dxa"/>
            <w:tcBorders>
              <w:top w:val="nil"/>
              <w:left w:val="nil"/>
              <w:right w:val="nil"/>
            </w:tcBorders>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540</w:t>
            </w:r>
          </w:p>
        </w:tc>
        <w:tc>
          <w:tcPr>
            <w:tcW w:w="909" w:type="dxa"/>
            <w:tcBorders>
              <w:top w:val="nil"/>
              <w:left w:val="nil"/>
              <w:right w:val="nil"/>
            </w:tcBorders>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525</w:t>
            </w:r>
          </w:p>
        </w:tc>
      </w:tr>
      <w:tr w:rsidR="00E6121A" w:rsidRPr="00893575" w:rsidTr="00E6121A">
        <w:trPr>
          <w:trHeight w:val="225"/>
        </w:trPr>
        <w:tc>
          <w:tcPr>
            <w:tcW w:w="3107" w:type="dxa"/>
            <w:tcBorders>
              <w:top w:val="nil"/>
              <w:left w:val="nil"/>
              <w:bottom w:val="single" w:sz="4" w:space="0" w:color="auto"/>
              <w:right w:val="nil"/>
            </w:tcBorders>
            <w:vAlign w:val="bottom"/>
          </w:tcPr>
          <w:p w:rsidR="00E6121A" w:rsidRPr="00E6121A" w:rsidRDefault="00E6121A" w:rsidP="001205C8">
            <w:pPr>
              <w:keepNext/>
              <w:autoSpaceDE w:val="0"/>
              <w:autoSpaceDN w:val="0"/>
              <w:adjustRightInd w:val="0"/>
              <w:spacing w:before="60" w:after="0" w:line="240" w:lineRule="auto"/>
              <w:jc w:val="left"/>
              <w:rPr>
                <w:rFonts w:ascii="Arial" w:hAnsi="Arial" w:cs="Arial"/>
                <w:color w:val="000000"/>
                <w:sz w:val="16"/>
                <w:szCs w:val="16"/>
              </w:rPr>
            </w:pPr>
            <w:r w:rsidRPr="00E6121A">
              <w:rPr>
                <w:rFonts w:ascii="Arial" w:hAnsi="Arial" w:cs="Arial"/>
                <w:color w:val="000000"/>
                <w:sz w:val="16"/>
                <w:szCs w:val="16"/>
              </w:rPr>
              <w:t>Aggregate loans in the portfolio</w:t>
            </w:r>
          </w:p>
        </w:tc>
        <w:tc>
          <w:tcPr>
            <w:tcW w:w="908" w:type="dxa"/>
            <w:tcBorders>
              <w:top w:val="nil"/>
              <w:left w:val="nil"/>
              <w:bottom w:val="single" w:sz="4" w:space="0" w:color="auto"/>
              <w:right w:val="nil"/>
            </w:tcBorders>
            <w:shd w:val="clear" w:color="auto" w:fill="auto"/>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4,095</w:t>
            </w:r>
          </w:p>
        </w:tc>
        <w:tc>
          <w:tcPr>
            <w:tcW w:w="909" w:type="dxa"/>
            <w:tcBorders>
              <w:top w:val="nil"/>
              <w:left w:val="nil"/>
              <w:bottom w:val="single" w:sz="4" w:space="0" w:color="auto"/>
              <w:right w:val="nil"/>
            </w:tcBorders>
            <w:shd w:val="clear" w:color="auto" w:fill="D9D9D9"/>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4,325</w:t>
            </w:r>
          </w:p>
        </w:tc>
        <w:tc>
          <w:tcPr>
            <w:tcW w:w="909" w:type="dxa"/>
            <w:tcBorders>
              <w:top w:val="nil"/>
              <w:left w:val="nil"/>
              <w:bottom w:val="single" w:sz="4" w:space="0" w:color="auto"/>
              <w:right w:val="nil"/>
            </w:tcBorders>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4,525</w:t>
            </w:r>
          </w:p>
        </w:tc>
        <w:tc>
          <w:tcPr>
            <w:tcW w:w="909" w:type="dxa"/>
            <w:tcBorders>
              <w:top w:val="nil"/>
              <w:left w:val="nil"/>
              <w:bottom w:val="single" w:sz="4" w:space="0" w:color="auto"/>
              <w:right w:val="nil"/>
            </w:tcBorders>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4,705</w:t>
            </w:r>
          </w:p>
        </w:tc>
        <w:tc>
          <w:tcPr>
            <w:tcW w:w="909" w:type="dxa"/>
            <w:tcBorders>
              <w:top w:val="nil"/>
              <w:left w:val="nil"/>
              <w:bottom w:val="single" w:sz="4" w:space="0" w:color="auto"/>
              <w:right w:val="nil"/>
            </w:tcBorders>
            <w:vAlign w:val="bottom"/>
          </w:tcPr>
          <w:p w:rsidR="00E6121A" w:rsidRPr="00E6121A" w:rsidRDefault="00E6121A" w:rsidP="001205C8">
            <w:pPr>
              <w:keepNext/>
              <w:autoSpaceDE w:val="0"/>
              <w:autoSpaceDN w:val="0"/>
              <w:adjustRightInd w:val="0"/>
              <w:spacing w:before="60" w:after="0" w:line="240" w:lineRule="auto"/>
              <w:jc w:val="right"/>
              <w:rPr>
                <w:rFonts w:ascii="Arial" w:hAnsi="Arial" w:cs="Arial"/>
                <w:sz w:val="16"/>
                <w:szCs w:val="16"/>
              </w:rPr>
            </w:pPr>
            <w:r w:rsidRPr="00E6121A">
              <w:rPr>
                <w:rFonts w:ascii="Arial" w:hAnsi="Arial" w:cs="Arial"/>
                <w:sz w:val="16"/>
                <w:szCs w:val="16"/>
              </w:rPr>
              <w:t>4,880</w:t>
            </w:r>
          </w:p>
        </w:tc>
      </w:tr>
    </w:tbl>
    <w:p w:rsidR="00737E8F" w:rsidRPr="00EE1AB7" w:rsidRDefault="00737E8F" w:rsidP="00737E8F"/>
    <w:p w:rsidR="00737E8F" w:rsidRDefault="00737E8F" w:rsidP="00DE527E">
      <w:pPr>
        <w:pStyle w:val="Heading7"/>
      </w:pPr>
      <w:r w:rsidRPr="00C33538">
        <w:t xml:space="preserve">Program </w:t>
      </w:r>
      <w:r>
        <w:t xml:space="preserve">1.2 </w:t>
      </w:r>
      <w:r w:rsidR="00114603">
        <w:t>key performance indicators</w:t>
      </w:r>
    </w:p>
    <w:p w:rsidR="00737E8F" w:rsidRDefault="00E6121A" w:rsidP="00E6121A">
      <w:pPr>
        <w:pStyle w:val="NormalBox"/>
      </w:pPr>
      <w:r w:rsidRPr="00E6121A">
        <w:t>The key performance indicators measure the success of the program in targeting lending and assistance to customers as appropriate to their circumstances and need and the facilitation of home ownership in remote Indigenous communities.</w:t>
      </w:r>
    </w:p>
    <w:p w:rsidR="00737E8F" w:rsidRDefault="00E6121A" w:rsidP="00737E8F">
      <w:pPr>
        <w:pStyle w:val="TableHeading"/>
      </w:pPr>
      <w:r w:rsidRPr="00E6121A">
        <w:t>Indigenous Home Ownership</w:t>
      </w:r>
      <w:r w:rsidR="00737E8F">
        <w:t xml:space="preserve"> </w:t>
      </w:r>
      <w:r w:rsidR="00114603">
        <w:t>key performance indicators</w:t>
      </w:r>
    </w:p>
    <w:tbl>
      <w:tblPr>
        <w:tblW w:w="7651" w:type="dxa"/>
        <w:tblInd w:w="40" w:type="dxa"/>
        <w:tblCellMar>
          <w:top w:w="57" w:type="dxa"/>
          <w:left w:w="30" w:type="dxa"/>
          <w:bottom w:w="57" w:type="dxa"/>
          <w:right w:w="30" w:type="dxa"/>
        </w:tblCellMar>
        <w:tblLook w:val="0000" w:firstRow="0" w:lastRow="0" w:firstColumn="0" w:lastColumn="0" w:noHBand="0" w:noVBand="0"/>
        <w:tblDescription w:val="Indigenous Home Ownership key performance indicators"/>
      </w:tblPr>
      <w:tblGrid>
        <w:gridCol w:w="3107"/>
        <w:gridCol w:w="908"/>
        <w:gridCol w:w="909"/>
        <w:gridCol w:w="909"/>
        <w:gridCol w:w="909"/>
        <w:gridCol w:w="909"/>
      </w:tblGrid>
      <w:tr w:rsidR="00737E8F" w:rsidRPr="00893575" w:rsidTr="00D31999">
        <w:trPr>
          <w:trHeight w:val="225"/>
        </w:trPr>
        <w:tc>
          <w:tcPr>
            <w:tcW w:w="3107" w:type="dxa"/>
            <w:tcBorders>
              <w:top w:val="single" w:sz="2" w:space="0" w:color="auto"/>
              <w:left w:val="nil"/>
              <w:bottom w:val="single" w:sz="2" w:space="0" w:color="auto"/>
              <w:right w:val="nil"/>
            </w:tcBorders>
            <w:vAlign w:val="center"/>
          </w:tcPr>
          <w:p w:rsidR="00737E8F" w:rsidRPr="00893575" w:rsidRDefault="00737E8F" w:rsidP="00D3199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E6121A" w:rsidRPr="00893575" w:rsidTr="00E6121A">
        <w:trPr>
          <w:trHeight w:val="225"/>
        </w:trPr>
        <w:tc>
          <w:tcPr>
            <w:tcW w:w="3107" w:type="dxa"/>
            <w:tcBorders>
              <w:top w:val="nil"/>
              <w:left w:val="nil"/>
              <w:right w:val="nil"/>
            </w:tcBorders>
          </w:tcPr>
          <w:p w:rsidR="00E6121A" w:rsidRPr="00E6121A" w:rsidRDefault="00E6121A" w:rsidP="001205C8">
            <w:pPr>
              <w:keepNext/>
              <w:autoSpaceDE w:val="0"/>
              <w:autoSpaceDN w:val="0"/>
              <w:adjustRightInd w:val="0"/>
              <w:spacing w:before="60" w:after="0" w:line="240" w:lineRule="auto"/>
              <w:jc w:val="left"/>
              <w:rPr>
                <w:rFonts w:ascii="Arial" w:hAnsi="Arial" w:cs="Arial"/>
                <w:color w:val="000000"/>
                <w:sz w:val="16"/>
                <w:szCs w:val="16"/>
              </w:rPr>
            </w:pPr>
            <w:r w:rsidRPr="00E6121A">
              <w:rPr>
                <w:rFonts w:ascii="Arial" w:hAnsi="Arial" w:cs="Arial"/>
                <w:color w:val="000000"/>
                <w:sz w:val="16"/>
                <w:szCs w:val="16"/>
              </w:rPr>
              <w:t>Number of loans to applicants who have an adjusted combined gross annual income of not more than 125% of IBA's Income Amount</w:t>
            </w:r>
            <w:r>
              <w:rPr>
                <w:rStyle w:val="FootnoteReference"/>
                <w:rFonts w:cs="Arial"/>
                <w:color w:val="000000"/>
                <w:szCs w:val="16"/>
              </w:rPr>
              <w:footnoteReference w:id="49"/>
            </w:r>
          </w:p>
        </w:tc>
        <w:tc>
          <w:tcPr>
            <w:tcW w:w="908" w:type="dxa"/>
            <w:tcBorders>
              <w:top w:val="nil"/>
              <w:left w:val="nil"/>
              <w:right w:val="nil"/>
            </w:tcBorders>
            <w:shd w:val="clear" w:color="auto" w:fill="auto"/>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85% of loans</w:t>
            </w:r>
          </w:p>
        </w:tc>
        <w:tc>
          <w:tcPr>
            <w:tcW w:w="909" w:type="dxa"/>
            <w:tcBorders>
              <w:top w:val="nil"/>
              <w:left w:val="nil"/>
              <w:right w:val="nil"/>
            </w:tcBorders>
            <w:shd w:val="clear" w:color="auto" w:fill="D9D9D9"/>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80% of loans</w:t>
            </w:r>
          </w:p>
        </w:tc>
        <w:tc>
          <w:tcPr>
            <w:tcW w:w="909" w:type="dxa"/>
            <w:tcBorders>
              <w:top w:val="nil"/>
              <w:left w:val="nil"/>
              <w:right w:val="nil"/>
            </w:tcBorders>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80% of loans</w:t>
            </w:r>
          </w:p>
        </w:tc>
        <w:tc>
          <w:tcPr>
            <w:tcW w:w="909" w:type="dxa"/>
            <w:tcBorders>
              <w:top w:val="nil"/>
              <w:left w:val="nil"/>
              <w:right w:val="nil"/>
            </w:tcBorders>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80% of loans</w:t>
            </w:r>
          </w:p>
        </w:tc>
        <w:tc>
          <w:tcPr>
            <w:tcW w:w="909" w:type="dxa"/>
            <w:tcBorders>
              <w:top w:val="nil"/>
              <w:left w:val="nil"/>
              <w:right w:val="nil"/>
            </w:tcBorders>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80% of loans</w:t>
            </w:r>
          </w:p>
        </w:tc>
      </w:tr>
      <w:tr w:rsidR="00E6121A" w:rsidRPr="00893575" w:rsidTr="00E6121A">
        <w:trPr>
          <w:trHeight w:val="225"/>
        </w:trPr>
        <w:tc>
          <w:tcPr>
            <w:tcW w:w="3107" w:type="dxa"/>
            <w:tcBorders>
              <w:top w:val="nil"/>
              <w:left w:val="nil"/>
              <w:right w:val="nil"/>
            </w:tcBorders>
          </w:tcPr>
          <w:p w:rsidR="00E6121A" w:rsidRPr="00E6121A" w:rsidRDefault="00E6121A" w:rsidP="001205C8">
            <w:pPr>
              <w:keepNext/>
              <w:autoSpaceDE w:val="0"/>
              <w:autoSpaceDN w:val="0"/>
              <w:adjustRightInd w:val="0"/>
              <w:spacing w:before="60" w:after="0" w:line="240" w:lineRule="auto"/>
              <w:jc w:val="left"/>
              <w:rPr>
                <w:rFonts w:ascii="Arial" w:hAnsi="Arial" w:cs="Arial"/>
                <w:color w:val="000000"/>
                <w:sz w:val="16"/>
                <w:szCs w:val="16"/>
              </w:rPr>
            </w:pPr>
            <w:r w:rsidRPr="00E6121A">
              <w:rPr>
                <w:rFonts w:ascii="Arial" w:hAnsi="Arial" w:cs="Arial"/>
                <w:color w:val="000000"/>
                <w:sz w:val="16"/>
                <w:szCs w:val="16"/>
              </w:rPr>
              <w:t>Number of loans to applicants who are first home buyers</w:t>
            </w:r>
          </w:p>
        </w:tc>
        <w:tc>
          <w:tcPr>
            <w:tcW w:w="908" w:type="dxa"/>
            <w:tcBorders>
              <w:top w:val="nil"/>
              <w:left w:val="nil"/>
              <w:right w:val="nil"/>
            </w:tcBorders>
            <w:shd w:val="clear" w:color="auto" w:fill="auto"/>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90% of loans</w:t>
            </w:r>
          </w:p>
        </w:tc>
        <w:tc>
          <w:tcPr>
            <w:tcW w:w="909" w:type="dxa"/>
            <w:tcBorders>
              <w:top w:val="nil"/>
              <w:left w:val="nil"/>
              <w:right w:val="nil"/>
            </w:tcBorders>
            <w:shd w:val="clear" w:color="auto" w:fill="D9D9D9"/>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90% of loans</w:t>
            </w:r>
          </w:p>
        </w:tc>
        <w:tc>
          <w:tcPr>
            <w:tcW w:w="909" w:type="dxa"/>
            <w:tcBorders>
              <w:top w:val="nil"/>
              <w:left w:val="nil"/>
              <w:right w:val="nil"/>
            </w:tcBorders>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90% of loans</w:t>
            </w:r>
          </w:p>
        </w:tc>
        <w:tc>
          <w:tcPr>
            <w:tcW w:w="909" w:type="dxa"/>
            <w:tcBorders>
              <w:top w:val="nil"/>
              <w:left w:val="nil"/>
              <w:right w:val="nil"/>
            </w:tcBorders>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90% of loans</w:t>
            </w:r>
          </w:p>
        </w:tc>
        <w:tc>
          <w:tcPr>
            <w:tcW w:w="909" w:type="dxa"/>
            <w:tcBorders>
              <w:top w:val="nil"/>
              <w:left w:val="nil"/>
              <w:right w:val="nil"/>
            </w:tcBorders>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90% of loans</w:t>
            </w:r>
          </w:p>
        </w:tc>
      </w:tr>
      <w:tr w:rsidR="00E6121A" w:rsidRPr="00893575" w:rsidTr="00E6121A">
        <w:trPr>
          <w:trHeight w:val="225"/>
        </w:trPr>
        <w:tc>
          <w:tcPr>
            <w:tcW w:w="3107" w:type="dxa"/>
            <w:tcBorders>
              <w:top w:val="nil"/>
              <w:left w:val="nil"/>
              <w:bottom w:val="single" w:sz="4" w:space="0" w:color="auto"/>
              <w:right w:val="nil"/>
            </w:tcBorders>
          </w:tcPr>
          <w:p w:rsidR="00E6121A" w:rsidRPr="00E6121A" w:rsidRDefault="00E6121A" w:rsidP="001205C8">
            <w:pPr>
              <w:keepNext/>
              <w:autoSpaceDE w:val="0"/>
              <w:autoSpaceDN w:val="0"/>
              <w:adjustRightInd w:val="0"/>
              <w:spacing w:before="60" w:after="0" w:line="240" w:lineRule="auto"/>
              <w:jc w:val="left"/>
              <w:rPr>
                <w:rFonts w:ascii="Arial" w:hAnsi="Arial" w:cs="Arial"/>
                <w:color w:val="000000"/>
                <w:sz w:val="16"/>
                <w:szCs w:val="16"/>
              </w:rPr>
            </w:pPr>
            <w:r w:rsidRPr="00E6121A">
              <w:rPr>
                <w:rFonts w:ascii="Arial" w:hAnsi="Arial" w:cs="Arial"/>
                <w:color w:val="000000"/>
                <w:sz w:val="16"/>
                <w:szCs w:val="16"/>
              </w:rPr>
              <w:t>Number of remote Indigenous communities in which IBA is actively facilitating home ownership opportunities</w:t>
            </w:r>
          </w:p>
        </w:tc>
        <w:tc>
          <w:tcPr>
            <w:tcW w:w="908" w:type="dxa"/>
            <w:tcBorders>
              <w:top w:val="nil"/>
              <w:left w:val="nil"/>
              <w:bottom w:val="single" w:sz="4" w:space="0" w:color="auto"/>
              <w:right w:val="nil"/>
            </w:tcBorders>
            <w:shd w:val="clear" w:color="auto" w:fill="auto"/>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8</w:t>
            </w:r>
          </w:p>
        </w:tc>
        <w:tc>
          <w:tcPr>
            <w:tcW w:w="909" w:type="dxa"/>
            <w:tcBorders>
              <w:top w:val="nil"/>
              <w:left w:val="nil"/>
              <w:bottom w:val="single" w:sz="4" w:space="0" w:color="auto"/>
              <w:right w:val="nil"/>
            </w:tcBorders>
            <w:shd w:val="clear" w:color="auto" w:fill="D9D9D9"/>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10</w:t>
            </w:r>
          </w:p>
        </w:tc>
        <w:tc>
          <w:tcPr>
            <w:tcW w:w="909" w:type="dxa"/>
            <w:tcBorders>
              <w:top w:val="nil"/>
              <w:left w:val="nil"/>
              <w:bottom w:val="single" w:sz="4" w:space="0" w:color="auto"/>
              <w:right w:val="nil"/>
            </w:tcBorders>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12</w:t>
            </w:r>
          </w:p>
        </w:tc>
        <w:tc>
          <w:tcPr>
            <w:tcW w:w="909" w:type="dxa"/>
            <w:tcBorders>
              <w:top w:val="nil"/>
              <w:left w:val="nil"/>
              <w:bottom w:val="single" w:sz="4" w:space="0" w:color="auto"/>
              <w:right w:val="nil"/>
            </w:tcBorders>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12</w:t>
            </w:r>
          </w:p>
        </w:tc>
        <w:tc>
          <w:tcPr>
            <w:tcW w:w="909" w:type="dxa"/>
            <w:tcBorders>
              <w:top w:val="nil"/>
              <w:left w:val="nil"/>
              <w:bottom w:val="single" w:sz="4" w:space="0" w:color="auto"/>
              <w:right w:val="nil"/>
            </w:tcBorders>
            <w:vAlign w:val="bottom"/>
          </w:tcPr>
          <w:p w:rsidR="00E6121A" w:rsidRPr="00E6121A" w:rsidRDefault="00E6121A" w:rsidP="00E6121A">
            <w:pPr>
              <w:keepNext/>
              <w:autoSpaceDE w:val="0"/>
              <w:autoSpaceDN w:val="0"/>
              <w:adjustRightInd w:val="0"/>
              <w:spacing w:after="0" w:line="240" w:lineRule="auto"/>
              <w:jc w:val="right"/>
              <w:rPr>
                <w:rFonts w:ascii="Arial" w:hAnsi="Arial" w:cs="Arial"/>
                <w:sz w:val="16"/>
                <w:szCs w:val="16"/>
              </w:rPr>
            </w:pPr>
            <w:r w:rsidRPr="00E6121A">
              <w:rPr>
                <w:rFonts w:ascii="Arial" w:hAnsi="Arial" w:cs="Arial"/>
                <w:sz w:val="16"/>
                <w:szCs w:val="16"/>
              </w:rPr>
              <w:t>12</w:t>
            </w:r>
          </w:p>
        </w:tc>
      </w:tr>
    </w:tbl>
    <w:p w:rsidR="00DE527E" w:rsidRDefault="00DE527E" w:rsidP="00737E8F">
      <w:pPr>
        <w:jc w:val="left"/>
      </w:pPr>
    </w:p>
    <w:p w:rsidR="00737E8F" w:rsidRDefault="00DE527E" w:rsidP="00737E8F">
      <w:pPr>
        <w:jc w:val="left"/>
      </w:pPr>
      <w:r>
        <w:br w:type="page"/>
      </w:r>
    </w:p>
    <w:p w:rsidR="00E6121A" w:rsidRDefault="00E6121A" w:rsidP="00DE527E">
      <w:pPr>
        <w:pStyle w:val="Heading6"/>
      </w:pPr>
      <w:r w:rsidRPr="00E6121A">
        <w:t>Program 1.3: Business Development and Assistance</w:t>
      </w:r>
    </w:p>
    <w:p w:rsidR="00E6121A" w:rsidRDefault="00E6121A" w:rsidP="00E6121A">
      <w:pPr>
        <w:pStyle w:val="SinglePara"/>
      </w:pPr>
    </w:p>
    <w:p w:rsidR="00E6121A" w:rsidRDefault="00E6121A" w:rsidP="00DE527E">
      <w:pPr>
        <w:pStyle w:val="Heading7"/>
      </w:pPr>
      <w:r>
        <w:t>Program 1.3 Objective</w:t>
      </w:r>
    </w:p>
    <w:p w:rsidR="00E11D86" w:rsidRDefault="00E11D86" w:rsidP="00E11D86">
      <w:pPr>
        <w:pStyle w:val="NormalBox"/>
      </w:pPr>
      <w:r>
        <w:t xml:space="preserve">The Business Development and Assistance Program objective is to assist eligible Aboriginal and Torres Strait Islander peoples to start up, acquire, grow or exit a successful business. </w:t>
      </w:r>
    </w:p>
    <w:p w:rsidR="00E6121A" w:rsidRDefault="00E11D86" w:rsidP="00E11D86">
      <w:pPr>
        <w:pStyle w:val="NormalBox"/>
      </w:pPr>
      <w:r>
        <w:t>This objective is achieved primarily through the provision of concessional business loans and support services. IBA also supports economic and business development initiatives that seek to promote business ownership or development opportunities.</w:t>
      </w:r>
    </w:p>
    <w:p w:rsidR="00E11D86" w:rsidRDefault="00E11D86" w:rsidP="00E11D86">
      <w:pPr>
        <w:rPr>
          <w:lang w:val="en-GB"/>
        </w:rPr>
      </w:pPr>
    </w:p>
    <w:p w:rsidR="00E11D86" w:rsidRDefault="00E11D86" w:rsidP="00DE527E">
      <w:pPr>
        <w:pStyle w:val="Heading7"/>
      </w:pPr>
      <w:r>
        <w:t>Program 1.3 expenses</w:t>
      </w:r>
    </w:p>
    <w:p w:rsidR="00E11D86" w:rsidRDefault="00E11D86" w:rsidP="00E11D86">
      <w:pPr>
        <w:pStyle w:val="NormalBox"/>
      </w:pPr>
      <w:r w:rsidRPr="00E11D86">
        <w:t>Program expenses are expected to remain relatively constant for the foreseeable future.</w:t>
      </w:r>
    </w:p>
    <w:p w:rsidR="00E11D86" w:rsidRDefault="00E11D86" w:rsidP="00E11D86">
      <w:pPr>
        <w:pStyle w:val="TableHeading"/>
        <w:rPr>
          <w:lang w:val="en-GB"/>
        </w:rPr>
      </w:pPr>
      <w:r w:rsidRPr="00E11D86">
        <w:rPr>
          <w:lang w:val="en-GB"/>
        </w:rPr>
        <w:t>Table 2.1.3: Budgeted expenses for Business Development and Assistance</w:t>
      </w:r>
    </w:p>
    <w:p w:rsidR="00E11D86" w:rsidRDefault="00304174" w:rsidP="00E11D86">
      <w:pPr>
        <w:pStyle w:val="TableGraphic"/>
        <w:rPr>
          <w:lang w:val="en-GB"/>
        </w:rPr>
      </w:pPr>
      <w:r>
        <w:rPr>
          <w:noProof/>
        </w:rPr>
        <w:drawing>
          <wp:inline distT="0" distB="0" distL="0" distR="0" wp14:anchorId="0B7A6B66" wp14:editId="7276CF50">
            <wp:extent cx="4878705" cy="952482"/>
            <wp:effectExtent l="0" t="0" r="0" b="635"/>
            <wp:docPr id="107" name="Picture 107" descr="Table 2.1.3: Budgeted expenses for Business Development and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878705" cy="952482"/>
                    </a:xfrm>
                    <a:prstGeom prst="rect">
                      <a:avLst/>
                    </a:prstGeom>
                    <a:noFill/>
                    <a:ln>
                      <a:noFill/>
                    </a:ln>
                  </pic:spPr>
                </pic:pic>
              </a:graphicData>
            </a:graphic>
          </wp:inline>
        </w:drawing>
      </w:r>
    </w:p>
    <w:p w:rsidR="00E11D86" w:rsidRDefault="00E11D86" w:rsidP="00DE527E">
      <w:pPr>
        <w:pStyle w:val="Heading7"/>
      </w:pPr>
      <w:r>
        <w:br w:type="page"/>
      </w:r>
      <w:r>
        <w:lastRenderedPageBreak/>
        <w:t>Program 1.3 deliverables</w:t>
      </w:r>
    </w:p>
    <w:p w:rsidR="00E11D86" w:rsidRDefault="00E11D86" w:rsidP="00E11D86">
      <w:pPr>
        <w:pStyle w:val="NormalBox"/>
      </w:pPr>
      <w:r>
        <w:t>The success of this outcome is indicated through the deliverables below.</w:t>
      </w:r>
    </w:p>
    <w:p w:rsidR="00E11D86" w:rsidRDefault="00E11D86" w:rsidP="00E11D86">
      <w:pPr>
        <w:pStyle w:val="NormalBox"/>
      </w:pPr>
      <w:r>
        <w:t>IBA works closely with business owners to transition into the broader economy and financial sector. The net impact of this strategy will see the number of loans in the portfolio remain stable in future years.</w:t>
      </w:r>
    </w:p>
    <w:p w:rsidR="00E11D86" w:rsidRDefault="00E11D86" w:rsidP="00E11D86">
      <w:pPr>
        <w:pStyle w:val="TableHeading"/>
        <w:rPr>
          <w:lang w:val="en-GB"/>
        </w:rPr>
      </w:pPr>
      <w:r w:rsidRPr="00E11D86">
        <w:rPr>
          <w:lang w:val="en-GB"/>
        </w:rPr>
        <w:t>Business Development and Assistance deliverables targets</w:t>
      </w:r>
    </w:p>
    <w:tbl>
      <w:tblPr>
        <w:tblW w:w="7651" w:type="dxa"/>
        <w:tblInd w:w="40" w:type="dxa"/>
        <w:tblCellMar>
          <w:top w:w="57" w:type="dxa"/>
          <w:left w:w="30" w:type="dxa"/>
          <w:bottom w:w="57" w:type="dxa"/>
          <w:right w:w="30" w:type="dxa"/>
        </w:tblCellMar>
        <w:tblLook w:val="0000" w:firstRow="0" w:lastRow="0" w:firstColumn="0" w:lastColumn="0" w:noHBand="0" w:noVBand="0"/>
        <w:tblDescription w:val="Business Development and Assistance deliverables targets"/>
      </w:tblPr>
      <w:tblGrid>
        <w:gridCol w:w="3107"/>
        <w:gridCol w:w="908"/>
        <w:gridCol w:w="909"/>
        <w:gridCol w:w="909"/>
        <w:gridCol w:w="909"/>
        <w:gridCol w:w="909"/>
      </w:tblGrid>
      <w:tr w:rsidR="00E11D86" w:rsidRPr="00893575" w:rsidTr="00ED5D55">
        <w:trPr>
          <w:trHeight w:val="225"/>
        </w:trPr>
        <w:tc>
          <w:tcPr>
            <w:tcW w:w="3107" w:type="dxa"/>
            <w:tcBorders>
              <w:top w:val="single" w:sz="2" w:space="0" w:color="auto"/>
              <w:left w:val="nil"/>
              <w:bottom w:val="single" w:sz="2" w:space="0" w:color="auto"/>
              <w:right w:val="nil"/>
            </w:tcBorders>
            <w:vAlign w:val="center"/>
          </w:tcPr>
          <w:p w:rsidR="00E11D86" w:rsidRPr="00893575" w:rsidRDefault="00E11D86" w:rsidP="00ED5D55">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new loans approved (including split loans with other lenders)</w:t>
            </w:r>
          </w:p>
        </w:tc>
        <w:tc>
          <w:tcPr>
            <w:tcW w:w="908" w:type="dxa"/>
            <w:tcBorders>
              <w:top w:val="nil"/>
              <w:left w:val="nil"/>
              <w:right w:val="nil"/>
            </w:tcBorders>
            <w:shd w:val="clear" w:color="auto" w:fill="auto"/>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w:t>
            </w:r>
          </w:p>
        </w:tc>
        <w:tc>
          <w:tcPr>
            <w:tcW w:w="909" w:type="dxa"/>
            <w:tcBorders>
              <w:top w:val="nil"/>
              <w:left w:val="nil"/>
              <w:right w:val="nil"/>
            </w:tcBorders>
            <w:shd w:val="clear" w:color="auto" w:fill="D9D9D9"/>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80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85</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90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90</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new loans facilitated with other lenders in the broader economy (e.g. banks)</w:t>
            </w:r>
            <w:r>
              <w:rPr>
                <w:rStyle w:val="FootnoteReference"/>
                <w:rFonts w:cs="Arial"/>
                <w:color w:val="000000"/>
                <w:szCs w:val="16"/>
              </w:rPr>
              <w:footnoteReference w:id="50"/>
            </w:r>
          </w:p>
        </w:tc>
        <w:tc>
          <w:tcPr>
            <w:tcW w:w="908" w:type="dxa"/>
            <w:tcBorders>
              <w:top w:val="nil"/>
              <w:left w:val="nil"/>
              <w:right w:val="nil"/>
            </w:tcBorders>
            <w:shd w:val="clear" w:color="auto" w:fill="auto"/>
            <w:vAlign w:val="bottom"/>
          </w:tcPr>
          <w:p w:rsidR="00E11D86" w:rsidRPr="00E11D86" w:rsidRDefault="00FB4BFC" w:rsidP="00E11D86">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w:t>
            </w:r>
          </w:p>
        </w:tc>
        <w:tc>
          <w:tcPr>
            <w:tcW w:w="909" w:type="dxa"/>
            <w:tcBorders>
              <w:top w:val="nil"/>
              <w:left w:val="nil"/>
              <w:right w:val="nil"/>
            </w:tcBorders>
            <w:shd w:val="clear" w:color="auto" w:fill="D9D9D9"/>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10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15</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20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25</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businesses or prospective businesses provided with business advice or support</w:t>
            </w:r>
          </w:p>
        </w:tc>
        <w:tc>
          <w:tcPr>
            <w:tcW w:w="908" w:type="dxa"/>
            <w:tcBorders>
              <w:top w:val="nil"/>
              <w:left w:val="nil"/>
              <w:right w:val="nil"/>
            </w:tcBorders>
            <w:shd w:val="clear" w:color="auto" w:fill="auto"/>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485</w:t>
            </w:r>
          </w:p>
        </w:tc>
        <w:tc>
          <w:tcPr>
            <w:tcW w:w="909" w:type="dxa"/>
            <w:tcBorders>
              <w:top w:val="nil"/>
              <w:left w:val="nil"/>
              <w:right w:val="nil"/>
            </w:tcBorders>
            <w:shd w:val="clear" w:color="auto" w:fill="D9D9D9"/>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490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495</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500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500</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participants that attended into business workshops</w:t>
            </w:r>
          </w:p>
        </w:tc>
        <w:tc>
          <w:tcPr>
            <w:tcW w:w="908" w:type="dxa"/>
            <w:tcBorders>
              <w:top w:val="nil"/>
              <w:left w:val="nil"/>
              <w:right w:val="nil"/>
            </w:tcBorders>
            <w:shd w:val="clear" w:color="auto" w:fill="auto"/>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750</w:t>
            </w:r>
          </w:p>
        </w:tc>
        <w:tc>
          <w:tcPr>
            <w:tcW w:w="909" w:type="dxa"/>
            <w:tcBorders>
              <w:top w:val="nil"/>
              <w:left w:val="nil"/>
              <w:right w:val="nil"/>
            </w:tcBorders>
            <w:shd w:val="clear" w:color="auto" w:fill="D9D9D9"/>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750</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Strategic Economic Development Initiatives</w:t>
            </w:r>
          </w:p>
        </w:tc>
        <w:tc>
          <w:tcPr>
            <w:tcW w:w="908" w:type="dxa"/>
            <w:tcBorders>
              <w:top w:val="nil"/>
              <w:left w:val="nil"/>
              <w:right w:val="nil"/>
            </w:tcBorders>
            <w:shd w:val="clear" w:color="auto" w:fill="auto"/>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15</w:t>
            </w:r>
          </w:p>
        </w:tc>
        <w:tc>
          <w:tcPr>
            <w:tcW w:w="909" w:type="dxa"/>
            <w:tcBorders>
              <w:top w:val="nil"/>
              <w:left w:val="nil"/>
              <w:right w:val="nil"/>
            </w:tcBorders>
            <w:shd w:val="clear" w:color="auto" w:fill="D9D9D9"/>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15</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15</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15</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15</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Business Development Initiatives</w:t>
            </w:r>
          </w:p>
        </w:tc>
        <w:tc>
          <w:tcPr>
            <w:tcW w:w="908" w:type="dxa"/>
            <w:tcBorders>
              <w:top w:val="nil"/>
              <w:left w:val="nil"/>
              <w:right w:val="nil"/>
            </w:tcBorders>
            <w:shd w:val="clear" w:color="auto" w:fill="auto"/>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25</w:t>
            </w:r>
          </w:p>
        </w:tc>
        <w:tc>
          <w:tcPr>
            <w:tcW w:w="909" w:type="dxa"/>
            <w:tcBorders>
              <w:top w:val="nil"/>
              <w:left w:val="nil"/>
              <w:right w:val="nil"/>
            </w:tcBorders>
            <w:shd w:val="clear" w:color="auto" w:fill="D9D9D9"/>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35</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35</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jobs created/supported through new IBA loan funding</w:t>
            </w:r>
            <w:r>
              <w:rPr>
                <w:rStyle w:val="FootnoteReference"/>
                <w:rFonts w:cs="Arial"/>
                <w:color w:val="000000"/>
                <w:szCs w:val="16"/>
              </w:rPr>
              <w:footnoteReference w:id="51"/>
            </w:r>
          </w:p>
        </w:tc>
        <w:tc>
          <w:tcPr>
            <w:tcW w:w="908" w:type="dxa"/>
            <w:tcBorders>
              <w:top w:val="nil"/>
              <w:left w:val="nil"/>
              <w:right w:val="nil"/>
            </w:tcBorders>
            <w:shd w:val="clear" w:color="auto" w:fill="auto"/>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230</w:t>
            </w:r>
          </w:p>
        </w:tc>
        <w:tc>
          <w:tcPr>
            <w:tcW w:w="909" w:type="dxa"/>
            <w:tcBorders>
              <w:top w:val="nil"/>
              <w:left w:val="nil"/>
              <w:right w:val="nil"/>
            </w:tcBorders>
            <w:shd w:val="clear" w:color="auto" w:fill="D9D9D9"/>
            <w:vAlign w:val="bottom"/>
          </w:tcPr>
          <w:p w:rsidR="00E11D86" w:rsidRPr="00E11D86" w:rsidRDefault="00FB4BFC" w:rsidP="00E11D86">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w:t>
            </w:r>
          </w:p>
        </w:tc>
        <w:tc>
          <w:tcPr>
            <w:tcW w:w="909" w:type="dxa"/>
            <w:tcBorders>
              <w:top w:val="nil"/>
              <w:left w:val="nil"/>
              <w:right w:val="nil"/>
            </w:tcBorders>
            <w:vAlign w:val="bottom"/>
          </w:tcPr>
          <w:p w:rsidR="00E11D86" w:rsidRPr="00E11D86" w:rsidRDefault="00FB4BFC" w:rsidP="00E11D86">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w:t>
            </w:r>
          </w:p>
        </w:tc>
        <w:tc>
          <w:tcPr>
            <w:tcW w:w="909" w:type="dxa"/>
            <w:tcBorders>
              <w:top w:val="nil"/>
              <w:left w:val="nil"/>
              <w:right w:val="nil"/>
            </w:tcBorders>
            <w:vAlign w:val="bottom"/>
          </w:tcPr>
          <w:p w:rsidR="00E11D86" w:rsidRPr="00E11D86" w:rsidRDefault="00FB4BFC" w:rsidP="00E11D86">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w:t>
            </w:r>
          </w:p>
        </w:tc>
        <w:tc>
          <w:tcPr>
            <w:tcW w:w="909" w:type="dxa"/>
            <w:tcBorders>
              <w:top w:val="nil"/>
              <w:left w:val="nil"/>
              <w:right w:val="nil"/>
            </w:tcBorders>
            <w:vAlign w:val="bottom"/>
          </w:tcPr>
          <w:p w:rsidR="00E11D86" w:rsidRPr="00E11D86" w:rsidRDefault="00FB4BFC" w:rsidP="00E11D86">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jobs supported by IBA business loan clients</w:t>
            </w:r>
            <w:r>
              <w:rPr>
                <w:rStyle w:val="FootnoteReference"/>
                <w:rFonts w:cs="Arial"/>
                <w:color w:val="000000"/>
                <w:szCs w:val="16"/>
              </w:rPr>
              <w:footnoteReference w:id="52"/>
            </w:r>
          </w:p>
        </w:tc>
        <w:tc>
          <w:tcPr>
            <w:tcW w:w="908" w:type="dxa"/>
            <w:tcBorders>
              <w:top w:val="nil"/>
              <w:left w:val="nil"/>
              <w:right w:val="nil"/>
            </w:tcBorders>
            <w:shd w:val="clear" w:color="auto" w:fill="auto"/>
            <w:vAlign w:val="bottom"/>
          </w:tcPr>
          <w:p w:rsidR="00E11D86" w:rsidRPr="00E11D86" w:rsidRDefault="00FB4BFC" w:rsidP="00E11D86">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w:t>
            </w:r>
          </w:p>
        </w:tc>
        <w:tc>
          <w:tcPr>
            <w:tcW w:w="909" w:type="dxa"/>
            <w:tcBorders>
              <w:top w:val="nil"/>
              <w:left w:val="nil"/>
              <w:right w:val="nil"/>
            </w:tcBorders>
            <w:shd w:val="clear" w:color="auto" w:fill="D9D9D9"/>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500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500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500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500</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Indigenous people in jobs supported by IBA business loan clients</w:t>
            </w:r>
            <w:r>
              <w:rPr>
                <w:rStyle w:val="FootnoteReference"/>
                <w:rFonts w:cs="Arial"/>
                <w:color w:val="000000"/>
                <w:szCs w:val="16"/>
              </w:rPr>
              <w:footnoteReference w:id="53"/>
            </w:r>
          </w:p>
        </w:tc>
        <w:tc>
          <w:tcPr>
            <w:tcW w:w="908" w:type="dxa"/>
            <w:tcBorders>
              <w:top w:val="nil"/>
              <w:left w:val="nil"/>
              <w:right w:val="nil"/>
            </w:tcBorders>
            <w:shd w:val="clear" w:color="auto" w:fill="auto"/>
            <w:vAlign w:val="bottom"/>
          </w:tcPr>
          <w:p w:rsidR="00E11D86" w:rsidRPr="00E11D86" w:rsidRDefault="00FB4BFC" w:rsidP="00E11D86">
            <w:pPr>
              <w:keepNext/>
              <w:autoSpaceDE w:val="0"/>
              <w:autoSpaceDN w:val="0"/>
              <w:adjustRightInd w:val="0"/>
              <w:spacing w:after="0" w:line="240" w:lineRule="auto"/>
              <w:jc w:val="right"/>
              <w:rPr>
                <w:rFonts w:ascii="Arial" w:hAnsi="Arial" w:cs="Arial"/>
                <w:sz w:val="16"/>
                <w:szCs w:val="16"/>
              </w:rPr>
            </w:pPr>
            <w:r>
              <w:rPr>
                <w:rFonts w:ascii="Arial" w:hAnsi="Arial" w:cs="Arial"/>
                <w:sz w:val="16"/>
                <w:szCs w:val="16"/>
              </w:rPr>
              <w:t>–</w:t>
            </w:r>
          </w:p>
        </w:tc>
        <w:tc>
          <w:tcPr>
            <w:tcW w:w="909" w:type="dxa"/>
            <w:tcBorders>
              <w:top w:val="nil"/>
              <w:left w:val="nil"/>
              <w:right w:val="nil"/>
            </w:tcBorders>
            <w:shd w:val="clear" w:color="auto" w:fill="D9D9D9"/>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300</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325</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335</w:t>
            </w:r>
          </w:p>
        </w:tc>
        <w:tc>
          <w:tcPr>
            <w:tcW w:w="909" w:type="dxa"/>
            <w:tcBorders>
              <w:top w:val="nil"/>
              <w:left w:val="nil"/>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350</w:t>
            </w:r>
          </w:p>
        </w:tc>
      </w:tr>
      <w:tr w:rsidR="00E11D86" w:rsidRPr="00893575" w:rsidTr="00E11D86">
        <w:trPr>
          <w:trHeight w:val="225"/>
        </w:trPr>
        <w:tc>
          <w:tcPr>
            <w:tcW w:w="3107" w:type="dxa"/>
            <w:tcBorders>
              <w:top w:val="nil"/>
              <w:left w:val="nil"/>
              <w:bottom w:val="single" w:sz="4" w:space="0" w:color="auto"/>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Number of active loans in the portfolio</w:t>
            </w:r>
          </w:p>
        </w:tc>
        <w:tc>
          <w:tcPr>
            <w:tcW w:w="908" w:type="dxa"/>
            <w:tcBorders>
              <w:top w:val="nil"/>
              <w:left w:val="nil"/>
              <w:bottom w:val="single" w:sz="4" w:space="0" w:color="auto"/>
              <w:right w:val="nil"/>
            </w:tcBorders>
            <w:shd w:val="clear" w:color="auto" w:fill="auto"/>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300</w:t>
            </w:r>
          </w:p>
        </w:tc>
        <w:tc>
          <w:tcPr>
            <w:tcW w:w="909" w:type="dxa"/>
            <w:tcBorders>
              <w:top w:val="nil"/>
              <w:left w:val="nil"/>
              <w:bottom w:val="single" w:sz="4" w:space="0" w:color="auto"/>
              <w:right w:val="nil"/>
            </w:tcBorders>
            <w:shd w:val="clear" w:color="auto" w:fill="D9D9D9"/>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300</w:t>
            </w:r>
          </w:p>
        </w:tc>
        <w:tc>
          <w:tcPr>
            <w:tcW w:w="909" w:type="dxa"/>
            <w:tcBorders>
              <w:top w:val="nil"/>
              <w:left w:val="nil"/>
              <w:bottom w:val="single" w:sz="4" w:space="0" w:color="auto"/>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300</w:t>
            </w:r>
          </w:p>
        </w:tc>
        <w:tc>
          <w:tcPr>
            <w:tcW w:w="909" w:type="dxa"/>
            <w:tcBorders>
              <w:top w:val="nil"/>
              <w:left w:val="nil"/>
              <w:bottom w:val="single" w:sz="4" w:space="0" w:color="auto"/>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300</w:t>
            </w:r>
          </w:p>
        </w:tc>
        <w:tc>
          <w:tcPr>
            <w:tcW w:w="909" w:type="dxa"/>
            <w:tcBorders>
              <w:top w:val="nil"/>
              <w:left w:val="nil"/>
              <w:bottom w:val="single" w:sz="4" w:space="0" w:color="auto"/>
              <w:right w:val="nil"/>
            </w:tcBorders>
            <w:vAlign w:val="bottom"/>
          </w:tcPr>
          <w:p w:rsidR="00E11D86" w:rsidRPr="00E11D86" w:rsidRDefault="00E11D86" w:rsidP="00E11D86">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300</w:t>
            </w:r>
          </w:p>
        </w:tc>
      </w:tr>
    </w:tbl>
    <w:p w:rsidR="00E11D86" w:rsidRDefault="00E11D86" w:rsidP="00E11D86">
      <w:pPr>
        <w:pStyle w:val="TableGraphic"/>
        <w:rPr>
          <w:lang w:val="en-GB"/>
        </w:rPr>
      </w:pPr>
    </w:p>
    <w:p w:rsidR="00E11D86" w:rsidRDefault="00E11D86" w:rsidP="00DE527E">
      <w:pPr>
        <w:pStyle w:val="Heading7"/>
      </w:pPr>
      <w:r w:rsidRPr="00E11D86">
        <w:lastRenderedPageBreak/>
        <w:t>Program 1.3 key performance indicators</w:t>
      </w:r>
    </w:p>
    <w:p w:rsidR="00E11D86" w:rsidRDefault="00E11D86" w:rsidP="00E11D86">
      <w:pPr>
        <w:pStyle w:val="NormalBox"/>
      </w:pPr>
      <w:r w:rsidRPr="00E11D86">
        <w:t>IBA has an integrated suite of products including: Into Business™ workshops, business loans, business support, business development initiatives and strategic economic development initiatives. Business loans provide clients with affordable capital. Business support assists clients to assess the viability of their proposed business, to plan and market for a successful business venture, to access business management training and mentoring, and to eventually exit from the business. Our development initiatives support projects that overcome barriers to Indigenous people owning and operating successful businesses; facilitate the development of business-related skills, knowledge, information and assistance; and research economic opportunities.</w:t>
      </w:r>
    </w:p>
    <w:p w:rsidR="00E11D86" w:rsidRDefault="00E11D86" w:rsidP="00E11D86">
      <w:pPr>
        <w:pStyle w:val="TableHeading"/>
        <w:rPr>
          <w:lang w:val="en-GB"/>
        </w:rPr>
      </w:pPr>
      <w:r w:rsidRPr="00E11D86">
        <w:rPr>
          <w:lang w:val="en-GB"/>
        </w:rPr>
        <w:t>Business Development and Assistance key performance indicators</w:t>
      </w:r>
    </w:p>
    <w:tbl>
      <w:tblPr>
        <w:tblW w:w="7651" w:type="dxa"/>
        <w:tblInd w:w="40" w:type="dxa"/>
        <w:tblCellMar>
          <w:top w:w="57" w:type="dxa"/>
          <w:left w:w="30" w:type="dxa"/>
          <w:bottom w:w="57" w:type="dxa"/>
          <w:right w:w="30" w:type="dxa"/>
        </w:tblCellMar>
        <w:tblLook w:val="0000" w:firstRow="0" w:lastRow="0" w:firstColumn="0" w:lastColumn="0" w:noHBand="0" w:noVBand="0"/>
        <w:tblDescription w:val="Business Development and Assistance key performance indicators"/>
      </w:tblPr>
      <w:tblGrid>
        <w:gridCol w:w="3107"/>
        <w:gridCol w:w="908"/>
        <w:gridCol w:w="909"/>
        <w:gridCol w:w="909"/>
        <w:gridCol w:w="909"/>
        <w:gridCol w:w="909"/>
      </w:tblGrid>
      <w:tr w:rsidR="00E11D86" w:rsidRPr="00893575" w:rsidTr="00ED5D55">
        <w:trPr>
          <w:trHeight w:val="225"/>
        </w:trPr>
        <w:tc>
          <w:tcPr>
            <w:tcW w:w="3107" w:type="dxa"/>
            <w:tcBorders>
              <w:top w:val="single" w:sz="2" w:space="0" w:color="auto"/>
              <w:left w:val="nil"/>
              <w:bottom w:val="single" w:sz="2" w:space="0" w:color="auto"/>
              <w:right w:val="nil"/>
            </w:tcBorders>
            <w:vAlign w:val="center"/>
          </w:tcPr>
          <w:p w:rsidR="00E11D86" w:rsidRPr="00893575" w:rsidRDefault="00E11D86" w:rsidP="00ED5D55">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E11D86" w:rsidRPr="00893575" w:rsidRDefault="00E11D86" w:rsidP="00ED5D55">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Percentage of Loan Accounts that were successfully finalised through loan repayment</w:t>
            </w:r>
            <w:r>
              <w:rPr>
                <w:rStyle w:val="FootnoteReference"/>
                <w:rFonts w:cs="Arial"/>
                <w:color w:val="000000"/>
                <w:szCs w:val="16"/>
              </w:rPr>
              <w:footnoteReference w:id="54"/>
            </w:r>
          </w:p>
        </w:tc>
        <w:tc>
          <w:tcPr>
            <w:tcW w:w="908" w:type="dxa"/>
            <w:tcBorders>
              <w:top w:val="nil"/>
              <w:left w:val="nil"/>
              <w:right w:val="nil"/>
            </w:tcBorders>
            <w:shd w:val="clear" w:color="auto" w:fill="auto"/>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70%</w:t>
            </w:r>
          </w:p>
        </w:tc>
        <w:tc>
          <w:tcPr>
            <w:tcW w:w="909" w:type="dxa"/>
            <w:tcBorders>
              <w:top w:val="nil"/>
              <w:left w:val="nil"/>
              <w:right w:val="nil"/>
            </w:tcBorders>
            <w:shd w:val="clear" w:color="auto" w:fill="D9D9D9"/>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70%</w:t>
            </w:r>
          </w:p>
        </w:tc>
        <w:tc>
          <w:tcPr>
            <w:tcW w:w="909" w:type="dxa"/>
            <w:tcBorders>
              <w:top w:val="nil"/>
              <w:left w:val="nil"/>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70%</w:t>
            </w:r>
          </w:p>
        </w:tc>
        <w:tc>
          <w:tcPr>
            <w:tcW w:w="909" w:type="dxa"/>
            <w:tcBorders>
              <w:top w:val="nil"/>
              <w:left w:val="nil"/>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70%</w:t>
            </w:r>
          </w:p>
        </w:tc>
        <w:tc>
          <w:tcPr>
            <w:tcW w:w="909" w:type="dxa"/>
            <w:tcBorders>
              <w:top w:val="nil"/>
              <w:left w:val="nil"/>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70%</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Percentage of Loan Customers still in business 12 months after commencing business</w:t>
            </w:r>
            <w:r>
              <w:rPr>
                <w:rStyle w:val="FootnoteReference"/>
                <w:rFonts w:cs="Arial"/>
                <w:color w:val="000000"/>
                <w:szCs w:val="16"/>
              </w:rPr>
              <w:footnoteReference w:id="55"/>
            </w:r>
          </w:p>
        </w:tc>
        <w:tc>
          <w:tcPr>
            <w:tcW w:w="908" w:type="dxa"/>
            <w:tcBorders>
              <w:top w:val="nil"/>
              <w:left w:val="nil"/>
              <w:right w:val="nil"/>
            </w:tcBorders>
            <w:shd w:val="clear" w:color="auto" w:fill="auto"/>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85%</w:t>
            </w:r>
          </w:p>
        </w:tc>
        <w:tc>
          <w:tcPr>
            <w:tcW w:w="909" w:type="dxa"/>
            <w:tcBorders>
              <w:top w:val="nil"/>
              <w:left w:val="nil"/>
              <w:right w:val="nil"/>
            </w:tcBorders>
            <w:shd w:val="clear" w:color="auto" w:fill="D9D9D9"/>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85%</w:t>
            </w:r>
          </w:p>
        </w:tc>
        <w:tc>
          <w:tcPr>
            <w:tcW w:w="909" w:type="dxa"/>
            <w:tcBorders>
              <w:top w:val="nil"/>
              <w:left w:val="nil"/>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85%</w:t>
            </w:r>
          </w:p>
        </w:tc>
        <w:tc>
          <w:tcPr>
            <w:tcW w:w="909" w:type="dxa"/>
            <w:tcBorders>
              <w:top w:val="nil"/>
              <w:left w:val="nil"/>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85%</w:t>
            </w:r>
          </w:p>
        </w:tc>
        <w:tc>
          <w:tcPr>
            <w:tcW w:w="909" w:type="dxa"/>
            <w:tcBorders>
              <w:top w:val="nil"/>
              <w:left w:val="nil"/>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85%</w:t>
            </w:r>
          </w:p>
        </w:tc>
      </w:tr>
      <w:tr w:rsidR="00E11D86" w:rsidRPr="00893575" w:rsidTr="00E11D86">
        <w:trPr>
          <w:trHeight w:val="225"/>
        </w:trPr>
        <w:tc>
          <w:tcPr>
            <w:tcW w:w="3107" w:type="dxa"/>
            <w:tcBorders>
              <w:top w:val="nil"/>
              <w:left w:val="nil"/>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Percentage of Loan Customers still in business 2 years after commencing business</w:t>
            </w:r>
          </w:p>
        </w:tc>
        <w:tc>
          <w:tcPr>
            <w:tcW w:w="908" w:type="dxa"/>
            <w:tcBorders>
              <w:top w:val="nil"/>
              <w:left w:val="nil"/>
              <w:right w:val="nil"/>
            </w:tcBorders>
            <w:shd w:val="clear" w:color="auto" w:fill="auto"/>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w:t>
            </w:r>
          </w:p>
        </w:tc>
        <w:tc>
          <w:tcPr>
            <w:tcW w:w="909" w:type="dxa"/>
            <w:tcBorders>
              <w:top w:val="nil"/>
              <w:left w:val="nil"/>
              <w:right w:val="nil"/>
            </w:tcBorders>
            <w:shd w:val="clear" w:color="auto" w:fill="D9D9D9"/>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w:t>
            </w:r>
          </w:p>
        </w:tc>
        <w:tc>
          <w:tcPr>
            <w:tcW w:w="909" w:type="dxa"/>
            <w:tcBorders>
              <w:top w:val="nil"/>
              <w:left w:val="nil"/>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w:t>
            </w:r>
          </w:p>
        </w:tc>
        <w:tc>
          <w:tcPr>
            <w:tcW w:w="909" w:type="dxa"/>
            <w:tcBorders>
              <w:top w:val="nil"/>
              <w:left w:val="nil"/>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w:t>
            </w:r>
          </w:p>
        </w:tc>
        <w:tc>
          <w:tcPr>
            <w:tcW w:w="909" w:type="dxa"/>
            <w:tcBorders>
              <w:top w:val="nil"/>
              <w:left w:val="nil"/>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75%</w:t>
            </w:r>
          </w:p>
        </w:tc>
      </w:tr>
      <w:tr w:rsidR="00E11D86" w:rsidRPr="00893575" w:rsidTr="00E11D86">
        <w:trPr>
          <w:trHeight w:val="225"/>
        </w:trPr>
        <w:tc>
          <w:tcPr>
            <w:tcW w:w="3107" w:type="dxa"/>
            <w:tcBorders>
              <w:top w:val="nil"/>
              <w:left w:val="nil"/>
              <w:bottom w:val="single" w:sz="4" w:space="0" w:color="auto"/>
              <w:right w:val="nil"/>
            </w:tcBorders>
            <w:vAlign w:val="bottom"/>
          </w:tcPr>
          <w:p w:rsidR="00E11D86" w:rsidRPr="00E11D86" w:rsidRDefault="00E11D86" w:rsidP="001205C8">
            <w:pPr>
              <w:keepNext/>
              <w:autoSpaceDE w:val="0"/>
              <w:autoSpaceDN w:val="0"/>
              <w:adjustRightInd w:val="0"/>
              <w:spacing w:before="60" w:after="0" w:line="240" w:lineRule="auto"/>
              <w:jc w:val="left"/>
              <w:rPr>
                <w:rFonts w:ascii="Arial" w:hAnsi="Arial" w:cs="Arial"/>
                <w:color w:val="000000"/>
                <w:sz w:val="16"/>
                <w:szCs w:val="16"/>
              </w:rPr>
            </w:pPr>
            <w:r w:rsidRPr="00E11D86">
              <w:rPr>
                <w:rFonts w:ascii="Arial" w:hAnsi="Arial" w:cs="Arial"/>
                <w:color w:val="000000"/>
                <w:sz w:val="16"/>
                <w:szCs w:val="16"/>
              </w:rPr>
              <w:t>Percentage of Loan Customers still in business 3 years after commencing business</w:t>
            </w:r>
          </w:p>
        </w:tc>
        <w:tc>
          <w:tcPr>
            <w:tcW w:w="908" w:type="dxa"/>
            <w:tcBorders>
              <w:top w:val="nil"/>
              <w:left w:val="nil"/>
              <w:bottom w:val="single" w:sz="4" w:space="0" w:color="auto"/>
              <w:right w:val="nil"/>
            </w:tcBorders>
            <w:shd w:val="clear" w:color="auto" w:fill="auto"/>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65%</w:t>
            </w:r>
          </w:p>
        </w:tc>
        <w:tc>
          <w:tcPr>
            <w:tcW w:w="909" w:type="dxa"/>
            <w:tcBorders>
              <w:top w:val="nil"/>
              <w:left w:val="nil"/>
              <w:bottom w:val="single" w:sz="4" w:space="0" w:color="auto"/>
              <w:right w:val="nil"/>
            </w:tcBorders>
            <w:shd w:val="clear" w:color="auto" w:fill="D9D9D9"/>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65%</w:t>
            </w:r>
          </w:p>
        </w:tc>
        <w:tc>
          <w:tcPr>
            <w:tcW w:w="909" w:type="dxa"/>
            <w:tcBorders>
              <w:top w:val="nil"/>
              <w:left w:val="nil"/>
              <w:bottom w:val="single" w:sz="4" w:space="0" w:color="auto"/>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65%</w:t>
            </w:r>
          </w:p>
        </w:tc>
        <w:tc>
          <w:tcPr>
            <w:tcW w:w="909" w:type="dxa"/>
            <w:tcBorders>
              <w:top w:val="nil"/>
              <w:left w:val="nil"/>
              <w:bottom w:val="single" w:sz="4" w:space="0" w:color="auto"/>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65%</w:t>
            </w:r>
          </w:p>
        </w:tc>
        <w:tc>
          <w:tcPr>
            <w:tcW w:w="909" w:type="dxa"/>
            <w:tcBorders>
              <w:top w:val="nil"/>
              <w:left w:val="nil"/>
              <w:bottom w:val="single" w:sz="4" w:space="0" w:color="auto"/>
              <w:right w:val="nil"/>
            </w:tcBorders>
            <w:vAlign w:val="bottom"/>
          </w:tcPr>
          <w:p w:rsidR="00E11D86" w:rsidRPr="00E11D86" w:rsidRDefault="00E11D86" w:rsidP="009A0438">
            <w:pPr>
              <w:keepNext/>
              <w:autoSpaceDE w:val="0"/>
              <w:autoSpaceDN w:val="0"/>
              <w:adjustRightInd w:val="0"/>
              <w:spacing w:after="0" w:line="240" w:lineRule="auto"/>
              <w:jc w:val="right"/>
              <w:rPr>
                <w:rFonts w:ascii="Arial" w:hAnsi="Arial" w:cs="Arial"/>
                <w:sz w:val="16"/>
                <w:szCs w:val="16"/>
              </w:rPr>
            </w:pPr>
            <w:r w:rsidRPr="00E11D86">
              <w:rPr>
                <w:rFonts w:ascii="Arial" w:hAnsi="Arial" w:cs="Arial"/>
                <w:sz w:val="16"/>
                <w:szCs w:val="16"/>
              </w:rPr>
              <w:t>65%</w:t>
            </w:r>
          </w:p>
        </w:tc>
      </w:tr>
    </w:tbl>
    <w:p w:rsidR="00E11D86" w:rsidRPr="00E11D86" w:rsidRDefault="00E11D86" w:rsidP="00E11D86">
      <w:pPr>
        <w:pStyle w:val="TableGraphic"/>
        <w:rPr>
          <w:lang w:val="en-GB"/>
        </w:rPr>
      </w:pPr>
    </w:p>
    <w:p w:rsidR="00737E8F" w:rsidRDefault="00737E8F" w:rsidP="00737E8F">
      <w:pPr>
        <w:pStyle w:val="Heading2"/>
      </w:pPr>
      <w:r>
        <w:br w:type="page"/>
      </w:r>
      <w:r>
        <w:lastRenderedPageBreak/>
        <w:t>Section 3: Explanatory tables and budgeted financial statements</w:t>
      </w:r>
    </w:p>
    <w:p w:rsidR="00737E8F" w:rsidRPr="009C7F86" w:rsidRDefault="00ED5D55" w:rsidP="00737E8F">
      <w:r w:rsidRPr="00ED5D55">
        <w:t xml:space="preserve">Section 3 presents explanatory tables and budgeted financial statements that provide a comprehensive snapshot of agency finances for the 2013–14 budget </w:t>
      </w:r>
      <w:proofErr w:type="gramStart"/>
      <w:r w:rsidRPr="00ED5D55">
        <w:t>year</w:t>
      </w:r>
      <w:proofErr w:type="gramEnd"/>
      <w:r w:rsidRPr="00ED5D55">
        <w:t>. It explains how budget plans are incorporated into the financial statements and provides further details of the reconciliation between appropriations and program expenses, movements in administered funds, special accounts and government Indigenous expenditure.</w:t>
      </w:r>
    </w:p>
    <w:p w:rsidR="00737E8F" w:rsidRPr="00AD1D92" w:rsidRDefault="00737E8F" w:rsidP="00737E8F">
      <w:pPr>
        <w:pStyle w:val="Heading3"/>
      </w:pPr>
      <w:r w:rsidRPr="00AD1D92">
        <w:t>3.1</w:t>
      </w:r>
      <w:r w:rsidRPr="00AD1D92">
        <w:tab/>
        <w:t>Explanatory tables</w:t>
      </w:r>
    </w:p>
    <w:p w:rsidR="00737E8F" w:rsidRDefault="00737E8F" w:rsidP="00737E8F">
      <w:pPr>
        <w:pStyle w:val="Heading4"/>
      </w:pPr>
      <w:r>
        <w:t>3.1.1</w:t>
      </w:r>
      <w:r>
        <w:tab/>
        <w:t>Movement of administered funds between years</w:t>
      </w:r>
    </w:p>
    <w:p w:rsidR="00737E8F" w:rsidRDefault="00ED5D55" w:rsidP="00737E8F">
      <w:r w:rsidRPr="00ED5D55">
        <w:t>Indigenous Business Australia has no administered funds.</w:t>
      </w:r>
    </w:p>
    <w:p w:rsidR="00737E8F" w:rsidRPr="0088503F" w:rsidRDefault="00737E8F" w:rsidP="00737E8F">
      <w:pPr>
        <w:pStyle w:val="Heading4"/>
      </w:pPr>
      <w:r>
        <w:t>3.1.2</w:t>
      </w:r>
      <w:r>
        <w:tab/>
        <w:t>S</w:t>
      </w:r>
      <w:r w:rsidRPr="0088503F">
        <w:t xml:space="preserve">pecial </w:t>
      </w:r>
      <w:r w:rsidR="004E5764">
        <w:t>account</w:t>
      </w:r>
    </w:p>
    <w:p w:rsidR="00737E8F" w:rsidRDefault="00ED5D55" w:rsidP="00737E8F">
      <w:r w:rsidRPr="00ED5D55">
        <w:t>Indigenous Business Australia has no special accounts.</w:t>
      </w:r>
    </w:p>
    <w:p w:rsidR="00737E8F" w:rsidRPr="00C05025" w:rsidRDefault="00737E8F" w:rsidP="00737E8F">
      <w:pPr>
        <w:pStyle w:val="Heading4"/>
      </w:pPr>
      <w:r w:rsidRPr="00C05025">
        <w:t>3.1.3</w:t>
      </w:r>
      <w:r w:rsidRPr="00C05025">
        <w:tab/>
        <w:t>Australian Government Indigenous Expenditure</w:t>
      </w:r>
    </w:p>
    <w:p w:rsidR="00737E8F" w:rsidRDefault="00737E8F" w:rsidP="00737E8F">
      <w:pPr>
        <w:pStyle w:val="TableHeading"/>
      </w:pPr>
      <w:r>
        <w:t>Table 3.1.3: Australian Government Indigenous Expenditure</w:t>
      </w:r>
    </w:p>
    <w:p w:rsidR="00737E8F" w:rsidRPr="00C05025" w:rsidRDefault="00304174" w:rsidP="00737E8F">
      <w:pPr>
        <w:pStyle w:val="TableGraphic"/>
      </w:pPr>
      <w:r>
        <w:rPr>
          <w:noProof/>
        </w:rPr>
        <w:drawing>
          <wp:inline distT="0" distB="0" distL="0" distR="0" wp14:anchorId="5DB9A305" wp14:editId="35AFDB99">
            <wp:extent cx="4878705" cy="1915719"/>
            <wp:effectExtent l="0" t="0" r="0" b="8890"/>
            <wp:docPr id="108" name="Picture 108" descr="Table 3.1.3: Australian Government Indigenous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78705" cy="1915719"/>
                    </a:xfrm>
                    <a:prstGeom prst="rect">
                      <a:avLst/>
                    </a:prstGeom>
                    <a:noFill/>
                    <a:ln>
                      <a:noFill/>
                    </a:ln>
                  </pic:spPr>
                </pic:pic>
              </a:graphicData>
            </a:graphic>
          </wp:inline>
        </w:drawing>
      </w:r>
    </w:p>
    <w:p w:rsidR="00737E8F" w:rsidRDefault="00737E8F" w:rsidP="00ED5D55">
      <w:pPr>
        <w:pStyle w:val="Heading3"/>
      </w:pPr>
      <w:r w:rsidRPr="00B06D93">
        <w:rPr>
          <w:highlight w:val="yellow"/>
        </w:rPr>
        <w:br w:type="page"/>
      </w:r>
      <w:r>
        <w:lastRenderedPageBreak/>
        <w:t>3.2</w:t>
      </w:r>
      <w:r>
        <w:tab/>
        <w:t>Budgeted financial statements</w:t>
      </w:r>
    </w:p>
    <w:p w:rsidR="00737E8F" w:rsidRDefault="00737E8F" w:rsidP="00737E8F">
      <w:pPr>
        <w:pStyle w:val="Heading4"/>
      </w:pPr>
      <w:r>
        <w:t>3.2.1</w:t>
      </w:r>
      <w:r>
        <w:tab/>
        <w:t>Differences in agency resourcing and financial statements</w:t>
      </w:r>
    </w:p>
    <w:p w:rsidR="00737E8F" w:rsidRPr="00C05025" w:rsidRDefault="00ED5D55" w:rsidP="00737E8F">
      <w:r w:rsidRPr="00ED5D55">
        <w:t>There are no differences between IBA’s Agency Resourcing and Financial Statements.</w:t>
      </w:r>
    </w:p>
    <w:p w:rsidR="00737E8F" w:rsidRDefault="00737E8F" w:rsidP="00737E8F">
      <w:pPr>
        <w:pStyle w:val="Heading4"/>
      </w:pPr>
      <w:r>
        <w:t>3.2.2</w:t>
      </w:r>
      <w:r>
        <w:tab/>
        <w:t>Analysis of budgeted financial statements</w:t>
      </w:r>
    </w:p>
    <w:p w:rsidR="00ED5D55" w:rsidRDefault="00ED5D55" w:rsidP="00ED5D55">
      <w:r>
        <w:t>An analysis of the primary causes of movements in the budgeted financial statements is provided below. The 2012–13 estimated actual results are used as the comparative year in the analysis.</w:t>
      </w:r>
    </w:p>
    <w:p w:rsidR="00737E8F" w:rsidRDefault="00ED5D55" w:rsidP="00ED5D55">
      <w:r>
        <w:t>IBA budgets are prepared on a consolidated basis for the agency and its 37 subsidiaries. On consolidation, assets, liabilities, income and expenditure of all subsidiaries flow through to individual line items in the consolidated budget.</w:t>
      </w:r>
    </w:p>
    <w:p w:rsidR="00737E8F" w:rsidRDefault="00ED5D55" w:rsidP="007C6B28">
      <w:pPr>
        <w:pStyle w:val="Heading5"/>
      </w:pPr>
      <w:r>
        <w:t>Budgeted agency income statement</w:t>
      </w:r>
    </w:p>
    <w:p w:rsidR="00ED5D55" w:rsidRPr="00ED5D55" w:rsidRDefault="00ED5D55" w:rsidP="00ED5D55">
      <w:r w:rsidRPr="00ED5D55">
        <w:t>IBA is budgeting for an operating surplus of $9.7 million in 2012–13 and an estimated surplus of $3.9 million in 2013–14.</w:t>
      </w:r>
    </w:p>
    <w:p w:rsidR="00737E8F" w:rsidRDefault="00ED5D55" w:rsidP="00ED5D55">
      <w:pPr>
        <w:pStyle w:val="Heading5"/>
      </w:pPr>
      <w:r>
        <w:t>Budgeted agency balance sheet</w:t>
      </w:r>
    </w:p>
    <w:p w:rsidR="00ED5D55" w:rsidRDefault="00ED5D55" w:rsidP="00ED5D55">
      <w:pPr>
        <w:pStyle w:val="BulletIntro"/>
      </w:pPr>
      <w:r>
        <w:t>Budgeted net assets as at 30 June 2014 of $1,140 million represent an increase of $41</w:t>
      </w:r>
      <w:r w:rsidR="00162FD1">
        <w:t> </w:t>
      </w:r>
      <w:r>
        <w:t>million over the net assets of $1,099 million as at 30 June 2013. The main drivers are:</w:t>
      </w:r>
    </w:p>
    <w:p w:rsidR="00ED5D55" w:rsidRDefault="00ED5D55" w:rsidP="00ED5D55">
      <w:pPr>
        <w:pStyle w:val="Bullet"/>
      </w:pPr>
      <w:r>
        <w:t>continuing capital injections from government of $37.2 million</w:t>
      </w:r>
    </w:p>
    <w:p w:rsidR="00ED5D55" w:rsidRDefault="00ED5D55" w:rsidP="00ED5D55">
      <w:pPr>
        <w:pStyle w:val="BulletLast"/>
      </w:pPr>
      <w:proofErr w:type="gramStart"/>
      <w:r>
        <w:t>the</w:t>
      </w:r>
      <w:proofErr w:type="gramEnd"/>
      <w:r>
        <w:t xml:space="preserve"> estimated operating surplus of $3.9 million.</w:t>
      </w:r>
    </w:p>
    <w:p w:rsidR="00ED5D55" w:rsidRDefault="00ED5D55" w:rsidP="00ED5D55">
      <w:pPr>
        <w:pStyle w:val="Heading5"/>
      </w:pPr>
      <w:r>
        <w:t>Statement of cash flows</w:t>
      </w:r>
    </w:p>
    <w:p w:rsidR="00ED5D55" w:rsidRDefault="00ED5D55" w:rsidP="00ED5D55">
      <w:r w:rsidRPr="00ED5D55">
        <w:t>Net lending activity is expected to increase from $92.5 million in 2012–13 to $94.3</w:t>
      </w:r>
      <w:r>
        <w:t> </w:t>
      </w:r>
      <w:r w:rsidRPr="00ED5D55">
        <w:t>million in 2013–14. Net lending is the access of new loan disbursements over loan repayments and discharges.</w:t>
      </w:r>
    </w:p>
    <w:p w:rsidR="00ED5D55" w:rsidRDefault="00ED5D55" w:rsidP="00ED5D55">
      <w:pPr>
        <w:pStyle w:val="Heading5"/>
      </w:pPr>
      <w:r>
        <w:t>Statement of changes in equity</w:t>
      </w:r>
    </w:p>
    <w:p w:rsidR="00ED5D55" w:rsidRPr="00ED5D55" w:rsidRDefault="00ED5D55" w:rsidP="00ED5D55">
      <w:r w:rsidRPr="00ED5D55">
        <w:t>Total equity is expected to increase by $41 million to $1,140 million as at 30 June 2014, with the additional equity injection of $37.2 million from the Commonwealth and the budget year surplus of $3.9 million.</w:t>
      </w:r>
    </w:p>
    <w:p w:rsidR="00737E8F" w:rsidRDefault="00737E8F" w:rsidP="00737E8F">
      <w:pPr>
        <w:pStyle w:val="Heading4"/>
        <w:rPr>
          <w:snapToGrid w:val="0"/>
        </w:rPr>
      </w:pPr>
      <w:r>
        <w:rPr>
          <w:snapToGrid w:val="0"/>
          <w:highlight w:val="yellow"/>
        </w:rPr>
        <w:br w:type="page"/>
      </w:r>
      <w:r>
        <w:rPr>
          <w:snapToGrid w:val="0"/>
        </w:rPr>
        <w:lastRenderedPageBreak/>
        <w:t>3.2.3</w:t>
      </w:r>
      <w:r>
        <w:rPr>
          <w:snapToGrid w:val="0"/>
        </w:rPr>
        <w:tab/>
        <w:t>Budgeted financial statements tables</w:t>
      </w:r>
    </w:p>
    <w:p w:rsidR="00737E8F" w:rsidRDefault="00737E8F" w:rsidP="00737E8F">
      <w:pPr>
        <w:pStyle w:val="TableHeading"/>
        <w:spacing w:before="0"/>
      </w:pPr>
      <w:r>
        <w:t>Table 3.2.1: Comprehensive income statement (showing net cost of services</w:t>
      </w:r>
      <w:r w:rsidR="003F4B01">
        <w:t xml:space="preserve">) </w:t>
      </w:r>
      <w:r>
        <w:br/>
        <w:t>(</w:t>
      </w:r>
      <w:r w:rsidRPr="00C61513">
        <w:t>for the period ended 30 June</w:t>
      </w:r>
      <w:r w:rsidR="00B20EE2">
        <w:t>)</w:t>
      </w:r>
    </w:p>
    <w:p w:rsidR="00737E8F" w:rsidRPr="00DE604F" w:rsidRDefault="00304174" w:rsidP="00737E8F">
      <w:pPr>
        <w:pStyle w:val="TableGraphic"/>
      </w:pPr>
      <w:r>
        <w:rPr>
          <w:noProof/>
        </w:rPr>
        <w:drawing>
          <wp:inline distT="0" distB="0" distL="0" distR="0" wp14:anchorId="36883BD3" wp14:editId="236BCCD2">
            <wp:extent cx="4869815" cy="6082030"/>
            <wp:effectExtent l="0" t="0" r="6985" b="0"/>
            <wp:docPr id="109" name="Picture 109" descr="Table 3.2.1: Comprehensive income statement (showing net cost of services) &#10;(for the period ended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869815" cy="6082030"/>
                    </a:xfrm>
                    <a:prstGeom prst="rect">
                      <a:avLst/>
                    </a:prstGeom>
                    <a:noFill/>
                    <a:ln>
                      <a:noFill/>
                    </a:ln>
                  </pic:spPr>
                </pic:pic>
              </a:graphicData>
            </a:graphic>
          </wp:inline>
        </w:drawing>
      </w:r>
    </w:p>
    <w:p w:rsidR="00737E8F" w:rsidRDefault="00737E8F" w:rsidP="00ED5D55">
      <w:pPr>
        <w:pStyle w:val="TableHeading"/>
        <w:spacing w:before="0"/>
      </w:pPr>
      <w:r>
        <w:br w:type="page"/>
      </w:r>
      <w:r w:rsidRPr="008B191A">
        <w:lastRenderedPageBreak/>
        <w:t>Table 3.2.2: Budgeted departmental balance sheet (as at 30 June</w:t>
      </w:r>
      <w:r w:rsidRPr="000367BE">
        <w:t>)</w:t>
      </w:r>
    </w:p>
    <w:p w:rsidR="00737E8F" w:rsidRDefault="00304174" w:rsidP="00737E8F">
      <w:pPr>
        <w:pStyle w:val="TableGraphic"/>
      </w:pPr>
      <w:r>
        <w:rPr>
          <w:noProof/>
        </w:rPr>
        <w:drawing>
          <wp:inline distT="0" distB="0" distL="0" distR="0" wp14:anchorId="799D4C7B" wp14:editId="228C13BB">
            <wp:extent cx="4878705" cy="5120474"/>
            <wp:effectExtent l="0" t="0" r="0" b="4445"/>
            <wp:docPr id="112" name="Picture 112" descr="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878705" cy="5120474"/>
                    </a:xfrm>
                    <a:prstGeom prst="rect">
                      <a:avLst/>
                    </a:prstGeom>
                    <a:noFill/>
                    <a:ln>
                      <a:noFill/>
                    </a:ln>
                  </pic:spPr>
                </pic:pic>
              </a:graphicData>
            </a:graphic>
          </wp:inline>
        </w:drawing>
      </w:r>
    </w:p>
    <w:p w:rsidR="00ED5D55" w:rsidRDefault="00ED5D55" w:rsidP="00ED5D55">
      <w:pPr>
        <w:pStyle w:val="TableHeading"/>
      </w:pPr>
      <w:r w:rsidRPr="008B191A">
        <w:lastRenderedPageBreak/>
        <w:t>Table 3.2.2: Budgeted departmental balance sheet (as at 30 June</w:t>
      </w:r>
      <w:r w:rsidRPr="000367BE">
        <w:t>)</w:t>
      </w:r>
      <w:r>
        <w:t xml:space="preserve"> (continued)</w:t>
      </w:r>
    </w:p>
    <w:p w:rsidR="00ED5D55" w:rsidRPr="00233EAF" w:rsidRDefault="00C97CFB" w:rsidP="00ED5D55">
      <w:pPr>
        <w:pStyle w:val="TableGraphic"/>
        <w:rPr>
          <w:i w:val="0"/>
        </w:rPr>
      </w:pPr>
      <w:r w:rsidRPr="00233EAF">
        <w:rPr>
          <w:i w:val="0"/>
          <w:noProof/>
        </w:rPr>
        <w:drawing>
          <wp:inline distT="0" distB="0" distL="0" distR="0" wp14:anchorId="72DDA8F3" wp14:editId="3CA75F13">
            <wp:extent cx="4878705" cy="2733184"/>
            <wp:effectExtent l="0" t="0" r="0" b="0"/>
            <wp:docPr id="115" name="Picture 115" descr="Table 3.2.2: Budgeted departmental balance sheet (as at 30 Jun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78705" cy="2733184"/>
                    </a:xfrm>
                    <a:prstGeom prst="rect">
                      <a:avLst/>
                    </a:prstGeom>
                    <a:noFill/>
                    <a:ln>
                      <a:noFill/>
                    </a:ln>
                  </pic:spPr>
                </pic:pic>
              </a:graphicData>
            </a:graphic>
          </wp:inline>
        </w:drawing>
      </w:r>
    </w:p>
    <w:p w:rsidR="00737E8F" w:rsidRDefault="00737E8F" w:rsidP="00737E8F">
      <w:pPr>
        <w:pStyle w:val="TableHeading"/>
      </w:pPr>
      <w:r>
        <w:rPr>
          <w:highlight w:val="yellow"/>
        </w:rPr>
        <w:br w:type="page"/>
      </w:r>
      <w:r w:rsidRPr="009402BE">
        <w:lastRenderedPageBreak/>
        <w:t>Table 3.2.3: Departmental statement of changes in equity</w:t>
      </w:r>
      <w:r w:rsidR="00CC6014">
        <w:t xml:space="preserve"> – </w:t>
      </w:r>
      <w:r w:rsidRPr="009402BE">
        <w:t>summary of movement (</w:t>
      </w:r>
      <w:r>
        <w:t>b</w:t>
      </w:r>
      <w:r w:rsidRPr="009402BE">
        <w:t xml:space="preserve">udget year </w:t>
      </w:r>
      <w:r w:rsidRPr="00892823">
        <w:t>201</w:t>
      </w:r>
      <w:r>
        <w:t>3–</w:t>
      </w:r>
      <w:r w:rsidRPr="00892823">
        <w:t>1</w:t>
      </w:r>
      <w:r>
        <w:t>4</w:t>
      </w:r>
      <w:r w:rsidRPr="009402BE">
        <w:t>)</w:t>
      </w:r>
    </w:p>
    <w:p w:rsidR="00737E8F" w:rsidRPr="00AF7454" w:rsidRDefault="00C97CFB" w:rsidP="00737E8F">
      <w:pPr>
        <w:pStyle w:val="TableGraphic"/>
      </w:pPr>
      <w:r>
        <w:rPr>
          <w:noProof/>
        </w:rPr>
        <w:drawing>
          <wp:inline distT="0" distB="0" distL="0" distR="0" wp14:anchorId="7BF72BD9" wp14:editId="545A1CC4">
            <wp:extent cx="4878705" cy="5789672"/>
            <wp:effectExtent l="0" t="0" r="0" b="1905"/>
            <wp:docPr id="116" name="Picture 116" descr="Table 3.2.3: Departmental statement of changes in equity – summary of movement (budget yea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78705" cy="5789672"/>
                    </a:xfrm>
                    <a:prstGeom prst="rect">
                      <a:avLst/>
                    </a:prstGeom>
                    <a:noFill/>
                    <a:ln>
                      <a:noFill/>
                    </a:ln>
                  </pic:spPr>
                </pic:pic>
              </a:graphicData>
            </a:graphic>
          </wp:inline>
        </w:drawing>
      </w:r>
    </w:p>
    <w:p w:rsidR="00737E8F" w:rsidRDefault="00737E8F" w:rsidP="00737E8F">
      <w:pPr>
        <w:pStyle w:val="TableHeading"/>
      </w:pPr>
      <w:r>
        <w:br w:type="page"/>
      </w:r>
      <w:r w:rsidRPr="009402BE">
        <w:lastRenderedPageBreak/>
        <w:t>Table 3.2.4: Budgeted departmental statement of cash flows (</w:t>
      </w:r>
      <w:r>
        <w:t xml:space="preserve">for the period ended </w:t>
      </w:r>
      <w:r w:rsidRPr="009402BE">
        <w:t>30 June)</w:t>
      </w:r>
    </w:p>
    <w:p w:rsidR="00737E8F" w:rsidRDefault="00C97CFB" w:rsidP="00737E8F">
      <w:pPr>
        <w:pStyle w:val="TableGraphic"/>
        <w:rPr>
          <w:snapToGrid w:val="0"/>
        </w:rPr>
      </w:pPr>
      <w:r>
        <w:rPr>
          <w:noProof/>
        </w:rPr>
        <w:drawing>
          <wp:inline distT="0" distB="0" distL="0" distR="0" wp14:anchorId="200E6B7D" wp14:editId="643E5D8B">
            <wp:extent cx="4878705" cy="5056272"/>
            <wp:effectExtent l="0" t="0" r="0" b="0"/>
            <wp:docPr id="117" name="Picture 117" descr="Table 3.2.4: Budgeted departmental statement of cash flow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878705" cy="5056272"/>
                    </a:xfrm>
                    <a:prstGeom prst="rect">
                      <a:avLst/>
                    </a:prstGeom>
                    <a:noFill/>
                    <a:ln>
                      <a:noFill/>
                    </a:ln>
                  </pic:spPr>
                </pic:pic>
              </a:graphicData>
            </a:graphic>
          </wp:inline>
        </w:drawing>
      </w:r>
    </w:p>
    <w:p w:rsidR="00ED5D55" w:rsidRDefault="00ED5D55" w:rsidP="00ED5D55">
      <w:pPr>
        <w:pStyle w:val="TableHeading"/>
      </w:pPr>
      <w:r w:rsidRPr="009402BE">
        <w:lastRenderedPageBreak/>
        <w:t>Table 3.2.4: Budgeted departmental statement of cash flows (</w:t>
      </w:r>
      <w:r>
        <w:t xml:space="preserve">for the period ended </w:t>
      </w:r>
      <w:r w:rsidRPr="009402BE">
        <w:t>30 June)</w:t>
      </w:r>
      <w:r>
        <w:t xml:space="preserve"> (continued)</w:t>
      </w:r>
    </w:p>
    <w:p w:rsidR="00ED5D55" w:rsidRPr="00ED5D55" w:rsidRDefault="00C97CFB" w:rsidP="00ED5D55">
      <w:pPr>
        <w:pStyle w:val="TableGraphic"/>
      </w:pPr>
      <w:r>
        <w:rPr>
          <w:noProof/>
        </w:rPr>
        <w:drawing>
          <wp:inline distT="0" distB="0" distL="0" distR="0" wp14:anchorId="4797941C" wp14:editId="1D19BE41">
            <wp:extent cx="4795520" cy="3094355"/>
            <wp:effectExtent l="0" t="0" r="5080" b="0"/>
            <wp:docPr id="118" name="Picture 118" descr="Table 3.2.4: Budgeted departmental statement of cash flows (for the period ended 30 Jun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95520" cy="3094355"/>
                    </a:xfrm>
                    <a:prstGeom prst="rect">
                      <a:avLst/>
                    </a:prstGeom>
                    <a:noFill/>
                    <a:ln>
                      <a:noFill/>
                    </a:ln>
                  </pic:spPr>
                </pic:pic>
              </a:graphicData>
            </a:graphic>
          </wp:inline>
        </w:drawing>
      </w:r>
    </w:p>
    <w:p w:rsidR="00737E8F" w:rsidRDefault="00737E8F" w:rsidP="00737E8F">
      <w:pPr>
        <w:pStyle w:val="TableHeading"/>
      </w:pPr>
      <w:r>
        <w:rPr>
          <w:snapToGrid w:val="0"/>
        </w:rPr>
        <w:br w:type="page"/>
      </w:r>
      <w:r w:rsidRPr="0033343C">
        <w:lastRenderedPageBreak/>
        <w:t>Table 3.2.5</w:t>
      </w:r>
      <w:r>
        <w:t>:</w:t>
      </w:r>
      <w:r w:rsidRPr="0033343C">
        <w:t xml:space="preserve"> Departmental </w:t>
      </w:r>
      <w:r>
        <w:t>c</w:t>
      </w:r>
      <w:r w:rsidRPr="0033343C">
        <w:t xml:space="preserve">apital </w:t>
      </w:r>
      <w:r>
        <w:t>b</w:t>
      </w:r>
      <w:r w:rsidRPr="0033343C">
        <w:t xml:space="preserve">udget </w:t>
      </w:r>
      <w:r>
        <w:t>s</w:t>
      </w:r>
      <w:r w:rsidRPr="0033343C">
        <w:t>tatement</w:t>
      </w:r>
    </w:p>
    <w:p w:rsidR="00737E8F" w:rsidRPr="0061699A" w:rsidRDefault="00C97CFB" w:rsidP="00737E8F">
      <w:pPr>
        <w:pStyle w:val="TableGraphic"/>
      </w:pPr>
      <w:r>
        <w:rPr>
          <w:noProof/>
        </w:rPr>
        <w:drawing>
          <wp:inline distT="0" distB="0" distL="0" distR="0" wp14:anchorId="7FA49369" wp14:editId="67B80E24">
            <wp:extent cx="4878705" cy="3425608"/>
            <wp:effectExtent l="0" t="0" r="0" b="3810"/>
            <wp:docPr id="119" name="Picture 119" descr="Table 3.2.5: Departmental capital budge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878705" cy="3425608"/>
                    </a:xfrm>
                    <a:prstGeom prst="rect">
                      <a:avLst/>
                    </a:prstGeom>
                    <a:noFill/>
                    <a:ln>
                      <a:noFill/>
                    </a:ln>
                  </pic:spPr>
                </pic:pic>
              </a:graphicData>
            </a:graphic>
          </wp:inline>
        </w:drawing>
      </w:r>
    </w:p>
    <w:p w:rsidR="00737E8F" w:rsidRDefault="00737E8F" w:rsidP="00737E8F">
      <w:pPr>
        <w:pStyle w:val="TableHeading"/>
        <w:rPr>
          <w:snapToGrid w:val="0"/>
        </w:rPr>
      </w:pPr>
      <w:r>
        <w:rPr>
          <w:snapToGrid w:val="0"/>
        </w:rPr>
        <w:br w:type="page"/>
      </w:r>
      <w:r w:rsidRPr="0033343C">
        <w:rPr>
          <w:snapToGrid w:val="0"/>
        </w:rPr>
        <w:lastRenderedPageBreak/>
        <w:t>Table 3.2.6:</w:t>
      </w:r>
      <w:r>
        <w:rPr>
          <w:snapToGrid w:val="0"/>
        </w:rPr>
        <w:t xml:space="preserve"> </w:t>
      </w:r>
      <w:r w:rsidRPr="0033343C">
        <w:rPr>
          <w:snapToGrid w:val="0"/>
        </w:rPr>
        <w:t xml:space="preserve">Statement of </w:t>
      </w:r>
      <w:r>
        <w:rPr>
          <w:snapToGrid w:val="0"/>
        </w:rPr>
        <w:t>a</w:t>
      </w:r>
      <w:r w:rsidRPr="0033343C">
        <w:rPr>
          <w:snapToGrid w:val="0"/>
        </w:rPr>
        <w:t xml:space="preserve">sset </w:t>
      </w:r>
      <w:r>
        <w:rPr>
          <w:snapToGrid w:val="0"/>
        </w:rPr>
        <w:t>m</w:t>
      </w:r>
      <w:r w:rsidRPr="0033343C">
        <w:rPr>
          <w:snapToGrid w:val="0"/>
        </w:rPr>
        <w:t>ovements (</w:t>
      </w:r>
      <w:r>
        <w:rPr>
          <w:snapToGrid w:val="0"/>
        </w:rPr>
        <w:t>2013–</w:t>
      </w:r>
      <w:r w:rsidRPr="00892823">
        <w:rPr>
          <w:snapToGrid w:val="0"/>
        </w:rPr>
        <w:t>1</w:t>
      </w:r>
      <w:r>
        <w:rPr>
          <w:snapToGrid w:val="0"/>
        </w:rPr>
        <w:t>4</w:t>
      </w:r>
      <w:r w:rsidRPr="0033343C">
        <w:rPr>
          <w:snapToGrid w:val="0"/>
        </w:rPr>
        <w:t>)</w:t>
      </w:r>
    </w:p>
    <w:p w:rsidR="00737E8F" w:rsidRPr="00935871" w:rsidRDefault="00C97CFB" w:rsidP="00737E8F">
      <w:pPr>
        <w:pStyle w:val="TableGraphic"/>
        <w:rPr>
          <w:highlight w:val="yellow"/>
        </w:rPr>
      </w:pPr>
      <w:r>
        <w:rPr>
          <w:noProof/>
        </w:rPr>
        <w:drawing>
          <wp:inline distT="0" distB="0" distL="0" distR="0" wp14:anchorId="1B03639B" wp14:editId="6C10F3B1">
            <wp:extent cx="4878705" cy="2998739"/>
            <wp:effectExtent l="0" t="0" r="0" b="0"/>
            <wp:docPr id="120" name="Picture 120" descr="Table 3.2.6: Statement of asset movement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878705" cy="2998739"/>
                    </a:xfrm>
                    <a:prstGeom prst="rect">
                      <a:avLst/>
                    </a:prstGeom>
                    <a:noFill/>
                    <a:ln>
                      <a:noFill/>
                    </a:ln>
                  </pic:spPr>
                </pic:pic>
              </a:graphicData>
            </a:graphic>
          </wp:inline>
        </w:drawing>
      </w:r>
    </w:p>
    <w:p w:rsidR="00737E8F" w:rsidRPr="00710FF0" w:rsidRDefault="00737E8F" w:rsidP="00737E8F">
      <w:pPr>
        <w:pStyle w:val="SinglePara"/>
        <w:rPr>
          <w:snapToGrid w:val="0"/>
        </w:rPr>
      </w:pPr>
    </w:p>
    <w:p w:rsidR="00737E8F" w:rsidRDefault="00737E8F" w:rsidP="00737E8F">
      <w:pPr>
        <w:pStyle w:val="Heading4"/>
        <w:spacing w:before="360"/>
      </w:pPr>
      <w:r>
        <w:br w:type="page"/>
      </w:r>
      <w:r>
        <w:lastRenderedPageBreak/>
        <w:t>3.2.</w:t>
      </w:r>
      <w:r w:rsidR="00ED5D55">
        <w:t>4</w:t>
      </w:r>
      <w:r>
        <w:tab/>
      </w:r>
      <w:r w:rsidRPr="00AD1D92">
        <w:t xml:space="preserve">Notes to the financial statements </w:t>
      </w:r>
    </w:p>
    <w:p w:rsidR="00ED5D55" w:rsidRPr="00ED5D55" w:rsidRDefault="00ED5D55" w:rsidP="00ED5D55">
      <w:r w:rsidRPr="00ED5D55">
        <w:t>The budgeted financial statements have been prepared in accordance with the requirements of the Finance Minister’s Orders issued by the Minister for Finance and Deregulation.</w:t>
      </w:r>
    </w:p>
    <w:p w:rsidR="00ED5D55" w:rsidRPr="00ED5D55" w:rsidRDefault="00ED5D55" w:rsidP="00ED5D55">
      <w:pPr>
        <w:pStyle w:val="BulletIntro"/>
      </w:pPr>
      <w:r w:rsidRPr="00ED5D55">
        <w:t>The statements have been prepared:</w:t>
      </w:r>
    </w:p>
    <w:p w:rsidR="00ED5D55" w:rsidRPr="00ED5D55" w:rsidRDefault="00ED5D55" w:rsidP="00ED5D55">
      <w:pPr>
        <w:pStyle w:val="Bullet"/>
      </w:pPr>
      <w:r w:rsidRPr="00ED5D55">
        <w:t>on an accrual accounting basis</w:t>
      </w:r>
    </w:p>
    <w:p w:rsidR="00ED5D55" w:rsidRPr="00ED5D55" w:rsidRDefault="00ED5D55" w:rsidP="00ED5D55">
      <w:pPr>
        <w:pStyle w:val="BulletLast"/>
      </w:pPr>
      <w:r w:rsidRPr="00ED5D55">
        <w:t xml:space="preserve">in compliance with Australian Accounting Standards and Australian Equivalents to International Financial Reporting Standards and other authoritative pronouncements of the Australian Accounting Standards Boards and the Consensus Views of the Urgent Issues Group. </w:t>
      </w:r>
    </w:p>
    <w:p w:rsidR="00ED5D55" w:rsidRPr="00ED5D55" w:rsidRDefault="00ED5D55" w:rsidP="00ED5D55">
      <w:pPr>
        <w:pStyle w:val="Heading5"/>
      </w:pPr>
      <w:r w:rsidRPr="00ED5D55">
        <w:t>Revenue from government</w:t>
      </w:r>
    </w:p>
    <w:p w:rsidR="00ED5D55" w:rsidRPr="00ED5D55" w:rsidRDefault="00ED5D55" w:rsidP="00ED5D55">
      <w:r w:rsidRPr="00ED5D55">
        <w:t xml:space="preserve">Represents appropriation from government to Indigenous Business Australia for the delivery of IBA‘s three programs in pursuit of its single outcome. Increases in the ordinary annual appropriations are a result of new measures and variations explained in Section 2. </w:t>
      </w:r>
    </w:p>
    <w:p w:rsidR="00ED5D55" w:rsidRPr="00ED5D55" w:rsidRDefault="00ED5D55" w:rsidP="00ED5D55">
      <w:pPr>
        <w:pStyle w:val="Heading5"/>
      </w:pPr>
      <w:r w:rsidRPr="00ED5D55">
        <w:t>Expenses – depreciation and amortisation</w:t>
      </w:r>
    </w:p>
    <w:p w:rsidR="00ED5D55" w:rsidRPr="00ED5D55" w:rsidRDefault="00ED5D55" w:rsidP="00ED5D55">
      <w:r w:rsidRPr="00ED5D55">
        <w:t>Property, plant and equipment assets are written off to their estimated residual values over their estimated useful lives using, in all cases, the straight-line method of depreciation</w:t>
      </w:r>
      <w:r w:rsidR="00FC1949">
        <w:t>.</w:t>
      </w:r>
    </w:p>
    <w:p w:rsidR="00ED5D55" w:rsidRPr="00ED5D55" w:rsidRDefault="00ED5D55" w:rsidP="00ED5D55">
      <w:r w:rsidRPr="00ED5D55">
        <w:t>Depreciation</w:t>
      </w:r>
      <w:r w:rsidR="00FC1949">
        <w:t>/</w:t>
      </w:r>
      <w:r w:rsidRPr="00ED5D55">
        <w:t>amortisation rates (useful lives) and methods are reviewed at each balance date and necessary adjustments are recognised in the current, or current and future reporting periods, as appropriate.</w:t>
      </w:r>
    </w:p>
    <w:p w:rsidR="00ED5D55" w:rsidRPr="00ED5D55" w:rsidRDefault="00ED5D55" w:rsidP="00ED5D55">
      <w:pPr>
        <w:pStyle w:val="Heading5"/>
      </w:pPr>
      <w:r w:rsidRPr="00ED5D55">
        <w:t>Concessional Loan discount</w:t>
      </w:r>
    </w:p>
    <w:p w:rsidR="00ED5D55" w:rsidRPr="00ED5D55" w:rsidRDefault="00ED5D55" w:rsidP="00ED5D55">
      <w:r w:rsidRPr="00ED5D55">
        <w:t xml:space="preserve">IBA continues to designate its loan portfolio at fair value through profit and loss per paragraph 11A of AASB 139, which provides for contracts with embedded derivatives, such as prepayment options, to be designated at fair value through profit and loss. The variation in the loan portfolio under fair value basis is written directly to the Income Statement. </w:t>
      </w:r>
    </w:p>
    <w:p w:rsidR="00ED5D55" w:rsidRPr="00ED5D55" w:rsidRDefault="00ED5D55" w:rsidP="00ED5D55">
      <w:pPr>
        <w:pStyle w:val="Heading5"/>
      </w:pPr>
      <w:r w:rsidRPr="00ED5D55">
        <w:t>Financial assets – receivables</w:t>
      </w:r>
    </w:p>
    <w:p w:rsidR="00737E8F" w:rsidRDefault="00ED5D55" w:rsidP="00ED5D55">
      <w:r w:rsidRPr="00ED5D55">
        <w:t>This includes loans and advances made by IBA to clients in the delivery of its outputs, in addition to amounts owing to IBA for delivery of goods and services, and dividends owed to IBA from subsidiaries, associates and investments. Loans receivable are carried at fair value under AASB 139.</w:t>
      </w:r>
    </w:p>
    <w:p w:rsidR="00ED5D55" w:rsidRDefault="00ED5D55" w:rsidP="00ED5D55">
      <w:pPr>
        <w:pStyle w:val="Heading5"/>
        <w:keepNext/>
      </w:pPr>
      <w:r>
        <w:lastRenderedPageBreak/>
        <w:t>Assets – non-financial</w:t>
      </w:r>
    </w:p>
    <w:p w:rsidR="00ED5D55" w:rsidRDefault="00ED5D55" w:rsidP="00ED5D55">
      <w:r>
        <w:t xml:space="preserve">Except for any </w:t>
      </w:r>
      <w:proofErr w:type="spellStart"/>
      <w:r>
        <w:t>revalued</w:t>
      </w:r>
      <w:proofErr w:type="spellEnd"/>
      <w:r>
        <w:t xml:space="preserve"> assets, reported value of plant and equipment represents the purchase price paid less depreciation incurred.</w:t>
      </w:r>
    </w:p>
    <w:p w:rsidR="00ED5D55" w:rsidRPr="00ED5D55" w:rsidRDefault="00ED5D55" w:rsidP="00ED5D55">
      <w:r>
        <w:t>Land and building held for investment are carried at fair value.</w:t>
      </w:r>
    </w:p>
    <w:p w:rsidR="00ED5D55" w:rsidRDefault="00ED5D55" w:rsidP="00ED5D55"/>
    <w:p w:rsidR="00737E8F" w:rsidRDefault="00737E8F" w:rsidP="00737E8F">
      <w:pPr>
        <w:sectPr w:rsidR="00737E8F" w:rsidSect="00D7542D">
          <w:headerReference w:type="even" r:id="rId166"/>
          <w:headerReference w:type="default" r:id="rId167"/>
          <w:type w:val="oddPage"/>
          <w:pgSz w:w="11907" w:h="16840" w:code="9"/>
          <w:pgMar w:top="2466" w:right="2126" w:bottom="2466" w:left="2098" w:header="1899" w:footer="1899" w:gutter="0"/>
          <w:cols w:space="708"/>
          <w:titlePg/>
          <w:docGrid w:linePitch="360"/>
        </w:sectPr>
      </w:pPr>
    </w:p>
    <w:p w:rsidR="00737E8F" w:rsidRDefault="00737E8F" w:rsidP="00737E8F">
      <w:pPr>
        <w:pStyle w:val="PartHeading"/>
        <w:spacing w:before="2160"/>
      </w:pPr>
      <w:r>
        <w:lastRenderedPageBreak/>
        <w:t>Indigenous Land Corporation</w:t>
      </w:r>
    </w:p>
    <w:p w:rsidR="00737E8F" w:rsidRPr="00CF29B7" w:rsidRDefault="00737E8F" w:rsidP="00737E8F">
      <w:pPr>
        <w:pStyle w:val="PartHeading"/>
        <w:spacing w:before="2160"/>
      </w:pPr>
      <w:r>
        <w:t>Agency Resources and Planned Performance</w:t>
      </w:r>
    </w:p>
    <w:p w:rsidR="00737E8F" w:rsidRDefault="00737E8F" w:rsidP="00737E8F">
      <w:pPr>
        <w:jc w:val="left"/>
        <w:sectPr w:rsidR="00737E8F" w:rsidSect="00D7542D">
          <w:footerReference w:type="first" r:id="rId168"/>
          <w:type w:val="oddPage"/>
          <w:pgSz w:w="11907" w:h="16840" w:code="9"/>
          <w:pgMar w:top="2466" w:right="2126" w:bottom="2466" w:left="2098" w:header="1899" w:footer="1899" w:gutter="0"/>
          <w:cols w:space="708"/>
          <w:titlePg/>
          <w:docGrid w:linePitch="360"/>
        </w:sectPr>
      </w:pPr>
    </w:p>
    <w:p w:rsidR="00737E8F" w:rsidRPr="00042738" w:rsidRDefault="00737E8F" w:rsidP="00737E8F">
      <w:pPr>
        <w:pStyle w:val="ContentsHeading"/>
      </w:pPr>
      <w:r>
        <w:lastRenderedPageBreak/>
        <w:t>Indigenous Land Corporation</w:t>
      </w:r>
    </w:p>
    <w:p w:rsidR="00737E8F" w:rsidRPr="0032739E" w:rsidRDefault="00737E8F" w:rsidP="00737E8F">
      <w:pPr>
        <w:pStyle w:val="TOC1"/>
      </w:pPr>
      <w:r w:rsidRPr="0032739E">
        <w:t>Section 1: Agency overview and resources</w:t>
      </w:r>
      <w:r w:rsidRPr="0032739E">
        <w:tab/>
      </w:r>
      <w:r w:rsidR="009A2C55">
        <w:t>259</w:t>
      </w:r>
    </w:p>
    <w:p w:rsidR="00737E8F" w:rsidRPr="0032739E" w:rsidRDefault="00737E8F" w:rsidP="00737E8F">
      <w:pPr>
        <w:pStyle w:val="TOC2"/>
      </w:pPr>
      <w:r w:rsidRPr="0032739E">
        <w:t>1.1</w:t>
      </w:r>
      <w:r>
        <w:t xml:space="preserve"> </w:t>
      </w:r>
      <w:r w:rsidRPr="0032739E">
        <w:t xml:space="preserve">Strategic </w:t>
      </w:r>
      <w:r>
        <w:t>d</w:t>
      </w:r>
      <w:r w:rsidRPr="0032739E">
        <w:t>irection</w:t>
      </w:r>
      <w:r w:rsidR="006911FE">
        <w:t xml:space="preserve"> statement</w:t>
      </w:r>
      <w:r w:rsidRPr="0032739E">
        <w:tab/>
      </w:r>
      <w:r w:rsidR="009A2C55">
        <w:t>259</w:t>
      </w:r>
    </w:p>
    <w:p w:rsidR="00737E8F" w:rsidRPr="0032739E" w:rsidRDefault="00737E8F" w:rsidP="00737E8F">
      <w:pPr>
        <w:pStyle w:val="TOC2"/>
      </w:pPr>
      <w:r w:rsidRPr="0032739E">
        <w:t>1.2</w:t>
      </w:r>
      <w:r>
        <w:t xml:space="preserve"> </w:t>
      </w:r>
      <w:r w:rsidRPr="0032739E">
        <w:t xml:space="preserve">Agency </w:t>
      </w:r>
      <w:r>
        <w:t>r</w:t>
      </w:r>
      <w:r w:rsidRPr="0032739E">
        <w:t xml:space="preserve">esource </w:t>
      </w:r>
      <w:r>
        <w:t>s</w:t>
      </w:r>
      <w:r w:rsidRPr="0032739E">
        <w:t>tatement</w:t>
      </w:r>
      <w:r w:rsidRPr="0032739E">
        <w:tab/>
      </w:r>
      <w:r w:rsidR="009A2C55">
        <w:t>261</w:t>
      </w:r>
    </w:p>
    <w:p w:rsidR="00737E8F" w:rsidRPr="0032739E" w:rsidRDefault="00737E8F" w:rsidP="00737E8F">
      <w:pPr>
        <w:pStyle w:val="TOC2"/>
      </w:pPr>
      <w:r w:rsidRPr="0032739E">
        <w:t>1.3</w:t>
      </w:r>
      <w:r>
        <w:t xml:space="preserve"> Budget measures</w:t>
      </w:r>
      <w:r w:rsidRPr="0032739E">
        <w:tab/>
      </w:r>
      <w:r w:rsidR="009A2C55">
        <w:t>262</w:t>
      </w:r>
    </w:p>
    <w:p w:rsidR="00737E8F" w:rsidRPr="0032739E" w:rsidRDefault="00737E8F" w:rsidP="00737E8F">
      <w:pPr>
        <w:pStyle w:val="TOC1"/>
      </w:pPr>
      <w:r w:rsidRPr="0032739E">
        <w:t xml:space="preserve">Section 2: </w:t>
      </w:r>
      <w:r>
        <w:t>O</w:t>
      </w:r>
      <w:r w:rsidRPr="0032739E">
        <w:t>utcomes and planned performance</w:t>
      </w:r>
      <w:r w:rsidRPr="0032739E">
        <w:tab/>
      </w:r>
      <w:r w:rsidR="009A2C55">
        <w:t>263</w:t>
      </w:r>
    </w:p>
    <w:p w:rsidR="00737E8F" w:rsidRPr="0032739E" w:rsidRDefault="00737E8F" w:rsidP="00737E8F">
      <w:pPr>
        <w:pStyle w:val="TOC2"/>
      </w:pPr>
      <w:r w:rsidRPr="0032739E">
        <w:t>2.1</w:t>
      </w:r>
      <w:r>
        <w:t xml:space="preserve"> Outcomes and</w:t>
      </w:r>
      <w:r w:rsidRPr="0032739E">
        <w:t xml:space="preserve"> performance information</w:t>
      </w:r>
      <w:r w:rsidRPr="0032739E">
        <w:tab/>
      </w:r>
      <w:r w:rsidR="009A2C55">
        <w:t>263</w:t>
      </w:r>
    </w:p>
    <w:p w:rsidR="00737E8F" w:rsidRPr="0032739E" w:rsidRDefault="00737E8F" w:rsidP="00737E8F">
      <w:pPr>
        <w:pStyle w:val="TOC1"/>
      </w:pPr>
      <w:r w:rsidRPr="0032739E">
        <w:t>Section 3: Explanatory tables and budgeted financial statements</w:t>
      </w:r>
      <w:r w:rsidRPr="0032739E">
        <w:tab/>
      </w:r>
      <w:r w:rsidR="009A2C55">
        <w:t>269</w:t>
      </w:r>
    </w:p>
    <w:p w:rsidR="00737E8F" w:rsidRPr="0032739E" w:rsidRDefault="00737E8F" w:rsidP="00737E8F">
      <w:pPr>
        <w:pStyle w:val="TOC2"/>
      </w:pPr>
      <w:r w:rsidRPr="0032739E">
        <w:t>3.1</w:t>
      </w:r>
      <w:r>
        <w:t xml:space="preserve"> </w:t>
      </w:r>
      <w:r w:rsidRPr="0032739E">
        <w:t>Explanatory tables</w:t>
      </w:r>
      <w:r w:rsidRPr="0032739E">
        <w:tab/>
      </w:r>
      <w:r w:rsidR="009A2C55">
        <w:t>269</w:t>
      </w:r>
    </w:p>
    <w:p w:rsidR="00737E8F" w:rsidRDefault="00737E8F" w:rsidP="00737E8F">
      <w:pPr>
        <w:pStyle w:val="TOC2"/>
      </w:pPr>
      <w:r w:rsidRPr="0032739E">
        <w:t>3.2</w:t>
      </w:r>
      <w:r>
        <w:t xml:space="preserve"> </w:t>
      </w:r>
      <w:r w:rsidRPr="0032739E">
        <w:t>Budgeted financial statements</w:t>
      </w:r>
      <w:r w:rsidRPr="0032739E">
        <w:tab/>
      </w:r>
      <w:r w:rsidR="009A2C55">
        <w:t>270</w:t>
      </w:r>
    </w:p>
    <w:p w:rsidR="00737E8F" w:rsidRPr="008E4CBB" w:rsidRDefault="00737E8F" w:rsidP="00737E8F"/>
    <w:p w:rsidR="00737E8F" w:rsidRDefault="00737E8F" w:rsidP="00737E8F">
      <w:pPr>
        <w:jc w:val="left"/>
        <w:sectPr w:rsidR="00737E8F" w:rsidSect="00D7542D">
          <w:headerReference w:type="first" r:id="rId169"/>
          <w:footerReference w:type="first" r:id="rId170"/>
          <w:type w:val="oddPage"/>
          <w:pgSz w:w="11907" w:h="16840" w:code="9"/>
          <w:pgMar w:top="2466" w:right="2126" w:bottom="2466" w:left="2098" w:header="1899" w:footer="1899" w:gutter="0"/>
          <w:cols w:space="708"/>
          <w:titlePg/>
          <w:docGrid w:linePitch="360"/>
        </w:sectPr>
      </w:pPr>
    </w:p>
    <w:p w:rsidR="00737E8F" w:rsidRDefault="00F426ED" w:rsidP="00737E8F">
      <w:pPr>
        <w:pStyle w:val="Heading1"/>
      </w:pPr>
      <w:r>
        <w:lastRenderedPageBreak/>
        <w:t>Indigenous Land Corporation</w:t>
      </w:r>
    </w:p>
    <w:p w:rsidR="00737E8F" w:rsidRDefault="00737E8F" w:rsidP="00737E8F">
      <w:pPr>
        <w:pStyle w:val="Heading2"/>
      </w:pPr>
      <w:r>
        <w:t>Section 1: Agency overview and resources</w:t>
      </w:r>
    </w:p>
    <w:p w:rsidR="00737E8F" w:rsidRDefault="00B77C78" w:rsidP="00B77C78">
      <w:pPr>
        <w:pStyle w:val="Heading3"/>
      </w:pPr>
      <w:r>
        <w:t>1.1</w:t>
      </w:r>
      <w:r>
        <w:tab/>
      </w:r>
      <w:r w:rsidR="00737E8F" w:rsidRPr="00B77C78">
        <w:t>Strategic</w:t>
      </w:r>
      <w:r w:rsidR="00737E8F">
        <w:t xml:space="preserve"> direction statement</w:t>
      </w:r>
    </w:p>
    <w:p w:rsidR="00B77C78" w:rsidRDefault="00B77C78" w:rsidP="00B77C78">
      <w:r>
        <w:t xml:space="preserve">The Indigenous Land Corporation (ILC) is an independent Australian Government statutory authority established to provide economic, environmental, social and cultural benefits for Aboriginal people and Torres Strait Islanders by assisting with acquisition and management of land. The ILC was established on 1 June 1995, and is governed by the </w:t>
      </w:r>
      <w:r w:rsidRPr="00B77C78">
        <w:rPr>
          <w:i/>
        </w:rPr>
        <w:t>Aboriginal and Torres Strait Islander Act 2005</w:t>
      </w:r>
      <w:r>
        <w:t xml:space="preserve"> (ATSI Act). </w:t>
      </w:r>
    </w:p>
    <w:p w:rsidR="00B77C78" w:rsidRDefault="00B77C78" w:rsidP="00B77C78">
      <w:r>
        <w:t>The ATSI Act defines that the ILC has two functions: land acquisition and land management. The ILC’s functions are to be exercised ‘in addition to, not instead of’ the functions conferred on other agencies (s</w:t>
      </w:r>
      <w:r w:rsidR="00162FD1">
        <w:t> </w:t>
      </w:r>
      <w:proofErr w:type="gramStart"/>
      <w:r>
        <w:t>191F(</w:t>
      </w:r>
      <w:proofErr w:type="gramEnd"/>
      <w:r>
        <w:t>3)).</w:t>
      </w:r>
    </w:p>
    <w:p w:rsidR="00B77C78" w:rsidRDefault="00B77C78" w:rsidP="00B77C78">
      <w:pPr>
        <w:pStyle w:val="BulletIntro"/>
      </w:pPr>
      <w:r>
        <w:t>The ILC has two</w:t>
      </w:r>
      <w:r>
        <w:rPr>
          <w:rStyle w:val="FootnoteReference"/>
        </w:rPr>
        <w:footnoteReference w:id="56"/>
      </w:r>
      <w:r>
        <w:t xml:space="preserve"> priorities for the achievement of Indigenous benefits through acquiring and managing land:</w:t>
      </w:r>
    </w:p>
    <w:p w:rsidR="00B77C78" w:rsidRDefault="00B77C78" w:rsidP="00B77C78">
      <w:pPr>
        <w:pStyle w:val="Bullet"/>
      </w:pPr>
      <w:r>
        <w:t>access to and protection of cultural and environmental values</w:t>
      </w:r>
      <w:r w:rsidR="00930450">
        <w:t>, and</w:t>
      </w:r>
    </w:p>
    <w:p w:rsidR="00B77C78" w:rsidRDefault="00B77C78" w:rsidP="00B77C78">
      <w:pPr>
        <w:pStyle w:val="BulletLast"/>
      </w:pPr>
      <w:proofErr w:type="gramStart"/>
      <w:r>
        <w:t>socio-economic</w:t>
      </w:r>
      <w:proofErr w:type="gramEnd"/>
      <w:r>
        <w:t xml:space="preserve"> development.</w:t>
      </w:r>
    </w:p>
    <w:p w:rsidR="00B77C78" w:rsidRDefault="00B77C78" w:rsidP="00B77C78">
      <w:r>
        <w:t>The ILC’s primary source of income is an annual minimum payment of $45 million indexed from the Aboriginal and Torres Strait Islander Land Account (Land Account) pursuant to s</w:t>
      </w:r>
      <w:r w:rsidR="00162FD1">
        <w:t> </w:t>
      </w:r>
      <w:r>
        <w:t>193(2) of the ATSI Act. The Land Account is administered by the Department of Families, Housing, Community Services and Indigenous Affairs (FaHCSIA).</w:t>
      </w:r>
    </w:p>
    <w:p w:rsidR="00B77C78" w:rsidRDefault="00B77C78" w:rsidP="00B77C78">
      <w:r>
        <w:t xml:space="preserve">The Board is the ILC’s primary decision-making body and sets out the ILC’s strategic direction, policies and strategies in the National Indigenous Land Strategy 2013–2017. The Board oversees governance of the ILC’s administration, considers land acquisition and land management proposals, and monitors performance. </w:t>
      </w:r>
    </w:p>
    <w:p w:rsidR="00B77C78" w:rsidRDefault="00B77C78" w:rsidP="00B77C78">
      <w:r>
        <w:lastRenderedPageBreak/>
        <w:t xml:space="preserve">The ILC provides assistance with land acquisition and land management through calling for applications from Indigenous organisations and landholders, and initiating projects to respond to opportunities to deliver significant Indigenous benefits. Key strategic priorities for the ILC will continue to support cultural, social and environmental outcomes as well as the achievement of training and employment outcomes and collaboration with other government agencies, industry, peak Indigenous organisations and the non-government sector. These collaborations bring additional expertise, funding and resources to achieve a more significant impact. </w:t>
      </w:r>
    </w:p>
    <w:p w:rsidR="00737E8F" w:rsidRPr="008E4CBB" w:rsidRDefault="00B77C78" w:rsidP="00B77C78">
      <w:r>
        <w:t>The ILC is committed to monitoring and evaluating its Land Acquisition and Land Management Program to ensure benefits are being achieved and progress is made towards achieving its outcome. The ILC has evaluation and benefits frameworks that guide it in monitoring its performance and informing its strategic planning.</w:t>
      </w:r>
    </w:p>
    <w:p w:rsidR="00737E8F" w:rsidRDefault="00737E8F" w:rsidP="00737E8F">
      <w:pPr>
        <w:pStyle w:val="Heading3"/>
      </w:pPr>
      <w:r>
        <w:br w:type="page"/>
      </w:r>
      <w:r>
        <w:lastRenderedPageBreak/>
        <w:t>1.2</w:t>
      </w:r>
      <w:r>
        <w:tab/>
        <w:t>Agency resource statement</w:t>
      </w:r>
    </w:p>
    <w:p w:rsidR="00737E8F" w:rsidRDefault="00281946" w:rsidP="00737E8F">
      <w:r w:rsidRPr="00281946">
        <w:t>Table 1.1 shows the total resources from all sources. The table summarises how resources will be applied by outcome and by administered and departmental classification.</w:t>
      </w:r>
    </w:p>
    <w:p w:rsidR="00737E8F" w:rsidRDefault="00737E8F" w:rsidP="00737E8F">
      <w:pPr>
        <w:pStyle w:val="TableHeading"/>
      </w:pPr>
      <w:r>
        <w:t xml:space="preserve">Table 1.1: </w:t>
      </w:r>
      <w:r w:rsidR="00B351F4">
        <w:t>ILC</w:t>
      </w:r>
      <w:r>
        <w:t xml:space="preserve"> Resource Statement – Budget Estimates for 2013–14 as at Budget May 201</w:t>
      </w:r>
      <w:r w:rsidR="00D413A5">
        <w:t>3</w:t>
      </w:r>
    </w:p>
    <w:p w:rsidR="00737E8F" w:rsidRDefault="00654BCE" w:rsidP="00737E8F">
      <w:pPr>
        <w:pStyle w:val="TableGraphic"/>
      </w:pPr>
      <w:r>
        <w:rPr>
          <w:noProof/>
        </w:rPr>
        <w:drawing>
          <wp:inline distT="0" distB="0" distL="0" distR="0" wp14:anchorId="6161CAF4" wp14:editId="7FB3E401">
            <wp:extent cx="4867275" cy="4333875"/>
            <wp:effectExtent l="0" t="0" r="9525" b="9525"/>
            <wp:docPr id="291" name="Picture 291" descr="Table 1.1: ILC Resource Statement – Budget Estimates for 2013–14 as at Budget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67275" cy="4333875"/>
                    </a:xfrm>
                    <a:prstGeom prst="rect">
                      <a:avLst/>
                    </a:prstGeom>
                    <a:noFill/>
                    <a:ln>
                      <a:noFill/>
                    </a:ln>
                  </pic:spPr>
                </pic:pic>
              </a:graphicData>
            </a:graphic>
          </wp:inline>
        </w:drawing>
      </w:r>
    </w:p>
    <w:p w:rsidR="00281946" w:rsidRDefault="00281946" w:rsidP="00281946">
      <w:pPr>
        <w:pStyle w:val="TableHeading"/>
      </w:pPr>
      <w:r w:rsidRPr="00281946">
        <w:t>Third party payments from and on behalf of other agencies</w:t>
      </w:r>
    </w:p>
    <w:p w:rsidR="00281946" w:rsidRPr="00281946" w:rsidRDefault="00654BCE" w:rsidP="00281946">
      <w:pPr>
        <w:pStyle w:val="TableGraphic"/>
      </w:pPr>
      <w:r>
        <w:rPr>
          <w:noProof/>
        </w:rPr>
        <w:drawing>
          <wp:inline distT="0" distB="0" distL="0" distR="0" wp14:anchorId="333EF3C0" wp14:editId="1119CA1F">
            <wp:extent cx="4859020" cy="967740"/>
            <wp:effectExtent l="0" t="0" r="0" b="3810"/>
            <wp:docPr id="293" name="Picture 293" descr="Third party payments from and on behalf of other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859020" cy="967740"/>
                    </a:xfrm>
                    <a:prstGeom prst="rect">
                      <a:avLst/>
                    </a:prstGeom>
                    <a:noFill/>
                    <a:ln>
                      <a:noFill/>
                    </a:ln>
                  </pic:spPr>
                </pic:pic>
              </a:graphicData>
            </a:graphic>
          </wp:inline>
        </w:drawing>
      </w:r>
    </w:p>
    <w:p w:rsidR="00737E8F" w:rsidRDefault="00737E8F" w:rsidP="00737E8F">
      <w:pPr>
        <w:pStyle w:val="Heading3"/>
      </w:pPr>
      <w:r>
        <w:br w:type="page"/>
      </w:r>
      <w:r>
        <w:lastRenderedPageBreak/>
        <w:t>1.3</w:t>
      </w:r>
      <w:r>
        <w:tab/>
        <w:t>Budget measures</w:t>
      </w:r>
    </w:p>
    <w:p w:rsidR="00737E8F" w:rsidRDefault="00281946" w:rsidP="00737E8F">
      <w:r w:rsidRPr="00281946">
        <w:t>Budget measures relating to the ILC are detailed in MYEFO and are summarised below.</w:t>
      </w:r>
    </w:p>
    <w:p w:rsidR="00281946" w:rsidRDefault="00281946" w:rsidP="00281946">
      <w:pPr>
        <w:pStyle w:val="TableHeading"/>
      </w:pPr>
      <w:r>
        <w:t>Table 1.2: Agency 2013–14 budget measures</w:t>
      </w:r>
      <w:r>
        <w:br/>
        <w:t>MYEFO measures not previously reported in a portfolio statement</w:t>
      </w:r>
    </w:p>
    <w:p w:rsidR="00281946" w:rsidRPr="00281946" w:rsidRDefault="004321A2" w:rsidP="00281946">
      <w:pPr>
        <w:pStyle w:val="TableGraphic"/>
      </w:pPr>
      <w:r>
        <w:rPr>
          <w:noProof/>
        </w:rPr>
        <w:drawing>
          <wp:inline distT="0" distB="0" distL="0" distR="0" wp14:anchorId="256BB1AC" wp14:editId="2F8BE5FB">
            <wp:extent cx="4878705" cy="2363419"/>
            <wp:effectExtent l="0" t="0" r="0" b="0"/>
            <wp:docPr id="387" name="Picture 387" descr="Table 1.2: Agency 2013–14 budget measures&#10;MYEFO measures not previously reported in a portfolio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78705" cy="2363419"/>
                    </a:xfrm>
                    <a:prstGeom prst="rect">
                      <a:avLst/>
                    </a:prstGeom>
                    <a:noFill/>
                    <a:ln>
                      <a:noFill/>
                    </a:ln>
                  </pic:spPr>
                </pic:pic>
              </a:graphicData>
            </a:graphic>
          </wp:inline>
        </w:drawing>
      </w:r>
    </w:p>
    <w:p w:rsidR="00737E8F" w:rsidRDefault="00737E8F" w:rsidP="00737E8F">
      <w:pPr>
        <w:pStyle w:val="Heading2"/>
      </w:pPr>
      <w:r>
        <w:br w:type="page"/>
      </w:r>
      <w:r>
        <w:lastRenderedPageBreak/>
        <w:t>Section 2: Outcomes and planned performance</w:t>
      </w:r>
    </w:p>
    <w:p w:rsidR="00737E8F" w:rsidRDefault="00737E8F" w:rsidP="00737E8F">
      <w:pPr>
        <w:pStyle w:val="Heading3"/>
      </w:pPr>
      <w:r>
        <w:t>2.1</w:t>
      </w:r>
      <w:r>
        <w:tab/>
        <w:t>Outcomes and performance information</w:t>
      </w:r>
    </w:p>
    <w:p w:rsidR="00281946" w:rsidRDefault="00281946" w:rsidP="00281946">
      <w:r>
        <w:t>Government outcomes are the intended results, impacts or consequences of actions by government on the Australian community. Commonwealth programs are the primary vehicle by which government agencies achieve the intended results of their outcome statements. Agencies are required to identify the programs which contribute to government outcomes over the budget and forward years.</w:t>
      </w:r>
    </w:p>
    <w:p w:rsidR="003608C9" w:rsidRDefault="00281946" w:rsidP="0040773D">
      <w:r>
        <w:t>Each outcome is described below together with its related programs, specifying the performance indicators and targets used to assess and monitor the performance of Indigenous Land Corporation in achieving government outcomes.</w:t>
      </w:r>
    </w:p>
    <w:p w:rsidR="00F7530C" w:rsidRDefault="00F7530C" w:rsidP="00F7530C">
      <w:pPr>
        <w:pStyle w:val="Heading4"/>
        <w:pBdr>
          <w:top w:val="single" w:sz="2" w:space="1" w:color="auto"/>
          <w:left w:val="single" w:sz="2" w:space="4" w:color="auto"/>
          <w:bottom w:val="single" w:sz="2" w:space="1" w:color="auto"/>
          <w:right w:val="single" w:sz="2" w:space="4" w:color="auto"/>
        </w:pBdr>
        <w:shd w:val="pct15" w:color="auto" w:fill="auto"/>
      </w:pPr>
      <w:r>
        <w:t>Outcome 1</w:t>
      </w:r>
    </w:p>
    <w:p w:rsidR="00737E8F" w:rsidRPr="00F7530C" w:rsidRDefault="00F7530C" w:rsidP="00F7530C">
      <w:pPr>
        <w:pStyle w:val="SinglePara"/>
        <w:pBdr>
          <w:top w:val="single" w:sz="2" w:space="1" w:color="auto"/>
          <w:left w:val="single" w:sz="2" w:space="4" w:color="auto"/>
          <w:bottom w:val="single" w:sz="2" w:space="1" w:color="auto"/>
          <w:right w:val="single" w:sz="2" w:space="4" w:color="auto"/>
        </w:pBdr>
        <w:shd w:val="pct15" w:color="auto" w:fill="auto"/>
        <w:rPr>
          <w:rFonts w:ascii="Arial" w:hAnsi="Arial" w:cs="Arial"/>
          <w:sz w:val="20"/>
        </w:rPr>
      </w:pPr>
      <w:proofErr w:type="gramStart"/>
      <w:r w:rsidRPr="00F7530C">
        <w:rPr>
          <w:rFonts w:ascii="Arial" w:hAnsi="Arial" w:cs="Arial"/>
          <w:sz w:val="20"/>
        </w:rPr>
        <w:t>Enhanced socio-economic development, maintenance of cultural identity and protection of the environment by Indigenous Australians through land acquisition and management.</w:t>
      </w:r>
      <w:proofErr w:type="gramEnd"/>
    </w:p>
    <w:p w:rsidR="00737E8F" w:rsidRDefault="00737E8F" w:rsidP="00F7530C">
      <w:pPr>
        <w:pStyle w:val="Heading5"/>
      </w:pPr>
      <w:r>
        <w:t xml:space="preserve">Outcome 1 </w:t>
      </w:r>
      <w:r w:rsidR="00114603">
        <w:t>strategy</w:t>
      </w:r>
    </w:p>
    <w:p w:rsidR="00281946" w:rsidRDefault="00281946" w:rsidP="00281946">
      <w:r>
        <w:t xml:space="preserve">The statutory purpose of the ILC is to assist Indigenous people to acquire and manage land to achieve economic, environmental, social and cultural benefits. </w:t>
      </w:r>
    </w:p>
    <w:p w:rsidR="00281946" w:rsidRDefault="00281946" w:rsidP="00281946">
      <w:r>
        <w:t xml:space="preserve">The National Indigenous Land Strategy 2013–2017 describes that the ILC will assist with the acquisition and management of land-based projects that achieve the following priorities. </w:t>
      </w:r>
    </w:p>
    <w:p w:rsidR="00281946" w:rsidRDefault="00281946" w:rsidP="00F7530C">
      <w:pPr>
        <w:pStyle w:val="H6-ILC"/>
      </w:pPr>
      <w:r>
        <w:t>Provide access to and protection and maintenance of land with cultural and environmental values</w:t>
      </w:r>
    </w:p>
    <w:p w:rsidR="00281946" w:rsidRDefault="00281946" w:rsidP="00281946">
      <w:r>
        <w:t>The ILC recognises the importance of land to Indigenous peoples’ cultural identity. Indigenous people can apply for assistance with land acquisition and management of land with cultural and environmental significance, and to protect and maintain the cultural and environmental values of land. Applications for cultural and environmental acquisitions will continue to be accepted by the ILC at any time of the year in 2013–14.</w:t>
      </w:r>
    </w:p>
    <w:p w:rsidR="00281946" w:rsidRDefault="00281946" w:rsidP="00F7530C">
      <w:pPr>
        <w:pStyle w:val="H6-ILC"/>
      </w:pPr>
      <w:r>
        <w:t>Deliver socio-</w:t>
      </w:r>
      <w:r w:rsidRPr="00DC021C">
        <w:t>economic</w:t>
      </w:r>
      <w:r>
        <w:t xml:space="preserve"> outcomes for Indigenous people</w:t>
      </w:r>
    </w:p>
    <w:p w:rsidR="00281946" w:rsidRDefault="00281946" w:rsidP="00DC021C">
      <w:r>
        <w:t>The ILC assists projects that deliver social and economic outcomes for Indigenous Australians. Priority is given to projects that provide sustainable employment and training that leads to employment. The ILC believes that sustainable employment creates benefits for Indigenous people, including increased standards of living, income and improved health and wellbeing.</w:t>
      </w:r>
    </w:p>
    <w:p w:rsidR="00281946" w:rsidRDefault="00281946" w:rsidP="00281946">
      <w:r>
        <w:lastRenderedPageBreak/>
        <w:t>In 2013–14</w:t>
      </w:r>
      <w:r w:rsidR="00930450">
        <w:t>,</w:t>
      </w:r>
      <w:r>
        <w:t xml:space="preserve"> the ILC will call for applications that achieve these outcomes, including assisting Indigenous landholders to develop viable businesses and sustainably manage their land. In addition, the ILC will continue to operate employment and training projects on agricultural and tourism businesses to host Indigenous trainees and transition them to employment.</w:t>
      </w:r>
    </w:p>
    <w:p w:rsidR="00281946" w:rsidRDefault="00281946" w:rsidP="00F7530C">
      <w:pPr>
        <w:pStyle w:val="H6-ILC"/>
      </w:pPr>
      <w:r>
        <w:t xml:space="preserve">Aligning with government priorities </w:t>
      </w:r>
    </w:p>
    <w:p w:rsidR="00281946" w:rsidRDefault="00281946" w:rsidP="00281946">
      <w:r>
        <w:t>In pursuing achievements against these priorities, the ILC seeks to build a secure and sustainable land base now and for future generations. Achievements will also contribute to the following closing the gap targets; halving the gap in employment outcomes between Indigenous and non-Indigenous Australians within a decade; and halving the gap for Indigenous students in Year 12 attainment or equivalent attainment rates by 2020.</w:t>
      </w:r>
    </w:p>
    <w:p w:rsidR="00281946" w:rsidRDefault="00281946" w:rsidP="00281946">
      <w:r>
        <w:t xml:space="preserve">Indigenous-owned or </w:t>
      </w:r>
      <w:r w:rsidR="00C354E6">
        <w:t>Indigenous</w:t>
      </w:r>
      <w:r>
        <w:t xml:space="preserve">-controlled land is included in the report </w:t>
      </w:r>
      <w:r w:rsidRPr="00281946">
        <w:rPr>
          <w:i/>
        </w:rPr>
        <w:t>Overcoming Indigenous Disadvantage: Key Indicators 2011</w:t>
      </w:r>
      <w:r>
        <w:t xml:space="preserve"> as an indicator of economic participation and development and of the social and cultural relationship between Indigenous people and their land. In 2010, Indigenous-owned or </w:t>
      </w:r>
      <w:r w:rsidR="00C354E6">
        <w:t>Indigenous</w:t>
      </w:r>
      <w:r>
        <w:t xml:space="preserve">-controlled land comprised </w:t>
      </w:r>
      <w:r w:rsidR="00C354E6">
        <w:t>16 </w:t>
      </w:r>
      <w:r>
        <w:t>per cent of the area of Australia (excluding native title lands). Approximately 4.7 per cent of Indigenous-held land in Australia has been acquired by the ILC.</w:t>
      </w:r>
    </w:p>
    <w:p w:rsidR="00281946" w:rsidRDefault="00281946" w:rsidP="00281946">
      <w:r>
        <w:t>The ILC will continue to make important contributions to the Indigenous Economic Development Strategy through creation of Indigenous enterprises and the implementation of its training-to-employment model in its agricultural and tourism businesses.</w:t>
      </w:r>
    </w:p>
    <w:p w:rsidR="00737E8F" w:rsidRDefault="00281946" w:rsidP="00281946">
      <w:r>
        <w:t>The ILC will continue to have regard to the COAG National Partnership on Remote Service Delivery in fulfilling its statutory obligations.</w:t>
      </w:r>
    </w:p>
    <w:p w:rsidR="00737E8F" w:rsidRDefault="00727278" w:rsidP="00F7530C">
      <w:pPr>
        <w:pStyle w:val="Heading5"/>
      </w:pPr>
      <w:r>
        <w:br w:type="page"/>
      </w:r>
      <w:r w:rsidR="00737E8F">
        <w:lastRenderedPageBreak/>
        <w:t xml:space="preserve">Outcome </w:t>
      </w:r>
      <w:r w:rsidR="004164A2">
        <w:t>expense s</w:t>
      </w:r>
      <w:r w:rsidR="00737E8F">
        <w:t>tatement</w:t>
      </w:r>
    </w:p>
    <w:p w:rsidR="00737E8F" w:rsidRDefault="00281946" w:rsidP="00737E8F">
      <w:r w:rsidRPr="00281946">
        <w:t>Table 2.1 provides an overview of the total expenses for Outcome 1, by program.</w:t>
      </w:r>
    </w:p>
    <w:p w:rsidR="00737E8F" w:rsidRDefault="00737E8F" w:rsidP="00737E8F">
      <w:pPr>
        <w:pStyle w:val="TableHeading"/>
        <w:rPr>
          <w:lang w:val="en-GB"/>
        </w:rPr>
      </w:pPr>
      <w:r>
        <w:rPr>
          <w:lang w:val="en-GB"/>
        </w:rPr>
        <w:t xml:space="preserve">Table 2.1: Budgeted </w:t>
      </w:r>
      <w:r w:rsidR="00114603">
        <w:rPr>
          <w:lang w:val="en-GB"/>
        </w:rPr>
        <w:t>expenses</w:t>
      </w:r>
      <w:r>
        <w:rPr>
          <w:lang w:val="en-GB"/>
        </w:rPr>
        <w:t xml:space="preserve"> for Outcome 1</w:t>
      </w:r>
    </w:p>
    <w:p w:rsidR="00737E8F" w:rsidRPr="00A82139" w:rsidRDefault="00C97CFB" w:rsidP="00737E8F">
      <w:pPr>
        <w:pStyle w:val="TableGraphic"/>
        <w:rPr>
          <w:lang w:val="en-GB"/>
        </w:rPr>
      </w:pPr>
      <w:r>
        <w:rPr>
          <w:noProof/>
        </w:rPr>
        <w:drawing>
          <wp:inline distT="0" distB="0" distL="0" distR="0" wp14:anchorId="2502A780" wp14:editId="71E0A0C1">
            <wp:extent cx="4878705" cy="3217076"/>
            <wp:effectExtent l="0" t="0" r="0" b="2540"/>
            <wp:docPr id="125" name="Picture 125" descr="Table 2.1: Budgeted expens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878705" cy="3217076"/>
                    </a:xfrm>
                    <a:prstGeom prst="rect">
                      <a:avLst/>
                    </a:prstGeom>
                    <a:noFill/>
                    <a:ln>
                      <a:noFill/>
                    </a:ln>
                  </pic:spPr>
                </pic:pic>
              </a:graphicData>
            </a:graphic>
          </wp:inline>
        </w:drawing>
      </w:r>
    </w:p>
    <w:p w:rsidR="00737E8F" w:rsidRDefault="00737E8F" w:rsidP="00F7530C">
      <w:pPr>
        <w:pStyle w:val="Heading5"/>
      </w:pPr>
      <w:r>
        <w:t xml:space="preserve"> </w:t>
      </w:r>
      <w:r>
        <w:br w:type="page"/>
      </w:r>
      <w:r>
        <w:lastRenderedPageBreak/>
        <w:t>Contributions to Outcome 1</w:t>
      </w:r>
    </w:p>
    <w:p w:rsidR="00737E8F" w:rsidRDefault="00737E8F" w:rsidP="00F7530C">
      <w:pPr>
        <w:pStyle w:val="Heading6"/>
      </w:pPr>
      <w:r>
        <w:t xml:space="preserve">Program 1.1: </w:t>
      </w:r>
      <w:r w:rsidR="00815C6A" w:rsidRPr="00815C6A">
        <w:t>Acquisition and Management of an Indigenous Land Base</w:t>
      </w:r>
    </w:p>
    <w:p w:rsidR="00737E8F" w:rsidRDefault="00737E8F" w:rsidP="00737E8F">
      <w:pPr>
        <w:pStyle w:val="SinglePara"/>
      </w:pPr>
    </w:p>
    <w:p w:rsidR="00737E8F" w:rsidRDefault="00737E8F" w:rsidP="00F7530C">
      <w:pPr>
        <w:pStyle w:val="Heading7"/>
      </w:pPr>
      <w:r>
        <w:t xml:space="preserve">Program 1.1 </w:t>
      </w:r>
      <w:r w:rsidR="00114603">
        <w:t>objective</w:t>
      </w:r>
    </w:p>
    <w:p w:rsidR="00815C6A" w:rsidRDefault="00815C6A" w:rsidP="00815C6A">
      <w:pPr>
        <w:pStyle w:val="NormalBox"/>
      </w:pPr>
      <w:proofErr w:type="gramStart"/>
      <w:r>
        <w:t>To assist Indigenous people to acquire and manage land to achieve economic, environmental, social and cultural benefits.</w:t>
      </w:r>
      <w:proofErr w:type="gramEnd"/>
    </w:p>
    <w:p w:rsidR="00815C6A" w:rsidRDefault="00815C6A" w:rsidP="00F7530C">
      <w:pPr>
        <w:pStyle w:val="Heading7"/>
      </w:pPr>
      <w:r>
        <w:t>Program component objectives</w:t>
      </w:r>
    </w:p>
    <w:p w:rsidR="00815C6A" w:rsidRDefault="00815C6A" w:rsidP="00F7530C">
      <w:pPr>
        <w:pStyle w:val="Heading8"/>
      </w:pPr>
      <w:r>
        <w:t>Cultural and environmental heritage protection</w:t>
      </w:r>
    </w:p>
    <w:p w:rsidR="00815C6A" w:rsidRDefault="00815C6A" w:rsidP="00815C6A">
      <w:pPr>
        <w:pStyle w:val="BulletBox"/>
      </w:pPr>
      <w:r>
        <w:t>To acquire and grant land to Indigenous organisations for the purposes of environmental heritage protection and maintenance of culture</w:t>
      </w:r>
    </w:p>
    <w:p w:rsidR="00815C6A" w:rsidRDefault="00815C6A" w:rsidP="00815C6A">
      <w:pPr>
        <w:pStyle w:val="BulletBox"/>
      </w:pPr>
      <w:r>
        <w:t>To provide land management assistance to Indigenous landholders to support them in protecting and maintaining cultural and environmental heritage</w:t>
      </w:r>
    </w:p>
    <w:p w:rsidR="00815C6A" w:rsidRDefault="00815C6A" w:rsidP="00F7530C">
      <w:pPr>
        <w:pStyle w:val="Heading8"/>
      </w:pPr>
      <w:r>
        <w:t>Socio-economic development</w:t>
      </w:r>
    </w:p>
    <w:p w:rsidR="00815C6A" w:rsidRDefault="00815C6A" w:rsidP="00815C6A">
      <w:pPr>
        <w:pStyle w:val="BulletBox"/>
      </w:pPr>
      <w:r>
        <w:t>To acquire and grant land to Indigenous organisations to enable Indigenous people to achieve training, employment and social outcomes</w:t>
      </w:r>
    </w:p>
    <w:p w:rsidR="00815C6A" w:rsidRDefault="00815C6A" w:rsidP="00815C6A">
      <w:pPr>
        <w:pStyle w:val="BulletBox"/>
      </w:pPr>
      <w:r>
        <w:t>To operate agricultural and tourism businesses that train Indigenous people and assist them to transition to secure jobs</w:t>
      </w:r>
    </w:p>
    <w:p w:rsidR="00815C6A" w:rsidRDefault="00815C6A" w:rsidP="00815C6A">
      <w:pPr>
        <w:pStyle w:val="BulletBox"/>
      </w:pPr>
      <w:r>
        <w:t>To collaborate with other agencies and industry partners to implement regional projects that provide mentoring, support and advice to assist Indigenous landholders to sustainably manage land</w:t>
      </w:r>
    </w:p>
    <w:p w:rsidR="00815C6A" w:rsidRDefault="00815C6A" w:rsidP="00815C6A">
      <w:pPr>
        <w:pStyle w:val="BulletBox"/>
        <w:pBdr>
          <w:between w:val="single" w:sz="2" w:space="3" w:color="auto"/>
        </w:pBdr>
      </w:pPr>
      <w:r>
        <w:t>To develop projects in collaboration with other organisations to assist Indigenous landholders engage with emerging enterprise opportunities in offsetting greenhouse gas emissions, developing biodiversity offsets and delivery of environmental services</w:t>
      </w:r>
    </w:p>
    <w:p w:rsidR="00737E8F" w:rsidRDefault="00815C6A" w:rsidP="00815C6A">
      <w:pPr>
        <w:pStyle w:val="NormalBox"/>
        <w:pBdr>
          <w:between w:val="single" w:sz="2" w:space="3" w:color="auto"/>
        </w:pBdr>
      </w:pPr>
      <w:r>
        <w:t xml:space="preserve">Linked to: </w:t>
      </w:r>
      <w:r w:rsidRPr="00815C6A">
        <w:t>Program</w:t>
      </w:r>
      <w:r>
        <w:t xml:space="preserve"> 7.4: Indigenous Capability and Development. For more information refer to Program 7.4 presented in these PB Statements.</w:t>
      </w:r>
    </w:p>
    <w:p w:rsidR="00737E8F" w:rsidRDefault="00737E8F" w:rsidP="00737E8F">
      <w:pPr>
        <w:rPr>
          <w:lang w:val="en-GB"/>
        </w:rPr>
      </w:pPr>
    </w:p>
    <w:p w:rsidR="00737E8F" w:rsidRDefault="00815C6A" w:rsidP="00F7530C">
      <w:pPr>
        <w:pStyle w:val="Heading7"/>
      </w:pPr>
      <w:r>
        <w:br w:type="page"/>
      </w:r>
      <w:r w:rsidR="00737E8F">
        <w:lastRenderedPageBreak/>
        <w:t xml:space="preserve">Program 1.1 </w:t>
      </w:r>
      <w:r w:rsidR="00114603">
        <w:t>expenses</w:t>
      </w:r>
    </w:p>
    <w:p w:rsidR="00737E8F" w:rsidRPr="00A82139" w:rsidRDefault="00815C6A" w:rsidP="00737E8F">
      <w:pPr>
        <w:pStyle w:val="NormalBox"/>
      </w:pPr>
      <w:r w:rsidRPr="00815C6A">
        <w:t>The ILC’s primary source of income is an annual payment of $45 million indexed from the Land Account pursuant to s 193(2) of the ATSI Act.</w:t>
      </w:r>
    </w:p>
    <w:p w:rsidR="00737E8F" w:rsidRDefault="00737E8F" w:rsidP="00737E8F">
      <w:pPr>
        <w:pStyle w:val="TableHeading"/>
        <w:rPr>
          <w:lang w:val="en-GB"/>
        </w:rPr>
      </w:pPr>
      <w:r>
        <w:rPr>
          <w:lang w:val="en-GB"/>
        </w:rPr>
        <w:t xml:space="preserve">Table 2.1.1: Budgeted </w:t>
      </w:r>
      <w:r w:rsidR="00114603">
        <w:rPr>
          <w:lang w:val="en-GB"/>
        </w:rPr>
        <w:t>expenses</w:t>
      </w:r>
      <w:r>
        <w:rPr>
          <w:lang w:val="en-GB"/>
        </w:rPr>
        <w:t xml:space="preserve"> for </w:t>
      </w:r>
      <w:r w:rsidR="001E077B" w:rsidRPr="00815C6A">
        <w:t>Acquisition and Management of an Indigenous Land Base</w:t>
      </w:r>
    </w:p>
    <w:p w:rsidR="00737E8F" w:rsidRDefault="00C97CFB" w:rsidP="00737E8F">
      <w:pPr>
        <w:pStyle w:val="TableGraphic"/>
        <w:rPr>
          <w:lang w:val="en-GB"/>
        </w:rPr>
      </w:pPr>
      <w:r>
        <w:rPr>
          <w:noProof/>
        </w:rPr>
        <w:drawing>
          <wp:inline distT="0" distB="0" distL="0" distR="0" wp14:anchorId="51840259" wp14:editId="505B024C">
            <wp:extent cx="4878705" cy="1509775"/>
            <wp:effectExtent l="0" t="0" r="0" b="0"/>
            <wp:docPr id="126" name="Picture 126" descr="Table 2.1.1: Budgeted expenses for Acquisition and Management of an Indigenous Lan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878705" cy="1509775"/>
                    </a:xfrm>
                    <a:prstGeom prst="rect">
                      <a:avLst/>
                    </a:prstGeom>
                    <a:noFill/>
                    <a:ln>
                      <a:noFill/>
                    </a:ln>
                  </pic:spPr>
                </pic:pic>
              </a:graphicData>
            </a:graphic>
          </wp:inline>
        </w:drawing>
      </w:r>
    </w:p>
    <w:p w:rsidR="00815C6A" w:rsidRPr="00815C6A" w:rsidRDefault="00815C6A" w:rsidP="00815C6A">
      <w:pPr>
        <w:rPr>
          <w:lang w:val="en-GB"/>
        </w:rPr>
      </w:pPr>
    </w:p>
    <w:p w:rsidR="00737E8F" w:rsidRDefault="00737E8F" w:rsidP="00F7530C">
      <w:pPr>
        <w:pStyle w:val="Heading7"/>
      </w:pPr>
      <w:r>
        <w:t xml:space="preserve">Program 1.1 </w:t>
      </w:r>
      <w:r w:rsidR="00114603">
        <w:t>deliverables</w:t>
      </w:r>
    </w:p>
    <w:p w:rsidR="00737E8F" w:rsidRDefault="00815C6A" w:rsidP="00815C6A">
      <w:pPr>
        <w:pStyle w:val="NormalBox"/>
      </w:pPr>
      <w:r w:rsidRPr="00815C6A">
        <w:t>The ILC assists Indigenous corporations to acquire land, and Indigenous landholders to manage and use their land, to achieve benefits for Indigenous people. The ILC seeks to achieve the following deliverables.</w:t>
      </w:r>
    </w:p>
    <w:p w:rsidR="00737E8F" w:rsidRDefault="00815C6A" w:rsidP="00737E8F">
      <w:pPr>
        <w:pStyle w:val="TableHeading"/>
      </w:pPr>
      <w:r w:rsidRPr="00815C6A">
        <w:t>Acquisition and Management of an Indigenous Land Base</w:t>
      </w:r>
      <w:r w:rsidR="00737E8F">
        <w:t xml:space="preserve"> </w:t>
      </w:r>
      <w:r w:rsidR="00114603">
        <w:t>deliverables</w:t>
      </w:r>
      <w:r w:rsidR="00737E8F">
        <w:t xml:space="preserve"> </w:t>
      </w:r>
      <w:r w:rsidR="00114603">
        <w:t>targets</w:t>
      </w:r>
      <w:r>
        <w:rPr>
          <w:rStyle w:val="FootnoteReference"/>
        </w:rPr>
        <w:footnoteReference w:id="57"/>
      </w:r>
    </w:p>
    <w:tbl>
      <w:tblPr>
        <w:tblW w:w="7651" w:type="dxa"/>
        <w:tblInd w:w="40" w:type="dxa"/>
        <w:tblCellMar>
          <w:top w:w="57" w:type="dxa"/>
          <w:left w:w="30" w:type="dxa"/>
          <w:bottom w:w="57" w:type="dxa"/>
          <w:right w:w="30" w:type="dxa"/>
        </w:tblCellMar>
        <w:tblLook w:val="0000" w:firstRow="0" w:lastRow="0" w:firstColumn="0" w:lastColumn="0" w:noHBand="0" w:noVBand="0"/>
        <w:tblDescription w:val="Acquisition and Management of an Indigenous Land Base deliverables targets "/>
      </w:tblPr>
      <w:tblGrid>
        <w:gridCol w:w="3107"/>
        <w:gridCol w:w="908"/>
        <w:gridCol w:w="909"/>
        <w:gridCol w:w="909"/>
        <w:gridCol w:w="909"/>
        <w:gridCol w:w="909"/>
      </w:tblGrid>
      <w:tr w:rsidR="00737E8F" w:rsidRPr="00893575" w:rsidTr="00D31999">
        <w:trPr>
          <w:trHeight w:val="225"/>
        </w:trPr>
        <w:tc>
          <w:tcPr>
            <w:tcW w:w="3107" w:type="dxa"/>
            <w:tcBorders>
              <w:top w:val="single" w:sz="2" w:space="0" w:color="auto"/>
              <w:left w:val="nil"/>
              <w:bottom w:val="single" w:sz="2" w:space="0" w:color="auto"/>
              <w:right w:val="nil"/>
            </w:tcBorders>
            <w:vAlign w:val="center"/>
          </w:tcPr>
          <w:p w:rsidR="00737E8F" w:rsidRPr="00893575" w:rsidRDefault="00737E8F" w:rsidP="00D3199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color w:val="000000"/>
                <w:sz w:val="16"/>
                <w:szCs w:val="16"/>
              </w:rPr>
            </w:pPr>
            <w:r w:rsidRPr="00815C6A">
              <w:rPr>
                <w:rFonts w:ascii="Arial" w:hAnsi="Arial" w:cs="Arial"/>
                <w:color w:val="000000"/>
                <w:sz w:val="16"/>
                <w:szCs w:val="16"/>
              </w:rPr>
              <w:t>Properties acquired for socio-economic development and cultural and environmental heritage protection</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w:t>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color w:val="000000"/>
                <w:sz w:val="16"/>
                <w:szCs w:val="16"/>
              </w:rPr>
            </w:pPr>
            <w:r w:rsidRPr="00815C6A">
              <w:rPr>
                <w:rFonts w:ascii="Arial" w:hAnsi="Arial" w:cs="Arial"/>
                <w:color w:val="000000"/>
                <w:sz w:val="16"/>
                <w:szCs w:val="16"/>
              </w:rPr>
              <w:t>Properties granted</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w:t>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color w:val="000000"/>
                <w:sz w:val="16"/>
                <w:szCs w:val="16"/>
              </w:rPr>
            </w:pPr>
            <w:r w:rsidRPr="00815C6A">
              <w:rPr>
                <w:rFonts w:ascii="Arial" w:hAnsi="Arial" w:cs="Arial"/>
                <w:color w:val="000000"/>
                <w:sz w:val="16"/>
                <w:szCs w:val="16"/>
              </w:rPr>
              <w:t>Employment and training projects implemented on ILC agricultural and tourism businesses</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11</w:t>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11</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11</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11</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11</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color w:val="000000"/>
                <w:sz w:val="16"/>
                <w:szCs w:val="16"/>
              </w:rPr>
            </w:pPr>
            <w:r w:rsidRPr="00815C6A">
              <w:rPr>
                <w:rFonts w:ascii="Arial" w:hAnsi="Arial" w:cs="Arial"/>
                <w:color w:val="000000"/>
                <w:sz w:val="16"/>
                <w:szCs w:val="16"/>
              </w:rPr>
              <w:t>Regional land management projects implemented</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15</w:t>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15</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15</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15</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15</w:t>
            </w:r>
          </w:p>
        </w:tc>
      </w:tr>
      <w:tr w:rsidR="00815C6A" w:rsidRPr="00893575" w:rsidTr="00815C6A">
        <w:trPr>
          <w:trHeight w:val="225"/>
        </w:trPr>
        <w:tc>
          <w:tcPr>
            <w:tcW w:w="3107" w:type="dxa"/>
            <w:tcBorders>
              <w:top w:val="nil"/>
              <w:left w:val="nil"/>
              <w:bottom w:val="single" w:sz="4" w:space="0" w:color="auto"/>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color w:val="000000"/>
                <w:sz w:val="16"/>
                <w:szCs w:val="16"/>
              </w:rPr>
            </w:pPr>
            <w:r w:rsidRPr="00815C6A">
              <w:rPr>
                <w:rFonts w:ascii="Arial" w:hAnsi="Arial" w:cs="Arial"/>
                <w:color w:val="000000"/>
                <w:sz w:val="16"/>
                <w:szCs w:val="16"/>
              </w:rPr>
              <w:t>Property-based, property planning land management projects assisted</w:t>
            </w:r>
          </w:p>
        </w:tc>
        <w:tc>
          <w:tcPr>
            <w:tcW w:w="908" w:type="dxa"/>
            <w:tcBorders>
              <w:top w:val="nil"/>
              <w:left w:val="nil"/>
              <w:bottom w:val="single" w:sz="4" w:space="0" w:color="auto"/>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30</w:t>
            </w:r>
          </w:p>
        </w:tc>
        <w:tc>
          <w:tcPr>
            <w:tcW w:w="909" w:type="dxa"/>
            <w:tcBorders>
              <w:top w:val="nil"/>
              <w:left w:val="nil"/>
              <w:bottom w:val="single" w:sz="4" w:space="0" w:color="auto"/>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30</w:t>
            </w:r>
          </w:p>
        </w:tc>
        <w:tc>
          <w:tcPr>
            <w:tcW w:w="909" w:type="dxa"/>
            <w:tcBorders>
              <w:top w:val="nil"/>
              <w:left w:val="nil"/>
              <w:bottom w:val="single" w:sz="4" w:space="0" w:color="auto"/>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30</w:t>
            </w:r>
          </w:p>
        </w:tc>
        <w:tc>
          <w:tcPr>
            <w:tcW w:w="909" w:type="dxa"/>
            <w:tcBorders>
              <w:top w:val="nil"/>
              <w:left w:val="nil"/>
              <w:bottom w:val="single" w:sz="4" w:space="0" w:color="auto"/>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30</w:t>
            </w:r>
          </w:p>
        </w:tc>
        <w:tc>
          <w:tcPr>
            <w:tcW w:w="909" w:type="dxa"/>
            <w:tcBorders>
              <w:top w:val="nil"/>
              <w:left w:val="nil"/>
              <w:bottom w:val="single" w:sz="4" w:space="0" w:color="auto"/>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30</w:t>
            </w:r>
          </w:p>
        </w:tc>
      </w:tr>
    </w:tbl>
    <w:p w:rsidR="00737E8F" w:rsidRPr="00EE1AB7" w:rsidRDefault="00737E8F" w:rsidP="00737E8F"/>
    <w:p w:rsidR="00737E8F" w:rsidRDefault="00737E8F" w:rsidP="00F7530C">
      <w:pPr>
        <w:pStyle w:val="Heading7"/>
      </w:pPr>
      <w:r>
        <w:br w:type="page"/>
      </w:r>
      <w:r w:rsidRPr="00C33538">
        <w:lastRenderedPageBreak/>
        <w:t xml:space="preserve">Program </w:t>
      </w:r>
      <w:r>
        <w:t xml:space="preserve">1.1 </w:t>
      </w:r>
      <w:r w:rsidR="00114603">
        <w:t>key performance indicators</w:t>
      </w:r>
    </w:p>
    <w:p w:rsidR="00815C6A" w:rsidRDefault="00815C6A" w:rsidP="00815C6A">
      <w:pPr>
        <w:pStyle w:val="NormalBox"/>
      </w:pPr>
      <w:r>
        <w:t>Participation in training and employment are the key indicators used for measuring progress in achieving socio-economic development. To recognise its relative contribution to the benefits delivered, the ILC counts those people it directly employs and hosts on its businesses separately from those jobs it has enabled through acquisition of land or land management assistance.</w:t>
      </w:r>
    </w:p>
    <w:p w:rsidR="00737E8F" w:rsidRDefault="00815C6A" w:rsidP="00815C6A">
      <w:pPr>
        <w:pStyle w:val="NormalBox"/>
      </w:pPr>
      <w:r>
        <w:t>Indigenous organisations apply to the ILC for assistance in protecting the cultural and environmental values of land. This is measured through the proportion of ILC’s total projects, rather than a target number of properties.</w:t>
      </w:r>
    </w:p>
    <w:p w:rsidR="00737E8F" w:rsidRDefault="00815C6A" w:rsidP="00737E8F">
      <w:pPr>
        <w:pStyle w:val="TableHeading"/>
      </w:pPr>
      <w:r w:rsidRPr="00815C6A">
        <w:t>Acquisition and Management of an Indigenous Land Base</w:t>
      </w:r>
      <w:r w:rsidR="00737E8F">
        <w:t xml:space="preserve"> </w:t>
      </w:r>
      <w:r w:rsidR="00114603">
        <w:t>key performance indicators</w:t>
      </w:r>
      <w:r w:rsidRPr="001B7231">
        <w:rPr>
          <w:rStyle w:val="FootnoteReference"/>
          <w:b w:val="0"/>
        </w:rPr>
        <w:footnoteReference w:id="58"/>
      </w:r>
    </w:p>
    <w:tbl>
      <w:tblPr>
        <w:tblW w:w="7651" w:type="dxa"/>
        <w:tblInd w:w="40" w:type="dxa"/>
        <w:tblCellMar>
          <w:top w:w="57" w:type="dxa"/>
          <w:left w:w="30" w:type="dxa"/>
          <w:bottom w:w="57" w:type="dxa"/>
          <w:right w:w="30" w:type="dxa"/>
        </w:tblCellMar>
        <w:tblLook w:val="0000" w:firstRow="0" w:lastRow="0" w:firstColumn="0" w:lastColumn="0" w:noHBand="0" w:noVBand="0"/>
        <w:tblDescription w:val="Acquisition and Management of an Indigenous Land Base key performance indicators "/>
      </w:tblPr>
      <w:tblGrid>
        <w:gridCol w:w="3107"/>
        <w:gridCol w:w="908"/>
        <w:gridCol w:w="909"/>
        <w:gridCol w:w="909"/>
        <w:gridCol w:w="909"/>
        <w:gridCol w:w="909"/>
      </w:tblGrid>
      <w:tr w:rsidR="00737E8F" w:rsidRPr="00893575" w:rsidTr="00D31999">
        <w:trPr>
          <w:trHeight w:val="225"/>
        </w:trPr>
        <w:tc>
          <w:tcPr>
            <w:tcW w:w="3107" w:type="dxa"/>
            <w:tcBorders>
              <w:top w:val="single" w:sz="2" w:space="0" w:color="auto"/>
              <w:left w:val="nil"/>
              <w:bottom w:val="single" w:sz="2" w:space="0" w:color="auto"/>
              <w:right w:val="nil"/>
            </w:tcBorders>
            <w:vAlign w:val="center"/>
          </w:tcPr>
          <w:p w:rsidR="00737E8F" w:rsidRPr="00893575" w:rsidRDefault="00737E8F" w:rsidP="00D3199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sz w:val="16"/>
                <w:szCs w:val="16"/>
              </w:rPr>
            </w:pPr>
            <w:r w:rsidRPr="00815C6A">
              <w:rPr>
                <w:rFonts w:ascii="Arial" w:hAnsi="Arial" w:cs="Arial"/>
                <w:sz w:val="16"/>
                <w:szCs w:val="16"/>
              </w:rPr>
              <w:t>Total number of Indigenous staff employed directly through ILC agricultural and tourism businesses</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380</w:t>
            </w:r>
            <w:r>
              <w:rPr>
                <w:rStyle w:val="FootnoteReference"/>
                <w:rFonts w:cs="Arial"/>
                <w:szCs w:val="16"/>
              </w:rPr>
              <w:footnoteReference w:id="59"/>
            </w:r>
            <w:r w:rsidRPr="00815C6A">
              <w:rPr>
                <w:rFonts w:ascii="Arial" w:hAnsi="Arial" w:cs="Arial"/>
                <w:sz w:val="16"/>
                <w:szCs w:val="16"/>
              </w:rPr>
              <w:t xml:space="preserve"> </w:t>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400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450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450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450</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sz w:val="16"/>
                <w:szCs w:val="16"/>
              </w:rPr>
            </w:pPr>
            <w:r w:rsidRPr="00815C6A">
              <w:rPr>
                <w:rFonts w:ascii="Arial" w:hAnsi="Arial" w:cs="Arial"/>
                <w:sz w:val="16"/>
                <w:szCs w:val="16"/>
              </w:rPr>
              <w:t>Total number of Indigenous trainees hosted through ILC agriculture and tourism businesses</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250</w:t>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260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280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300</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sz w:val="16"/>
                <w:szCs w:val="16"/>
              </w:rPr>
            </w:pPr>
            <w:r w:rsidRPr="00815C6A">
              <w:rPr>
                <w:rFonts w:ascii="Arial" w:hAnsi="Arial" w:cs="Arial"/>
                <w:sz w:val="16"/>
                <w:szCs w:val="16"/>
              </w:rPr>
              <w:t xml:space="preserve">Total number of </w:t>
            </w:r>
            <w:r w:rsidR="00F47D90">
              <w:rPr>
                <w:rFonts w:ascii="Arial" w:hAnsi="Arial" w:cs="Arial"/>
                <w:sz w:val="16"/>
                <w:szCs w:val="16"/>
              </w:rPr>
              <w:t>I</w:t>
            </w:r>
            <w:r w:rsidR="00F47D90" w:rsidRPr="00815C6A">
              <w:rPr>
                <w:rFonts w:ascii="Arial" w:hAnsi="Arial" w:cs="Arial"/>
                <w:sz w:val="16"/>
                <w:szCs w:val="16"/>
              </w:rPr>
              <w:t xml:space="preserve">ndigenous </w:t>
            </w:r>
            <w:r w:rsidRPr="00815C6A">
              <w:rPr>
                <w:rFonts w:ascii="Arial" w:hAnsi="Arial" w:cs="Arial"/>
                <w:sz w:val="16"/>
                <w:szCs w:val="16"/>
              </w:rPr>
              <w:t>employment outcomes enabled through ILC land acquisition and land management projects</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500</w:t>
            </w:r>
            <w:r>
              <w:rPr>
                <w:rStyle w:val="FootnoteReference"/>
                <w:rFonts w:cs="Arial"/>
                <w:szCs w:val="16"/>
              </w:rPr>
              <w:footnoteReference w:id="60"/>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500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500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500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500</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sz w:val="16"/>
                <w:szCs w:val="16"/>
              </w:rPr>
            </w:pPr>
            <w:r w:rsidRPr="00815C6A">
              <w:rPr>
                <w:rFonts w:ascii="Arial" w:hAnsi="Arial" w:cs="Arial"/>
                <w:sz w:val="16"/>
                <w:szCs w:val="16"/>
              </w:rPr>
              <w:t xml:space="preserve">Total number of </w:t>
            </w:r>
            <w:r w:rsidR="00F47D90">
              <w:rPr>
                <w:rFonts w:ascii="Arial" w:hAnsi="Arial" w:cs="Arial"/>
                <w:sz w:val="16"/>
                <w:szCs w:val="16"/>
              </w:rPr>
              <w:t>I</w:t>
            </w:r>
            <w:r w:rsidR="00F47D90" w:rsidRPr="00815C6A">
              <w:rPr>
                <w:rFonts w:ascii="Arial" w:hAnsi="Arial" w:cs="Arial"/>
                <w:sz w:val="16"/>
                <w:szCs w:val="16"/>
              </w:rPr>
              <w:t xml:space="preserve">ndigenous </w:t>
            </w:r>
            <w:r w:rsidRPr="00815C6A">
              <w:rPr>
                <w:rFonts w:ascii="Arial" w:hAnsi="Arial" w:cs="Arial"/>
                <w:sz w:val="16"/>
                <w:szCs w:val="16"/>
              </w:rPr>
              <w:t>training outcomes enabled through ILC land acquisition and land management projects</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800</w:t>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800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800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800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800</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sz w:val="16"/>
                <w:szCs w:val="16"/>
              </w:rPr>
            </w:pPr>
            <w:r w:rsidRPr="00815C6A">
              <w:rPr>
                <w:rFonts w:ascii="Arial" w:hAnsi="Arial" w:cs="Arial"/>
                <w:sz w:val="16"/>
                <w:szCs w:val="16"/>
              </w:rPr>
              <w:t>Total number of Indigenous-held properties with improved land management</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100</w:t>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100</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100</w:t>
            </w:r>
          </w:p>
        </w:tc>
      </w:tr>
      <w:tr w:rsidR="00815C6A" w:rsidRPr="00893575" w:rsidTr="00815C6A">
        <w:trPr>
          <w:trHeight w:val="225"/>
        </w:trPr>
        <w:tc>
          <w:tcPr>
            <w:tcW w:w="3107" w:type="dxa"/>
            <w:tcBorders>
              <w:top w:val="nil"/>
              <w:left w:val="nil"/>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sz w:val="16"/>
                <w:szCs w:val="16"/>
              </w:rPr>
            </w:pPr>
            <w:r w:rsidRPr="00815C6A">
              <w:rPr>
                <w:rFonts w:ascii="Arial" w:hAnsi="Arial" w:cs="Arial"/>
                <w:sz w:val="16"/>
                <w:szCs w:val="16"/>
              </w:rPr>
              <w:t>Proportion of ILC-assisted projects that protect cultural and environmental heritage values or maintained culture</w:t>
            </w:r>
          </w:p>
        </w:tc>
        <w:tc>
          <w:tcPr>
            <w:tcW w:w="908" w:type="dxa"/>
            <w:tcBorders>
              <w:top w:val="nil"/>
              <w:left w:val="nil"/>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25%</w:t>
            </w:r>
          </w:p>
        </w:tc>
        <w:tc>
          <w:tcPr>
            <w:tcW w:w="909" w:type="dxa"/>
            <w:tcBorders>
              <w:top w:val="nil"/>
              <w:left w:val="nil"/>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33%</w:t>
            </w:r>
            <w:r>
              <w:rPr>
                <w:rStyle w:val="FootnoteReference"/>
                <w:rFonts w:cs="Arial"/>
                <w:szCs w:val="16"/>
              </w:rPr>
              <w:footnoteReference w:id="61"/>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33%</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33%</w:t>
            </w:r>
          </w:p>
        </w:tc>
        <w:tc>
          <w:tcPr>
            <w:tcW w:w="909" w:type="dxa"/>
            <w:tcBorders>
              <w:top w:val="nil"/>
              <w:left w:val="nil"/>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33%</w:t>
            </w:r>
          </w:p>
        </w:tc>
      </w:tr>
      <w:tr w:rsidR="00815C6A" w:rsidRPr="00893575" w:rsidTr="00815C6A">
        <w:trPr>
          <w:trHeight w:val="225"/>
        </w:trPr>
        <w:tc>
          <w:tcPr>
            <w:tcW w:w="3107" w:type="dxa"/>
            <w:tcBorders>
              <w:top w:val="nil"/>
              <w:left w:val="nil"/>
              <w:bottom w:val="single" w:sz="4" w:space="0" w:color="auto"/>
              <w:right w:val="nil"/>
            </w:tcBorders>
            <w:vAlign w:val="bottom"/>
          </w:tcPr>
          <w:p w:rsidR="00815C6A" w:rsidRPr="00815C6A" w:rsidRDefault="00815C6A" w:rsidP="001205C8">
            <w:pPr>
              <w:keepNext/>
              <w:autoSpaceDE w:val="0"/>
              <w:autoSpaceDN w:val="0"/>
              <w:adjustRightInd w:val="0"/>
              <w:spacing w:before="60" w:after="0" w:line="240" w:lineRule="auto"/>
              <w:jc w:val="left"/>
              <w:rPr>
                <w:rFonts w:ascii="Arial" w:hAnsi="Arial" w:cs="Arial"/>
                <w:sz w:val="16"/>
                <w:szCs w:val="16"/>
              </w:rPr>
            </w:pPr>
            <w:r w:rsidRPr="00815C6A">
              <w:rPr>
                <w:rFonts w:ascii="Arial" w:hAnsi="Arial" w:cs="Arial"/>
                <w:sz w:val="16"/>
                <w:szCs w:val="16"/>
              </w:rPr>
              <w:t>Proportion of projects that were collaborative with and leveraged funding from other agencies</w:t>
            </w:r>
          </w:p>
        </w:tc>
        <w:tc>
          <w:tcPr>
            <w:tcW w:w="908" w:type="dxa"/>
            <w:tcBorders>
              <w:top w:val="nil"/>
              <w:left w:val="nil"/>
              <w:bottom w:val="single" w:sz="4" w:space="0" w:color="auto"/>
              <w:right w:val="nil"/>
            </w:tcBorders>
            <w:shd w:val="clear" w:color="auto" w:fill="auto"/>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66%</w:t>
            </w:r>
          </w:p>
        </w:tc>
        <w:tc>
          <w:tcPr>
            <w:tcW w:w="909" w:type="dxa"/>
            <w:tcBorders>
              <w:top w:val="nil"/>
              <w:left w:val="nil"/>
              <w:bottom w:val="single" w:sz="4" w:space="0" w:color="auto"/>
              <w:right w:val="nil"/>
            </w:tcBorders>
            <w:shd w:val="clear" w:color="auto" w:fill="D9D9D9"/>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66%</w:t>
            </w:r>
          </w:p>
        </w:tc>
        <w:tc>
          <w:tcPr>
            <w:tcW w:w="909" w:type="dxa"/>
            <w:tcBorders>
              <w:top w:val="nil"/>
              <w:left w:val="nil"/>
              <w:bottom w:val="single" w:sz="4" w:space="0" w:color="auto"/>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66%</w:t>
            </w:r>
          </w:p>
        </w:tc>
        <w:tc>
          <w:tcPr>
            <w:tcW w:w="909" w:type="dxa"/>
            <w:tcBorders>
              <w:top w:val="nil"/>
              <w:left w:val="nil"/>
              <w:bottom w:val="single" w:sz="4" w:space="0" w:color="auto"/>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66%</w:t>
            </w:r>
          </w:p>
        </w:tc>
        <w:tc>
          <w:tcPr>
            <w:tcW w:w="909" w:type="dxa"/>
            <w:tcBorders>
              <w:top w:val="nil"/>
              <w:left w:val="nil"/>
              <w:bottom w:val="single" w:sz="4" w:space="0" w:color="auto"/>
              <w:right w:val="nil"/>
            </w:tcBorders>
            <w:vAlign w:val="bottom"/>
          </w:tcPr>
          <w:p w:rsidR="00815C6A" w:rsidRPr="00815C6A" w:rsidRDefault="00815C6A" w:rsidP="00815C6A">
            <w:pPr>
              <w:keepNext/>
              <w:autoSpaceDE w:val="0"/>
              <w:autoSpaceDN w:val="0"/>
              <w:adjustRightInd w:val="0"/>
              <w:spacing w:after="0" w:line="240" w:lineRule="auto"/>
              <w:jc w:val="right"/>
              <w:rPr>
                <w:rFonts w:ascii="Arial" w:hAnsi="Arial" w:cs="Arial"/>
                <w:sz w:val="16"/>
                <w:szCs w:val="16"/>
              </w:rPr>
            </w:pPr>
            <w:r w:rsidRPr="00815C6A">
              <w:rPr>
                <w:rFonts w:ascii="Arial" w:hAnsi="Arial" w:cs="Arial"/>
                <w:sz w:val="16"/>
                <w:szCs w:val="16"/>
              </w:rPr>
              <w:t>66%</w:t>
            </w:r>
          </w:p>
        </w:tc>
      </w:tr>
    </w:tbl>
    <w:p w:rsidR="00737E8F" w:rsidRPr="00EE1AB7" w:rsidRDefault="00737E8F" w:rsidP="00737E8F"/>
    <w:p w:rsidR="00737E8F" w:rsidRDefault="00737E8F" w:rsidP="00737E8F">
      <w:pPr>
        <w:pStyle w:val="Heading2"/>
      </w:pPr>
      <w:r>
        <w:br w:type="page"/>
      </w:r>
      <w:r>
        <w:lastRenderedPageBreak/>
        <w:t>Section 3: Explanatory tables and budgeted financial statements</w:t>
      </w:r>
    </w:p>
    <w:p w:rsidR="00737E8F" w:rsidRPr="009C7F86" w:rsidRDefault="00815C6A" w:rsidP="00737E8F">
      <w:r w:rsidRPr="00815C6A">
        <w:t xml:space="preserve">Section 3 presents explanatory tables and budgeted financial statements that provide a comprehensive snapshot of agency finances for the 2013–14 budget </w:t>
      </w:r>
      <w:proofErr w:type="gramStart"/>
      <w:r w:rsidRPr="00815C6A">
        <w:t>year</w:t>
      </w:r>
      <w:proofErr w:type="gramEnd"/>
      <w:r w:rsidRPr="00815C6A">
        <w:t>. It explains how budget plans are incorporated into the financial statements and provides further details of the reconciliation between appropriations and program expenses, movements in administered funds, special accounts and government Indigenous expenditure.</w:t>
      </w:r>
    </w:p>
    <w:p w:rsidR="00737E8F" w:rsidRPr="00AD1D92" w:rsidRDefault="00737E8F" w:rsidP="00737E8F">
      <w:pPr>
        <w:pStyle w:val="Heading3"/>
      </w:pPr>
      <w:r w:rsidRPr="00AD1D92">
        <w:t>3.1</w:t>
      </w:r>
      <w:r w:rsidRPr="00AD1D92">
        <w:tab/>
        <w:t>Explanatory tables</w:t>
      </w:r>
    </w:p>
    <w:p w:rsidR="00737E8F" w:rsidRDefault="00737E8F" w:rsidP="00737E8F">
      <w:pPr>
        <w:pStyle w:val="Heading4"/>
      </w:pPr>
      <w:r>
        <w:t>3.1.1</w:t>
      </w:r>
      <w:r>
        <w:tab/>
        <w:t>Movement of administered funds between years</w:t>
      </w:r>
    </w:p>
    <w:p w:rsidR="00737E8F" w:rsidRDefault="001E077B" w:rsidP="00737E8F">
      <w:r w:rsidRPr="001E077B">
        <w:t>ILC has no administered funds in the 2013–14 Budget.</w:t>
      </w:r>
    </w:p>
    <w:p w:rsidR="00737E8F" w:rsidRPr="0088503F" w:rsidRDefault="00737E8F" w:rsidP="00737E8F">
      <w:pPr>
        <w:pStyle w:val="Heading4"/>
      </w:pPr>
      <w:r>
        <w:t>3.1.2</w:t>
      </w:r>
      <w:r>
        <w:tab/>
        <w:t>S</w:t>
      </w:r>
      <w:r w:rsidRPr="0088503F">
        <w:t xml:space="preserve">pecial </w:t>
      </w:r>
      <w:r w:rsidR="004E5764">
        <w:t>account</w:t>
      </w:r>
    </w:p>
    <w:p w:rsidR="00737E8F" w:rsidRDefault="001E077B" w:rsidP="00737E8F">
      <w:r w:rsidRPr="001E077B">
        <w:t>ILC has no special accounts in the 2013–14 Budget.</w:t>
      </w:r>
    </w:p>
    <w:p w:rsidR="00737E8F" w:rsidRPr="00C05025" w:rsidRDefault="00737E8F" w:rsidP="00737E8F">
      <w:pPr>
        <w:pStyle w:val="Heading4"/>
      </w:pPr>
      <w:r w:rsidRPr="00C05025">
        <w:t>3.1.3</w:t>
      </w:r>
      <w:r w:rsidRPr="00C05025">
        <w:tab/>
        <w:t>Australian Government Indigenous Expenditure</w:t>
      </w:r>
    </w:p>
    <w:p w:rsidR="00737E8F" w:rsidRDefault="00737E8F" w:rsidP="00737E8F">
      <w:pPr>
        <w:pStyle w:val="TableHeading"/>
      </w:pPr>
      <w:r>
        <w:t>Table 3.1.3: Australian Government Indigenous Expenditure</w:t>
      </w:r>
    </w:p>
    <w:p w:rsidR="00737E8F" w:rsidRPr="00C05025" w:rsidRDefault="00C97CFB" w:rsidP="00737E8F">
      <w:pPr>
        <w:pStyle w:val="TableGraphic"/>
      </w:pPr>
      <w:r>
        <w:rPr>
          <w:noProof/>
        </w:rPr>
        <w:drawing>
          <wp:inline distT="0" distB="0" distL="0" distR="0" wp14:anchorId="46435318" wp14:editId="1FD78D46">
            <wp:extent cx="4878705" cy="2833616"/>
            <wp:effectExtent l="0" t="0" r="0" b="5080"/>
            <wp:docPr id="128" name="Picture 128" descr="Table 3.1.3: Australian Government Indigenous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78705" cy="2833616"/>
                    </a:xfrm>
                    <a:prstGeom prst="rect">
                      <a:avLst/>
                    </a:prstGeom>
                    <a:noFill/>
                    <a:ln>
                      <a:noFill/>
                    </a:ln>
                  </pic:spPr>
                </pic:pic>
              </a:graphicData>
            </a:graphic>
          </wp:inline>
        </w:drawing>
      </w:r>
    </w:p>
    <w:p w:rsidR="00737E8F" w:rsidRDefault="00737E8F" w:rsidP="00737E8F">
      <w:pPr>
        <w:pStyle w:val="Heading3"/>
      </w:pPr>
      <w:r w:rsidRPr="00B06D93">
        <w:rPr>
          <w:highlight w:val="yellow"/>
        </w:rPr>
        <w:br w:type="page"/>
      </w:r>
      <w:r>
        <w:lastRenderedPageBreak/>
        <w:t>3.2</w:t>
      </w:r>
      <w:r>
        <w:tab/>
        <w:t>Budgeted financial statements</w:t>
      </w:r>
    </w:p>
    <w:p w:rsidR="00737E8F" w:rsidRDefault="00737E8F" w:rsidP="00737E8F">
      <w:pPr>
        <w:pStyle w:val="Heading4"/>
      </w:pPr>
      <w:r>
        <w:t>3.2.1</w:t>
      </w:r>
      <w:r>
        <w:tab/>
        <w:t>Differences in agency resourcing and financial statements</w:t>
      </w:r>
    </w:p>
    <w:p w:rsidR="00737E8F" w:rsidRPr="00C05025" w:rsidRDefault="001E077B" w:rsidP="00737E8F">
      <w:r w:rsidRPr="001E077B">
        <w:t>ILC has no differences in agency resourcing and financial statements.</w:t>
      </w:r>
    </w:p>
    <w:p w:rsidR="00737E8F" w:rsidRDefault="00737E8F" w:rsidP="00737E8F">
      <w:pPr>
        <w:pStyle w:val="Heading4"/>
      </w:pPr>
      <w:r>
        <w:t>3.2.2</w:t>
      </w:r>
      <w:r>
        <w:tab/>
        <w:t>Analysis of budgeted financial statements</w:t>
      </w:r>
    </w:p>
    <w:p w:rsidR="00737E8F" w:rsidRDefault="00737E8F" w:rsidP="007C6B28">
      <w:pPr>
        <w:pStyle w:val="Heading5"/>
      </w:pPr>
      <w:r w:rsidRPr="00D33D7A">
        <w:t>Departmental</w:t>
      </w:r>
    </w:p>
    <w:p w:rsidR="001E077B" w:rsidRDefault="001E077B" w:rsidP="001E077B">
      <w:r>
        <w:t>The ILC’s primary source of income is an annual minimum payment of $45 million indexed from the Land Account pursuant to s</w:t>
      </w:r>
      <w:r w:rsidR="00162FD1">
        <w:t> </w:t>
      </w:r>
      <w:r>
        <w:t>193(2) of the ATSI Act. Estimated</w:t>
      </w:r>
      <w:r w:rsidR="00162FD1">
        <w:t> </w:t>
      </w:r>
      <w:r>
        <w:t>payments from the Land Account from 2012</w:t>
      </w:r>
      <w:r w:rsidR="00162FD1">
        <w:t>–</w:t>
      </w:r>
      <w:r>
        <w:t xml:space="preserve">13 forward have been provided by FaHCSIA, which is responsible for the administration of the Land Account. </w:t>
      </w:r>
    </w:p>
    <w:p w:rsidR="001E077B" w:rsidRDefault="001E077B" w:rsidP="001E077B">
      <w:r>
        <w:t>The total resources for the ILC’s outcome include the income from the Land Account, and represent the funds available to ILC to carry out its legislated functions.</w:t>
      </w:r>
    </w:p>
    <w:p w:rsidR="001E077B" w:rsidRDefault="001E077B" w:rsidP="001E077B">
      <w:r>
        <w:t>Under its legislation, ILC has the flexibility to invest funds and to roll over funds not expended in previous years.</w:t>
      </w:r>
    </w:p>
    <w:p w:rsidR="001E077B" w:rsidRDefault="001E077B" w:rsidP="001E077B">
      <w:r>
        <w:t>Under s</w:t>
      </w:r>
      <w:r w:rsidR="00162FD1">
        <w:t> </w:t>
      </w:r>
      <w:r>
        <w:t>191H of the ATSI Act, ILC has the specific power to invest moneys of ILC. In</w:t>
      </w:r>
      <w:r w:rsidR="00162FD1">
        <w:t> </w:t>
      </w:r>
      <w:r>
        <w:t>addition, s</w:t>
      </w:r>
      <w:r w:rsidR="00162FD1">
        <w:t> </w:t>
      </w:r>
      <w:r>
        <w:t>193K of the ATSI Act specifically exempts ILC from s</w:t>
      </w:r>
      <w:r w:rsidR="00162FD1">
        <w:t> </w:t>
      </w:r>
      <w:r>
        <w:t xml:space="preserve">18(3) of the </w:t>
      </w:r>
      <w:r w:rsidRPr="001E077B">
        <w:rPr>
          <w:i/>
        </w:rPr>
        <w:t>Commonwealth Authorities and Companies Act 1997</w:t>
      </w:r>
      <w:r>
        <w:t xml:space="preserve"> (CAC Act). This section of the CAC</w:t>
      </w:r>
      <w:r w:rsidR="00162FD1">
        <w:t> </w:t>
      </w:r>
      <w:r>
        <w:t>Act deals with allowable investments. Earnings on these investments are represented in the Budgeted Departmental Comprehensive Income Statement.</w:t>
      </w:r>
    </w:p>
    <w:p w:rsidR="001E077B" w:rsidRDefault="001E077B" w:rsidP="001E077B">
      <w:r>
        <w:t>Under its legislation, ILC acquires land for the specific purpose of granting an interest in that land to an Aboriginal or Torres Strait Islander corporation. ILC capitalises the land on purchase and makes an immediate provision for the grant equivalent to the purchase price. In the Budgeted Departmental Comprehensive Income Statement, the expenses associated with the purchase and grant of the land are recognised in the period in which the land is purchased. Expenses associated with land management projects are recognised in the period in which the expenditure is incurred.</w:t>
      </w:r>
    </w:p>
    <w:p w:rsidR="00737E8F" w:rsidRDefault="001E077B" w:rsidP="001E077B">
      <w:r>
        <w:t>ILC also holds properties for granting that have significant livestock on them. In accordance with Australian Accounting Standards, ILC values the livestock on a market-to-market basis. Accordingly, the change in market value in any given period is recognised in the Budgeted Departmental Comprehensive Income Statement.</w:t>
      </w:r>
    </w:p>
    <w:p w:rsidR="00737E8F" w:rsidRDefault="00737E8F" w:rsidP="00737E8F">
      <w:pPr>
        <w:pStyle w:val="Heading4"/>
        <w:rPr>
          <w:snapToGrid w:val="0"/>
        </w:rPr>
      </w:pPr>
      <w:r>
        <w:rPr>
          <w:snapToGrid w:val="0"/>
          <w:highlight w:val="yellow"/>
        </w:rPr>
        <w:br w:type="page"/>
      </w:r>
      <w:r>
        <w:rPr>
          <w:snapToGrid w:val="0"/>
        </w:rPr>
        <w:lastRenderedPageBreak/>
        <w:t>3.2.3</w:t>
      </w:r>
      <w:r>
        <w:rPr>
          <w:snapToGrid w:val="0"/>
        </w:rPr>
        <w:tab/>
        <w:t>Budgeted financial statements tables</w:t>
      </w:r>
    </w:p>
    <w:p w:rsidR="00737E8F" w:rsidRDefault="00737E8F" w:rsidP="00737E8F">
      <w:pPr>
        <w:pStyle w:val="TableHeading"/>
        <w:spacing w:before="0"/>
      </w:pPr>
      <w:r>
        <w:t>Table 3.2.1: Comprehensive income statement (showing net cost of services</w:t>
      </w:r>
      <w:r w:rsidR="003F4B01">
        <w:t xml:space="preserve">) </w:t>
      </w:r>
      <w:r>
        <w:br/>
        <w:t>(</w:t>
      </w:r>
      <w:r w:rsidRPr="00C61513">
        <w:t>for the period ended 30 June</w:t>
      </w:r>
      <w:r w:rsidR="00B20EE2">
        <w:t>)</w:t>
      </w:r>
    </w:p>
    <w:p w:rsidR="00737E8F" w:rsidRPr="00DE604F" w:rsidRDefault="00C97CFB" w:rsidP="00737E8F">
      <w:pPr>
        <w:pStyle w:val="TableGraphic"/>
      </w:pPr>
      <w:r>
        <w:rPr>
          <w:noProof/>
        </w:rPr>
        <w:drawing>
          <wp:inline distT="0" distB="0" distL="0" distR="0" wp14:anchorId="2B5369D5" wp14:editId="3A0FDB15">
            <wp:extent cx="4878705" cy="4847033"/>
            <wp:effectExtent l="0" t="0" r="0" b="0"/>
            <wp:docPr id="129" name="Picture 129" descr="Table 3.2.1: Comprehensive income statement (showing net cost of services) &#10;(for the period ended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878705" cy="4847033"/>
                    </a:xfrm>
                    <a:prstGeom prst="rect">
                      <a:avLst/>
                    </a:prstGeom>
                    <a:noFill/>
                    <a:ln>
                      <a:noFill/>
                    </a:ln>
                  </pic:spPr>
                </pic:pic>
              </a:graphicData>
            </a:graphic>
          </wp:inline>
        </w:drawing>
      </w:r>
    </w:p>
    <w:p w:rsidR="00737E8F" w:rsidRDefault="00737E8F" w:rsidP="001E077B">
      <w:pPr>
        <w:pStyle w:val="TableHeading"/>
        <w:spacing w:before="0"/>
      </w:pPr>
      <w:r>
        <w:br w:type="page"/>
      </w:r>
      <w:r w:rsidRPr="008B191A">
        <w:lastRenderedPageBreak/>
        <w:t>Table 3.2.2: Budgeted departmental balance sheet (as at 30 June</w:t>
      </w:r>
      <w:r w:rsidRPr="000367BE">
        <w:t>)</w:t>
      </w:r>
    </w:p>
    <w:p w:rsidR="00737E8F" w:rsidRPr="000367BE" w:rsidRDefault="00C97CFB" w:rsidP="00737E8F">
      <w:pPr>
        <w:pStyle w:val="TableGraphic"/>
      </w:pPr>
      <w:r>
        <w:rPr>
          <w:noProof/>
        </w:rPr>
        <w:drawing>
          <wp:inline distT="0" distB="0" distL="0" distR="0" wp14:anchorId="0D549225" wp14:editId="00773CEF">
            <wp:extent cx="4878705" cy="6201562"/>
            <wp:effectExtent l="0" t="0" r="0" b="8890"/>
            <wp:docPr id="130" name="Picture 130" descr="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878705" cy="6201562"/>
                    </a:xfrm>
                    <a:prstGeom prst="rect">
                      <a:avLst/>
                    </a:prstGeom>
                    <a:noFill/>
                    <a:ln>
                      <a:noFill/>
                    </a:ln>
                  </pic:spPr>
                </pic:pic>
              </a:graphicData>
            </a:graphic>
          </wp:inline>
        </w:drawing>
      </w:r>
    </w:p>
    <w:p w:rsidR="00737E8F" w:rsidRDefault="00737E8F" w:rsidP="00737E8F">
      <w:pPr>
        <w:pStyle w:val="TableHeading"/>
      </w:pPr>
      <w:r>
        <w:rPr>
          <w:highlight w:val="yellow"/>
        </w:rPr>
        <w:br w:type="page"/>
      </w:r>
      <w:r w:rsidRPr="009402BE">
        <w:lastRenderedPageBreak/>
        <w:t>Table 3.2.3: Departmental statement of changes in equity</w:t>
      </w:r>
      <w:r w:rsidR="00CC6014">
        <w:t xml:space="preserve"> – </w:t>
      </w:r>
      <w:r w:rsidRPr="009402BE">
        <w:t>summary of movement (</w:t>
      </w:r>
      <w:r>
        <w:t>b</w:t>
      </w:r>
      <w:r w:rsidRPr="009402BE">
        <w:t xml:space="preserve">udget year </w:t>
      </w:r>
      <w:r w:rsidRPr="00892823">
        <w:t>201</w:t>
      </w:r>
      <w:r>
        <w:t>3–</w:t>
      </w:r>
      <w:r w:rsidRPr="00892823">
        <w:t>1</w:t>
      </w:r>
      <w:r>
        <w:t>4</w:t>
      </w:r>
      <w:r w:rsidRPr="009402BE">
        <w:t>)</w:t>
      </w:r>
    </w:p>
    <w:p w:rsidR="00737E8F" w:rsidRPr="00AF7454" w:rsidRDefault="00C97CFB" w:rsidP="00737E8F">
      <w:pPr>
        <w:pStyle w:val="TableGraphic"/>
      </w:pPr>
      <w:r>
        <w:rPr>
          <w:noProof/>
        </w:rPr>
        <w:drawing>
          <wp:inline distT="0" distB="0" distL="0" distR="0" wp14:anchorId="796945BB" wp14:editId="56A51DE1">
            <wp:extent cx="4878705" cy="2999753"/>
            <wp:effectExtent l="0" t="0" r="0" b="0"/>
            <wp:docPr id="131" name="Picture 131" descr="Table 3.2.3: Departmental statement of changes in equity – summary of movement (budget yea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878705" cy="2999753"/>
                    </a:xfrm>
                    <a:prstGeom prst="rect">
                      <a:avLst/>
                    </a:prstGeom>
                    <a:noFill/>
                    <a:ln>
                      <a:noFill/>
                    </a:ln>
                  </pic:spPr>
                </pic:pic>
              </a:graphicData>
            </a:graphic>
          </wp:inline>
        </w:drawing>
      </w:r>
    </w:p>
    <w:p w:rsidR="00737E8F" w:rsidRDefault="00737E8F" w:rsidP="00737E8F">
      <w:pPr>
        <w:pStyle w:val="TableHeading"/>
      </w:pPr>
      <w:r>
        <w:br w:type="page"/>
      </w:r>
      <w:r w:rsidRPr="009402BE">
        <w:lastRenderedPageBreak/>
        <w:t>Table 3.2.4: Budgeted departmental statement of cash flows (</w:t>
      </w:r>
      <w:r>
        <w:t xml:space="preserve">for the period ended </w:t>
      </w:r>
      <w:r w:rsidRPr="009402BE">
        <w:t>30 June)</w:t>
      </w:r>
    </w:p>
    <w:p w:rsidR="00737E8F" w:rsidRDefault="00C97CFB" w:rsidP="00737E8F">
      <w:pPr>
        <w:pStyle w:val="TableGraphic"/>
        <w:rPr>
          <w:snapToGrid w:val="0"/>
        </w:rPr>
      </w:pPr>
      <w:r>
        <w:rPr>
          <w:noProof/>
        </w:rPr>
        <w:drawing>
          <wp:inline distT="0" distB="0" distL="0" distR="0" wp14:anchorId="17782B37" wp14:editId="781E94B9">
            <wp:extent cx="4878705" cy="5902880"/>
            <wp:effectExtent l="0" t="0" r="0" b="3175"/>
            <wp:docPr id="132" name="Picture 132" descr="Table 3.2.4: Budgeted departmental statement of cash flow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878705" cy="5902880"/>
                    </a:xfrm>
                    <a:prstGeom prst="rect">
                      <a:avLst/>
                    </a:prstGeom>
                    <a:noFill/>
                    <a:ln>
                      <a:noFill/>
                    </a:ln>
                  </pic:spPr>
                </pic:pic>
              </a:graphicData>
            </a:graphic>
          </wp:inline>
        </w:drawing>
      </w:r>
    </w:p>
    <w:p w:rsidR="00737E8F" w:rsidRDefault="00737E8F" w:rsidP="00737E8F">
      <w:pPr>
        <w:pStyle w:val="TableHeading"/>
      </w:pPr>
      <w:r>
        <w:rPr>
          <w:snapToGrid w:val="0"/>
        </w:rPr>
        <w:br w:type="page"/>
      </w:r>
      <w:r w:rsidRPr="0033343C">
        <w:lastRenderedPageBreak/>
        <w:t>Table 3.2.5</w:t>
      </w:r>
      <w:r>
        <w:t>:</w:t>
      </w:r>
      <w:r w:rsidRPr="0033343C">
        <w:t xml:space="preserve"> Departmental </w:t>
      </w:r>
      <w:r>
        <w:t>c</w:t>
      </w:r>
      <w:r w:rsidRPr="0033343C">
        <w:t xml:space="preserve">apital </w:t>
      </w:r>
      <w:r>
        <w:t>b</w:t>
      </w:r>
      <w:r w:rsidRPr="0033343C">
        <w:t xml:space="preserve">udget </w:t>
      </w:r>
      <w:r>
        <w:t>s</w:t>
      </w:r>
      <w:r w:rsidRPr="0033343C">
        <w:t>tatement</w:t>
      </w:r>
    </w:p>
    <w:p w:rsidR="00737E8F" w:rsidRPr="0061699A" w:rsidRDefault="006F5B1A" w:rsidP="00737E8F">
      <w:pPr>
        <w:pStyle w:val="TableGraphic"/>
      </w:pPr>
      <w:r>
        <w:rPr>
          <w:noProof/>
        </w:rPr>
        <w:drawing>
          <wp:inline distT="0" distB="0" distL="0" distR="0" wp14:anchorId="483C82CE" wp14:editId="5472ED94">
            <wp:extent cx="4878705" cy="3243015"/>
            <wp:effectExtent l="0" t="0" r="0" b="0"/>
            <wp:docPr id="294" name="Picture 294" descr="Table 3.2.5: Departmental capital budge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878705" cy="3243015"/>
                    </a:xfrm>
                    <a:prstGeom prst="rect">
                      <a:avLst/>
                    </a:prstGeom>
                    <a:noFill/>
                    <a:ln>
                      <a:noFill/>
                    </a:ln>
                  </pic:spPr>
                </pic:pic>
              </a:graphicData>
            </a:graphic>
          </wp:inline>
        </w:drawing>
      </w:r>
    </w:p>
    <w:p w:rsidR="00737E8F" w:rsidRDefault="00737E8F" w:rsidP="00737E8F">
      <w:pPr>
        <w:pStyle w:val="TableHeading"/>
        <w:rPr>
          <w:snapToGrid w:val="0"/>
        </w:rPr>
      </w:pPr>
      <w:r>
        <w:rPr>
          <w:snapToGrid w:val="0"/>
        </w:rPr>
        <w:br w:type="page"/>
      </w:r>
      <w:r w:rsidRPr="0033343C">
        <w:rPr>
          <w:snapToGrid w:val="0"/>
        </w:rPr>
        <w:lastRenderedPageBreak/>
        <w:t>Table 3.2.6:</w:t>
      </w:r>
      <w:r>
        <w:rPr>
          <w:snapToGrid w:val="0"/>
        </w:rPr>
        <w:t xml:space="preserve"> </w:t>
      </w:r>
      <w:r w:rsidRPr="0033343C">
        <w:rPr>
          <w:snapToGrid w:val="0"/>
        </w:rPr>
        <w:t xml:space="preserve">Statement of </w:t>
      </w:r>
      <w:r>
        <w:rPr>
          <w:snapToGrid w:val="0"/>
        </w:rPr>
        <w:t>a</w:t>
      </w:r>
      <w:r w:rsidRPr="0033343C">
        <w:rPr>
          <w:snapToGrid w:val="0"/>
        </w:rPr>
        <w:t xml:space="preserve">sset </w:t>
      </w:r>
      <w:r>
        <w:rPr>
          <w:snapToGrid w:val="0"/>
        </w:rPr>
        <w:t>m</w:t>
      </w:r>
      <w:r w:rsidRPr="0033343C">
        <w:rPr>
          <w:snapToGrid w:val="0"/>
        </w:rPr>
        <w:t>ovements (</w:t>
      </w:r>
      <w:r>
        <w:rPr>
          <w:snapToGrid w:val="0"/>
        </w:rPr>
        <w:t>2013–</w:t>
      </w:r>
      <w:r w:rsidRPr="00892823">
        <w:rPr>
          <w:snapToGrid w:val="0"/>
        </w:rPr>
        <w:t>1</w:t>
      </w:r>
      <w:r>
        <w:rPr>
          <w:snapToGrid w:val="0"/>
        </w:rPr>
        <w:t>4</w:t>
      </w:r>
      <w:r w:rsidRPr="0033343C">
        <w:rPr>
          <w:snapToGrid w:val="0"/>
        </w:rPr>
        <w:t>)</w:t>
      </w:r>
    </w:p>
    <w:p w:rsidR="00737E8F" w:rsidRPr="00935871" w:rsidRDefault="00C97CFB" w:rsidP="00737E8F">
      <w:pPr>
        <w:pStyle w:val="TableGraphic"/>
        <w:rPr>
          <w:highlight w:val="yellow"/>
        </w:rPr>
      </w:pPr>
      <w:r>
        <w:rPr>
          <w:noProof/>
        </w:rPr>
        <w:drawing>
          <wp:inline distT="0" distB="0" distL="0" distR="0" wp14:anchorId="58113150" wp14:editId="269DAF25">
            <wp:extent cx="4856480" cy="3027680"/>
            <wp:effectExtent l="0" t="0" r="1270" b="1270"/>
            <wp:docPr id="135" name="Picture 135" descr="Table 3.2.6: Statement of asset movement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856480" cy="3027680"/>
                    </a:xfrm>
                    <a:prstGeom prst="rect">
                      <a:avLst/>
                    </a:prstGeom>
                    <a:noFill/>
                    <a:ln>
                      <a:noFill/>
                    </a:ln>
                  </pic:spPr>
                </pic:pic>
              </a:graphicData>
            </a:graphic>
          </wp:inline>
        </w:drawing>
      </w:r>
    </w:p>
    <w:p w:rsidR="00737E8F" w:rsidRPr="00710FF0" w:rsidRDefault="00737E8F" w:rsidP="00737E8F">
      <w:pPr>
        <w:pStyle w:val="SinglePara"/>
        <w:rPr>
          <w:snapToGrid w:val="0"/>
        </w:rPr>
      </w:pPr>
    </w:p>
    <w:p w:rsidR="00737E8F" w:rsidRDefault="00737E8F" w:rsidP="001E077B">
      <w:pPr>
        <w:pStyle w:val="Heading4"/>
      </w:pPr>
      <w:r>
        <w:br w:type="page"/>
      </w:r>
      <w:r>
        <w:lastRenderedPageBreak/>
        <w:t>3.2.</w:t>
      </w:r>
      <w:r w:rsidR="00F65448">
        <w:t>4</w:t>
      </w:r>
      <w:r>
        <w:tab/>
      </w:r>
      <w:r w:rsidRPr="00AD1D92">
        <w:t xml:space="preserve">Notes to the financial statements </w:t>
      </w:r>
    </w:p>
    <w:p w:rsidR="00737E8F" w:rsidRDefault="00737E8F" w:rsidP="007C6B28">
      <w:pPr>
        <w:pStyle w:val="Heading5"/>
      </w:pPr>
      <w:r>
        <w:t>Accounting policies</w:t>
      </w:r>
    </w:p>
    <w:p w:rsidR="001E077B" w:rsidRPr="001E077B" w:rsidRDefault="001E077B" w:rsidP="00020928">
      <w:pPr>
        <w:pStyle w:val="H6"/>
      </w:pPr>
      <w:r>
        <w:t>Basis of accounting</w:t>
      </w:r>
    </w:p>
    <w:p w:rsidR="00AA314A" w:rsidRDefault="001E077B" w:rsidP="00AA314A">
      <w:r w:rsidRPr="001E077B">
        <w:t>The budgeted financial statements are a special purpose financial report.</w:t>
      </w:r>
    </w:p>
    <w:p w:rsidR="008D27B5" w:rsidRDefault="008D27B5" w:rsidP="00020928">
      <w:pPr>
        <w:pStyle w:val="H6"/>
      </w:pPr>
      <w:r>
        <w:t>Rounding</w:t>
      </w:r>
    </w:p>
    <w:p w:rsidR="008D27B5" w:rsidRPr="008D27B5" w:rsidRDefault="008D27B5" w:rsidP="008D27B5">
      <w:r w:rsidRPr="008D27B5">
        <w:t>The budgeted financial statements have been rounded to the nearest thousand dollars.</w:t>
      </w:r>
    </w:p>
    <w:p w:rsidR="008D27B5" w:rsidRDefault="008D27B5" w:rsidP="00020928">
      <w:pPr>
        <w:pStyle w:val="H6"/>
      </w:pPr>
      <w:r>
        <w:t>Investments</w:t>
      </w:r>
    </w:p>
    <w:p w:rsidR="008D27B5" w:rsidRDefault="008D27B5" w:rsidP="008D27B5">
      <w:r w:rsidRPr="008D27B5">
        <w:t xml:space="preserve">Investments are recorded at their current cash-based valuation at reporting date. </w:t>
      </w:r>
      <w:proofErr w:type="gramStart"/>
      <w:r w:rsidRPr="008D27B5">
        <w:t xml:space="preserve">Section 193K of the </w:t>
      </w:r>
      <w:r w:rsidRPr="008D27B5">
        <w:rPr>
          <w:i/>
        </w:rPr>
        <w:t>Aboriginal and Torres Strait Islander Act 2005</w:t>
      </w:r>
      <w:r w:rsidRPr="008D27B5">
        <w:t xml:space="preserve"> states that the investment restrictions in s 18(3) of the </w:t>
      </w:r>
      <w:r w:rsidRPr="008D27B5">
        <w:rPr>
          <w:i/>
        </w:rPr>
        <w:t xml:space="preserve">Commonwealth Authorities and Companies </w:t>
      </w:r>
      <w:r w:rsidR="00F65448" w:rsidRPr="008D27B5">
        <w:rPr>
          <w:i/>
        </w:rPr>
        <w:t>Act</w:t>
      </w:r>
      <w:r w:rsidR="00F65448">
        <w:rPr>
          <w:i/>
        </w:rPr>
        <w:t> </w:t>
      </w:r>
      <w:r w:rsidRPr="008D27B5">
        <w:rPr>
          <w:i/>
        </w:rPr>
        <w:t>1997</w:t>
      </w:r>
      <w:r w:rsidRPr="008D27B5">
        <w:t xml:space="preserve"> do not apply to ILC.</w:t>
      </w:r>
      <w:proofErr w:type="gramEnd"/>
    </w:p>
    <w:p w:rsidR="008D27B5" w:rsidRDefault="008D27B5" w:rsidP="00020928">
      <w:pPr>
        <w:pStyle w:val="H6"/>
      </w:pPr>
      <w:r>
        <w:t>Inventory held for distribution</w:t>
      </w:r>
    </w:p>
    <w:p w:rsidR="008D27B5" w:rsidRDefault="008D27B5" w:rsidP="008D27B5">
      <w:r w:rsidRPr="008D27B5">
        <w:t xml:space="preserve">Inventory held for distribution represents properties purchased for the purpose of transfer to appropriate organisations in line with the objectives of ILC and properties transferred to ILC as a result of the </w:t>
      </w:r>
      <w:r w:rsidRPr="008D27B5">
        <w:rPr>
          <w:i/>
        </w:rPr>
        <w:t>Aboriginal and Torres Strait Islander Commission Amendment Act 2004</w:t>
      </w:r>
      <w:r w:rsidRPr="008D27B5">
        <w:t>. Land purchases (including the related plant, equipment and livestock, acquisition and holding costs) are capitalised on purchase and classified as inventory. A provision is raised in the Budgeted Departmental Comprehensive Income Statement for the full cost of land purchases (excluding livestock) representing the sacrifice of future benefits embodied in the assets.</w:t>
      </w:r>
    </w:p>
    <w:p w:rsidR="008D27B5" w:rsidRDefault="008D27B5" w:rsidP="00020928">
      <w:pPr>
        <w:pStyle w:val="H6"/>
      </w:pPr>
      <w:r>
        <w:t>Biological assets</w:t>
      </w:r>
    </w:p>
    <w:p w:rsidR="008D27B5" w:rsidRDefault="008D27B5" w:rsidP="008D27B5">
      <w:r w:rsidRPr="008D27B5">
        <w:t>Livestock held for trading purposes is classified as biological assets. Livestock is valued at market value as at reporting date.</w:t>
      </w:r>
    </w:p>
    <w:p w:rsidR="008D27B5" w:rsidRDefault="008D27B5" w:rsidP="00020928">
      <w:pPr>
        <w:pStyle w:val="H6"/>
      </w:pPr>
      <w:r>
        <w:t>Recognition of income</w:t>
      </w:r>
    </w:p>
    <w:p w:rsidR="008D27B5" w:rsidRDefault="008D27B5" w:rsidP="008D27B5">
      <w:r w:rsidRPr="008D27B5">
        <w:t>Receipts from the Land Account are recognised at the time ILC becomes entitled to receive the revenue and have been classified for the purpose of this report as Revenues from Land Account.</w:t>
      </w:r>
    </w:p>
    <w:p w:rsidR="008D27B5" w:rsidRDefault="008D27B5" w:rsidP="00020928">
      <w:pPr>
        <w:pStyle w:val="H6"/>
      </w:pPr>
      <w:r>
        <w:t>Economic dependency</w:t>
      </w:r>
    </w:p>
    <w:p w:rsidR="008D27B5" w:rsidRDefault="008D27B5" w:rsidP="008D27B5">
      <w:r w:rsidRPr="008D27B5">
        <w:t xml:space="preserve">ILC is dependent on an annual payment from the Land Account in accordance with </w:t>
      </w:r>
      <w:r w:rsidR="00C354E6" w:rsidRPr="008D27B5">
        <w:t>s</w:t>
      </w:r>
      <w:r w:rsidR="00C354E6">
        <w:t> </w:t>
      </w:r>
      <w:r w:rsidRPr="008D27B5">
        <w:t xml:space="preserve">193(2) of the </w:t>
      </w:r>
      <w:r w:rsidRPr="008D27B5">
        <w:rPr>
          <w:i/>
        </w:rPr>
        <w:t>Aboriginal and Torres Strait Islander Act 2005</w:t>
      </w:r>
      <w:r>
        <w:t>.</w:t>
      </w:r>
    </w:p>
    <w:p w:rsidR="008D27B5" w:rsidRDefault="008D27B5" w:rsidP="008D27B5">
      <w:pPr>
        <w:pStyle w:val="Heading5"/>
      </w:pPr>
      <w:r>
        <w:t>Reporting entities</w:t>
      </w:r>
    </w:p>
    <w:p w:rsidR="008D27B5" w:rsidRDefault="008D27B5" w:rsidP="008D27B5">
      <w:r w:rsidRPr="008D27B5">
        <w:t>The consolidated budgeted financial statements are those of the economic entity, comprising ILC (the parent entity) and its wholly owned subsidiaries other than Voyages Indigenous Tourism Australia Pty Ltd that has been classified as a Public Non-Financial Corporation and is not a General Government Sector body.</w:t>
      </w:r>
    </w:p>
    <w:p w:rsidR="008D27B5" w:rsidRDefault="008D27B5" w:rsidP="008D27B5">
      <w:pPr>
        <w:pStyle w:val="Heading5"/>
      </w:pPr>
      <w:r>
        <w:lastRenderedPageBreak/>
        <w:t>Departmental and administered items</w:t>
      </w:r>
    </w:p>
    <w:p w:rsidR="008D27B5" w:rsidRDefault="008D27B5" w:rsidP="008D27B5">
      <w:r w:rsidRPr="008D27B5">
        <w:t>ILC has no administered items.</w:t>
      </w:r>
    </w:p>
    <w:p w:rsidR="008D27B5" w:rsidRDefault="008D27B5" w:rsidP="008D27B5">
      <w:pPr>
        <w:pStyle w:val="Heading5"/>
      </w:pPr>
      <w:r>
        <w:t>Asset valuation</w:t>
      </w:r>
    </w:p>
    <w:p w:rsidR="008D27B5" w:rsidRDefault="008D27B5" w:rsidP="008D27B5">
      <w:r>
        <w:t>From 1 July 2005, in accordance with Australian Equivalents of International Financial Reporting Standards, government agencies and authorities are required to use fair value basis to measure property, plant and equipment.</w:t>
      </w:r>
    </w:p>
    <w:p w:rsidR="008D27B5" w:rsidRPr="008D27B5" w:rsidRDefault="008D27B5" w:rsidP="008D27B5">
      <w:r>
        <w:t xml:space="preserve">All assets are initially recorded at cost. Property, plant and equipment and other infrastructure assets are periodically </w:t>
      </w:r>
      <w:proofErr w:type="spellStart"/>
      <w:r>
        <w:t>revalued</w:t>
      </w:r>
      <w:proofErr w:type="spellEnd"/>
      <w:r>
        <w:t xml:space="preserve"> at their fair value.</w:t>
      </w:r>
    </w:p>
    <w:p w:rsidR="00737E8F" w:rsidRDefault="00737E8F" w:rsidP="00737E8F"/>
    <w:p w:rsidR="00737E8F" w:rsidRDefault="00737E8F" w:rsidP="00737E8F">
      <w:pPr>
        <w:sectPr w:rsidR="00737E8F" w:rsidSect="00D7542D">
          <w:headerReference w:type="even" r:id="rId183"/>
          <w:headerReference w:type="default" r:id="rId184"/>
          <w:type w:val="oddPage"/>
          <w:pgSz w:w="11907" w:h="16840" w:code="9"/>
          <w:pgMar w:top="2466" w:right="2126" w:bottom="2466" w:left="2098" w:header="1899" w:footer="1899" w:gutter="0"/>
          <w:cols w:space="708"/>
          <w:titlePg/>
          <w:docGrid w:linePitch="360"/>
        </w:sectPr>
      </w:pPr>
    </w:p>
    <w:p w:rsidR="00737E8F" w:rsidRDefault="00F426ED" w:rsidP="00737E8F">
      <w:pPr>
        <w:pStyle w:val="PartHeading"/>
        <w:spacing w:before="2160"/>
      </w:pPr>
      <w:r>
        <w:lastRenderedPageBreak/>
        <w:t>Torres Strait</w:t>
      </w:r>
      <w:r>
        <w:br/>
        <w:t>Regional Authority</w:t>
      </w:r>
    </w:p>
    <w:p w:rsidR="00737E8F" w:rsidRPr="00CF29B7" w:rsidRDefault="00737E8F" w:rsidP="00737E8F">
      <w:pPr>
        <w:pStyle w:val="PartHeading"/>
        <w:spacing w:before="2160"/>
      </w:pPr>
      <w:r>
        <w:t>Agency Resources and Planned Performance</w:t>
      </w:r>
    </w:p>
    <w:p w:rsidR="00737E8F" w:rsidRDefault="00737E8F" w:rsidP="00737E8F">
      <w:pPr>
        <w:jc w:val="left"/>
        <w:sectPr w:rsidR="00737E8F" w:rsidSect="00D7542D">
          <w:footerReference w:type="first" r:id="rId185"/>
          <w:type w:val="oddPage"/>
          <w:pgSz w:w="11907" w:h="16840" w:code="9"/>
          <w:pgMar w:top="2466" w:right="2126" w:bottom="2466" w:left="2098" w:header="1899" w:footer="1899" w:gutter="0"/>
          <w:cols w:space="708"/>
          <w:titlePg/>
          <w:docGrid w:linePitch="360"/>
        </w:sectPr>
      </w:pPr>
    </w:p>
    <w:p w:rsidR="00737E8F" w:rsidRPr="00042738" w:rsidRDefault="00F426ED" w:rsidP="00737E8F">
      <w:pPr>
        <w:pStyle w:val="ContentsHeading"/>
      </w:pPr>
      <w:r>
        <w:lastRenderedPageBreak/>
        <w:t>Torres Strait Regional Authority</w:t>
      </w:r>
    </w:p>
    <w:p w:rsidR="00737E8F" w:rsidRPr="0032739E" w:rsidRDefault="00737E8F" w:rsidP="00737E8F">
      <w:pPr>
        <w:pStyle w:val="TOC1"/>
      </w:pPr>
      <w:r w:rsidRPr="0032739E">
        <w:t>Section 1: Agency overview and resources</w:t>
      </w:r>
      <w:r w:rsidRPr="0032739E">
        <w:tab/>
      </w:r>
      <w:r w:rsidR="009A2C55">
        <w:t>283</w:t>
      </w:r>
    </w:p>
    <w:p w:rsidR="00737E8F" w:rsidRPr="0032739E" w:rsidRDefault="00737E8F" w:rsidP="00737E8F">
      <w:pPr>
        <w:pStyle w:val="TOC2"/>
      </w:pPr>
      <w:r w:rsidRPr="0032739E">
        <w:t>1.1</w:t>
      </w:r>
      <w:r>
        <w:t xml:space="preserve"> </w:t>
      </w:r>
      <w:r w:rsidRPr="0032739E">
        <w:t xml:space="preserve">Strategic </w:t>
      </w:r>
      <w:r>
        <w:t>d</w:t>
      </w:r>
      <w:r w:rsidRPr="0032739E">
        <w:t>irection</w:t>
      </w:r>
      <w:r w:rsidR="006911FE">
        <w:t xml:space="preserve"> statement</w:t>
      </w:r>
      <w:r w:rsidRPr="0032739E">
        <w:tab/>
      </w:r>
      <w:r w:rsidR="009A2C55">
        <w:t>283</w:t>
      </w:r>
    </w:p>
    <w:p w:rsidR="00737E8F" w:rsidRPr="0032739E" w:rsidRDefault="00737E8F" w:rsidP="00737E8F">
      <w:pPr>
        <w:pStyle w:val="TOC2"/>
      </w:pPr>
      <w:r w:rsidRPr="0032739E">
        <w:t>1.2</w:t>
      </w:r>
      <w:r>
        <w:t xml:space="preserve"> </w:t>
      </w:r>
      <w:r w:rsidRPr="0032739E">
        <w:t xml:space="preserve">Agency </w:t>
      </w:r>
      <w:r>
        <w:t>r</w:t>
      </w:r>
      <w:r w:rsidRPr="0032739E">
        <w:t xml:space="preserve">esource </w:t>
      </w:r>
      <w:r>
        <w:t>s</w:t>
      </w:r>
      <w:r w:rsidRPr="0032739E">
        <w:t>tatement</w:t>
      </w:r>
      <w:r w:rsidRPr="0032739E">
        <w:tab/>
      </w:r>
      <w:r w:rsidR="009A2C55">
        <w:t>285</w:t>
      </w:r>
    </w:p>
    <w:p w:rsidR="00737E8F" w:rsidRPr="0032739E" w:rsidRDefault="00737E8F" w:rsidP="00737E8F">
      <w:pPr>
        <w:pStyle w:val="TOC2"/>
      </w:pPr>
      <w:r w:rsidRPr="0032739E">
        <w:t>1.3</w:t>
      </w:r>
      <w:r>
        <w:t xml:space="preserve"> Budget measures</w:t>
      </w:r>
      <w:r w:rsidRPr="0032739E">
        <w:tab/>
      </w:r>
      <w:r w:rsidR="009A2C55">
        <w:t>286</w:t>
      </w:r>
    </w:p>
    <w:p w:rsidR="00737E8F" w:rsidRPr="0032739E" w:rsidRDefault="00737E8F" w:rsidP="00737E8F">
      <w:pPr>
        <w:pStyle w:val="TOC1"/>
      </w:pPr>
      <w:r w:rsidRPr="0032739E">
        <w:t xml:space="preserve">Section 2: </w:t>
      </w:r>
      <w:r>
        <w:t>O</w:t>
      </w:r>
      <w:r w:rsidRPr="0032739E">
        <w:t>utcomes and planned performance</w:t>
      </w:r>
      <w:r w:rsidRPr="0032739E">
        <w:tab/>
      </w:r>
      <w:r w:rsidR="009A2C55">
        <w:t>287</w:t>
      </w:r>
    </w:p>
    <w:p w:rsidR="00737E8F" w:rsidRPr="0032739E" w:rsidRDefault="00737E8F" w:rsidP="00737E8F">
      <w:pPr>
        <w:pStyle w:val="TOC2"/>
      </w:pPr>
      <w:r w:rsidRPr="0032739E">
        <w:t>2.1</w:t>
      </w:r>
      <w:r>
        <w:t xml:space="preserve"> Outcomes and</w:t>
      </w:r>
      <w:r w:rsidRPr="0032739E">
        <w:t xml:space="preserve"> performance information</w:t>
      </w:r>
      <w:r w:rsidRPr="0032739E">
        <w:tab/>
      </w:r>
      <w:r w:rsidR="009A2C55">
        <w:t>287</w:t>
      </w:r>
    </w:p>
    <w:p w:rsidR="00737E8F" w:rsidRPr="0032739E" w:rsidRDefault="00737E8F" w:rsidP="00737E8F">
      <w:pPr>
        <w:pStyle w:val="TOC1"/>
      </w:pPr>
      <w:r w:rsidRPr="0032739E">
        <w:t>Section 3: Explanatory tables and budgeted financial statements</w:t>
      </w:r>
      <w:r w:rsidRPr="0032739E">
        <w:tab/>
      </w:r>
      <w:r w:rsidR="009A2C55">
        <w:t>295</w:t>
      </w:r>
    </w:p>
    <w:p w:rsidR="00737E8F" w:rsidRPr="0032739E" w:rsidRDefault="00737E8F" w:rsidP="00737E8F">
      <w:pPr>
        <w:pStyle w:val="TOC2"/>
      </w:pPr>
      <w:r w:rsidRPr="0032739E">
        <w:t>3.1</w:t>
      </w:r>
      <w:r>
        <w:t xml:space="preserve"> </w:t>
      </w:r>
      <w:r w:rsidRPr="0032739E">
        <w:t>Explanatory tables</w:t>
      </w:r>
      <w:r w:rsidRPr="0032739E">
        <w:tab/>
      </w:r>
      <w:r w:rsidR="009A2C55">
        <w:t>295</w:t>
      </w:r>
    </w:p>
    <w:p w:rsidR="00737E8F" w:rsidRDefault="00737E8F" w:rsidP="00737E8F">
      <w:pPr>
        <w:pStyle w:val="TOC2"/>
      </w:pPr>
      <w:r w:rsidRPr="0032739E">
        <w:t>3.2</w:t>
      </w:r>
      <w:r>
        <w:t xml:space="preserve"> </w:t>
      </w:r>
      <w:r w:rsidRPr="0032739E">
        <w:t>Budgeted financial statements</w:t>
      </w:r>
      <w:r w:rsidRPr="0032739E">
        <w:tab/>
      </w:r>
      <w:r w:rsidR="009A2C55">
        <w:t>296</w:t>
      </w:r>
    </w:p>
    <w:p w:rsidR="00737E8F" w:rsidRPr="008E4CBB" w:rsidRDefault="00737E8F" w:rsidP="00737E8F"/>
    <w:p w:rsidR="00737E8F" w:rsidRDefault="00737E8F" w:rsidP="00737E8F">
      <w:pPr>
        <w:jc w:val="left"/>
        <w:sectPr w:rsidR="00737E8F" w:rsidSect="00D7542D">
          <w:headerReference w:type="first" r:id="rId186"/>
          <w:footerReference w:type="first" r:id="rId187"/>
          <w:type w:val="oddPage"/>
          <w:pgSz w:w="11907" w:h="16840" w:code="9"/>
          <w:pgMar w:top="2466" w:right="2126" w:bottom="2466" w:left="2098" w:header="1899" w:footer="1899" w:gutter="0"/>
          <w:cols w:space="708"/>
          <w:titlePg/>
          <w:docGrid w:linePitch="360"/>
        </w:sectPr>
      </w:pPr>
    </w:p>
    <w:p w:rsidR="00737E8F" w:rsidRDefault="00F426ED" w:rsidP="00737E8F">
      <w:pPr>
        <w:pStyle w:val="Heading1"/>
      </w:pPr>
      <w:r>
        <w:lastRenderedPageBreak/>
        <w:t>Torres Strait Regional Authority</w:t>
      </w:r>
    </w:p>
    <w:p w:rsidR="00737E8F" w:rsidRDefault="00737E8F" w:rsidP="00737E8F">
      <w:pPr>
        <w:pStyle w:val="Heading2"/>
      </w:pPr>
      <w:r>
        <w:t>Section 1: Agency overview and resources</w:t>
      </w:r>
    </w:p>
    <w:p w:rsidR="00737E8F" w:rsidRDefault="004E6854" w:rsidP="004E6854">
      <w:pPr>
        <w:pStyle w:val="Heading3"/>
      </w:pPr>
      <w:r>
        <w:t>1.1</w:t>
      </w:r>
      <w:r>
        <w:tab/>
      </w:r>
      <w:r w:rsidR="00737E8F">
        <w:t>Strategic direction statement</w:t>
      </w:r>
    </w:p>
    <w:p w:rsidR="007454A3" w:rsidRDefault="007454A3" w:rsidP="007454A3">
      <w:pPr>
        <w:pStyle w:val="BulletIntro"/>
      </w:pPr>
      <w:r>
        <w:t>The planned outcome of the Torres Strait Regional Authority (TSRA) is:</w:t>
      </w:r>
    </w:p>
    <w:p w:rsidR="007454A3" w:rsidRDefault="007454A3" w:rsidP="007454A3">
      <w:pPr>
        <w:pStyle w:val="Bullet"/>
      </w:pPr>
      <w:r>
        <w:t>Progress towards closing the gap for Torres Strait Islander and Aboriginal people living in the Torres Strait Region through development planning, coordination, sustainable resource management, and preservation and promotion of Indigenous culture.</w:t>
      </w:r>
    </w:p>
    <w:p w:rsidR="007454A3" w:rsidRDefault="007454A3" w:rsidP="007454A3">
      <w:r>
        <w:t xml:space="preserve">The TSRA is a Commonwealth statutory authority which was established in 1994 under the </w:t>
      </w:r>
      <w:r w:rsidRPr="007454A3">
        <w:rPr>
          <w:i/>
        </w:rPr>
        <w:t>Aboriginal and Torres Strait Islander Commission Act 1989</w:t>
      </w:r>
      <w:r>
        <w:t xml:space="preserve">, now known as the </w:t>
      </w:r>
      <w:r w:rsidRPr="007454A3">
        <w:rPr>
          <w:i/>
        </w:rPr>
        <w:t>Aboriginal and Torres Strait Islander Act 2005</w:t>
      </w:r>
      <w:r>
        <w:t>. It is the peak Commonwealth representative body for Torres Strait Islander and Aboriginal people living in the Torres Strait.</w:t>
      </w:r>
    </w:p>
    <w:p w:rsidR="007454A3" w:rsidRDefault="007454A3" w:rsidP="007454A3">
      <w:r>
        <w:t xml:space="preserve">The TSRA also performs separate functions under the </w:t>
      </w:r>
      <w:r w:rsidRPr="007454A3">
        <w:rPr>
          <w:i/>
        </w:rPr>
        <w:t>Native Title Act 1993</w:t>
      </w:r>
      <w:r>
        <w:t xml:space="preserve"> as the Native Title Representative Body for the Torres Strait Region.</w:t>
      </w:r>
    </w:p>
    <w:p w:rsidR="007454A3" w:rsidRDefault="007454A3" w:rsidP="007454A3">
      <w:r>
        <w:t>The TSRA is required under s 142D of the Aboriginal and Torres Strait Islander Act to formulate and implement a plan to guide the progress of the Torres Strait region. This plan, known as the Torres Strait Development Plan, is updated every four years to be consistent with the term of the TSRA Board.</w:t>
      </w:r>
    </w:p>
    <w:p w:rsidR="007454A3" w:rsidRDefault="007454A3" w:rsidP="007454A3">
      <w:r>
        <w:t>In 2008–09</w:t>
      </w:r>
      <w:r w:rsidR="00930450">
        <w:t>,</w:t>
      </w:r>
      <w:r>
        <w:t xml:space="preserve"> the TSRA finalised the Torres Strait Development Plan 2009–13, the fourth development plan since the establishment of the TSRA. The plan outlines seven new or revised TSRA program components (Economic Development; Culture, Art and Heritage; Native Title; Environmental Management; Governance and Leadership; Healthy Communities; Safe Communities), each of which has a number of desired outcomes and associated benefits.</w:t>
      </w:r>
    </w:p>
    <w:p w:rsidR="007454A3" w:rsidRDefault="007454A3" w:rsidP="007454A3">
      <w:pPr>
        <w:pStyle w:val="BulletIntro"/>
      </w:pPr>
      <w:r>
        <w:t>The Development Plan and its program components have been informed and driven by the Torres Strait and Northern Peninsula Area Regional Plan 2009–29 and the goals and aspirations of the residents of the Torres Strait. The new TSRA vision, which is shared by both the Regional Plan and the Development Plan, is:</w:t>
      </w:r>
    </w:p>
    <w:p w:rsidR="007454A3" w:rsidRDefault="007454A3" w:rsidP="007454A3">
      <w:pPr>
        <w:pStyle w:val="Bullet"/>
      </w:pPr>
      <w:r>
        <w:t>‘Empowering our people, in our decision, in our culture, for our future’</w:t>
      </w:r>
    </w:p>
    <w:p w:rsidR="007454A3" w:rsidRPr="007454A3" w:rsidRDefault="007454A3" w:rsidP="007454A3">
      <w:pPr>
        <w:pStyle w:val="Bullet"/>
        <w:rPr>
          <w:i/>
        </w:rPr>
      </w:pPr>
      <w:r w:rsidRPr="007454A3">
        <w:rPr>
          <w:i/>
        </w:rPr>
        <w:t>‘</w:t>
      </w:r>
      <w:proofErr w:type="spellStart"/>
      <w:r w:rsidRPr="007454A3">
        <w:rPr>
          <w:i/>
        </w:rPr>
        <w:t>Ngalpun</w:t>
      </w:r>
      <w:proofErr w:type="spellEnd"/>
      <w:r w:rsidRPr="007454A3">
        <w:rPr>
          <w:i/>
        </w:rPr>
        <w:t xml:space="preserve"> </w:t>
      </w:r>
      <w:proofErr w:type="spellStart"/>
      <w:r w:rsidRPr="007454A3">
        <w:rPr>
          <w:i/>
        </w:rPr>
        <w:t>yangu</w:t>
      </w:r>
      <w:proofErr w:type="spellEnd"/>
      <w:r w:rsidRPr="007454A3">
        <w:rPr>
          <w:i/>
        </w:rPr>
        <w:t xml:space="preserve"> </w:t>
      </w:r>
      <w:proofErr w:type="spellStart"/>
      <w:r w:rsidRPr="007454A3">
        <w:rPr>
          <w:i/>
        </w:rPr>
        <w:t>kaaba</w:t>
      </w:r>
      <w:proofErr w:type="spellEnd"/>
      <w:r w:rsidRPr="007454A3">
        <w:rPr>
          <w:i/>
        </w:rPr>
        <w:t xml:space="preserve"> </w:t>
      </w:r>
      <w:proofErr w:type="spellStart"/>
      <w:r w:rsidRPr="007454A3">
        <w:rPr>
          <w:i/>
        </w:rPr>
        <w:t>woeydhay</w:t>
      </w:r>
      <w:proofErr w:type="spellEnd"/>
      <w:r w:rsidRPr="007454A3">
        <w:rPr>
          <w:i/>
        </w:rPr>
        <w:t xml:space="preserve">, a </w:t>
      </w:r>
      <w:proofErr w:type="spellStart"/>
      <w:r w:rsidRPr="007454A3">
        <w:rPr>
          <w:i/>
        </w:rPr>
        <w:t>ngalpun</w:t>
      </w:r>
      <w:proofErr w:type="spellEnd"/>
      <w:r w:rsidRPr="007454A3">
        <w:rPr>
          <w:i/>
        </w:rPr>
        <w:t xml:space="preserve"> </w:t>
      </w:r>
      <w:proofErr w:type="spellStart"/>
      <w:r w:rsidRPr="007454A3">
        <w:rPr>
          <w:i/>
        </w:rPr>
        <w:t>muruygaw</w:t>
      </w:r>
      <w:proofErr w:type="spellEnd"/>
      <w:r w:rsidRPr="007454A3">
        <w:rPr>
          <w:i/>
        </w:rPr>
        <w:t xml:space="preserve"> </w:t>
      </w:r>
      <w:proofErr w:type="spellStart"/>
      <w:r w:rsidRPr="007454A3">
        <w:rPr>
          <w:i/>
        </w:rPr>
        <w:t>danalagan</w:t>
      </w:r>
      <w:proofErr w:type="spellEnd"/>
      <w:r w:rsidRPr="007454A3">
        <w:rPr>
          <w:i/>
        </w:rPr>
        <w:t xml:space="preserve"> </w:t>
      </w:r>
      <w:proofErr w:type="spellStart"/>
      <w:r w:rsidRPr="007454A3">
        <w:rPr>
          <w:i/>
        </w:rPr>
        <w:t>mabaygal</w:t>
      </w:r>
      <w:proofErr w:type="spellEnd"/>
      <w:r w:rsidRPr="007454A3">
        <w:rPr>
          <w:i/>
        </w:rPr>
        <w:t xml:space="preserve"> </w:t>
      </w:r>
      <w:proofErr w:type="spellStart"/>
      <w:r w:rsidRPr="007454A3">
        <w:rPr>
          <w:i/>
        </w:rPr>
        <w:t>kunakan</w:t>
      </w:r>
      <w:proofErr w:type="spellEnd"/>
      <w:r w:rsidRPr="007454A3">
        <w:rPr>
          <w:i/>
        </w:rPr>
        <w:t xml:space="preserve"> </w:t>
      </w:r>
      <w:proofErr w:type="spellStart"/>
      <w:r w:rsidRPr="007454A3">
        <w:rPr>
          <w:i/>
        </w:rPr>
        <w:t>palayk</w:t>
      </w:r>
      <w:proofErr w:type="spellEnd"/>
      <w:r w:rsidRPr="007454A3">
        <w:rPr>
          <w:i/>
        </w:rPr>
        <w:t xml:space="preserve">, </w:t>
      </w:r>
      <w:proofErr w:type="spellStart"/>
      <w:r w:rsidRPr="007454A3">
        <w:rPr>
          <w:i/>
        </w:rPr>
        <w:t>bathayngaka</w:t>
      </w:r>
      <w:proofErr w:type="spellEnd"/>
      <w:r w:rsidRPr="007454A3">
        <w:rPr>
          <w:i/>
        </w:rPr>
        <w:t>’ (KALA LAGAU YA)</w:t>
      </w:r>
    </w:p>
    <w:p w:rsidR="007454A3" w:rsidRPr="007454A3" w:rsidRDefault="007454A3" w:rsidP="007454A3">
      <w:pPr>
        <w:pStyle w:val="Bullet"/>
        <w:rPr>
          <w:i/>
        </w:rPr>
      </w:pPr>
      <w:r w:rsidRPr="007454A3">
        <w:rPr>
          <w:i/>
        </w:rPr>
        <w:lastRenderedPageBreak/>
        <w:t>‘</w:t>
      </w:r>
      <w:proofErr w:type="spellStart"/>
      <w:r w:rsidRPr="007454A3">
        <w:rPr>
          <w:i/>
        </w:rPr>
        <w:t>Buaigiz</w:t>
      </w:r>
      <w:proofErr w:type="spellEnd"/>
      <w:r w:rsidRPr="007454A3">
        <w:rPr>
          <w:i/>
        </w:rPr>
        <w:t xml:space="preserve"> </w:t>
      </w:r>
      <w:proofErr w:type="spellStart"/>
      <w:r w:rsidRPr="007454A3">
        <w:rPr>
          <w:i/>
        </w:rPr>
        <w:t>kelar</w:t>
      </w:r>
      <w:proofErr w:type="spellEnd"/>
      <w:r w:rsidRPr="007454A3">
        <w:rPr>
          <w:i/>
        </w:rPr>
        <w:t xml:space="preserve"> </w:t>
      </w:r>
      <w:proofErr w:type="spellStart"/>
      <w:r w:rsidRPr="007454A3">
        <w:rPr>
          <w:i/>
        </w:rPr>
        <w:t>obaiswerare</w:t>
      </w:r>
      <w:proofErr w:type="spellEnd"/>
      <w:r w:rsidRPr="007454A3">
        <w:rPr>
          <w:i/>
        </w:rPr>
        <w:t xml:space="preserve">, </w:t>
      </w:r>
      <w:proofErr w:type="spellStart"/>
      <w:r w:rsidRPr="007454A3">
        <w:rPr>
          <w:i/>
        </w:rPr>
        <w:t>merbi</w:t>
      </w:r>
      <w:proofErr w:type="spellEnd"/>
      <w:r w:rsidRPr="007454A3">
        <w:rPr>
          <w:i/>
        </w:rPr>
        <w:t xml:space="preserve"> </w:t>
      </w:r>
      <w:proofErr w:type="spellStart"/>
      <w:r w:rsidRPr="007454A3">
        <w:rPr>
          <w:i/>
        </w:rPr>
        <w:t>mir</w:t>
      </w:r>
      <w:proofErr w:type="spellEnd"/>
      <w:r w:rsidRPr="007454A3">
        <w:rPr>
          <w:i/>
        </w:rPr>
        <w:t xml:space="preserve"> </w:t>
      </w:r>
      <w:proofErr w:type="spellStart"/>
      <w:r w:rsidRPr="007454A3">
        <w:rPr>
          <w:i/>
        </w:rPr>
        <w:t>apuge</w:t>
      </w:r>
      <w:proofErr w:type="spellEnd"/>
      <w:r w:rsidRPr="007454A3">
        <w:rPr>
          <w:i/>
        </w:rPr>
        <w:t xml:space="preserve"> </w:t>
      </w:r>
      <w:proofErr w:type="spellStart"/>
      <w:r w:rsidRPr="007454A3">
        <w:rPr>
          <w:i/>
        </w:rPr>
        <w:t>mena</w:t>
      </w:r>
      <w:proofErr w:type="spellEnd"/>
      <w:r w:rsidRPr="007454A3">
        <w:rPr>
          <w:i/>
        </w:rPr>
        <w:t xml:space="preserve"> </w:t>
      </w:r>
      <w:proofErr w:type="spellStart"/>
      <w:r w:rsidRPr="007454A3">
        <w:rPr>
          <w:i/>
        </w:rPr>
        <w:t>obakedi</w:t>
      </w:r>
      <w:proofErr w:type="spellEnd"/>
      <w:r w:rsidRPr="007454A3">
        <w:rPr>
          <w:i/>
        </w:rPr>
        <w:t xml:space="preserve">, </w:t>
      </w:r>
      <w:proofErr w:type="spellStart"/>
      <w:r w:rsidRPr="007454A3">
        <w:rPr>
          <w:i/>
        </w:rPr>
        <w:t>muige</w:t>
      </w:r>
      <w:proofErr w:type="spellEnd"/>
      <w:r w:rsidRPr="007454A3">
        <w:rPr>
          <w:i/>
        </w:rPr>
        <w:t xml:space="preserve"> </w:t>
      </w:r>
      <w:proofErr w:type="spellStart"/>
      <w:r w:rsidRPr="007454A3">
        <w:rPr>
          <w:i/>
        </w:rPr>
        <w:t>merbi</w:t>
      </w:r>
      <w:proofErr w:type="spellEnd"/>
      <w:r w:rsidRPr="007454A3">
        <w:rPr>
          <w:i/>
        </w:rPr>
        <w:t xml:space="preserve"> </w:t>
      </w:r>
      <w:proofErr w:type="spellStart"/>
      <w:r w:rsidRPr="007454A3">
        <w:rPr>
          <w:i/>
        </w:rPr>
        <w:t>areribi</w:t>
      </w:r>
      <w:proofErr w:type="spellEnd"/>
      <w:r w:rsidRPr="007454A3">
        <w:rPr>
          <w:i/>
        </w:rPr>
        <w:t xml:space="preserve"> </w:t>
      </w:r>
      <w:proofErr w:type="spellStart"/>
      <w:r w:rsidRPr="007454A3">
        <w:rPr>
          <w:i/>
        </w:rPr>
        <w:t>tonarge</w:t>
      </w:r>
      <w:proofErr w:type="spellEnd"/>
      <w:r w:rsidRPr="007454A3">
        <w:rPr>
          <w:i/>
        </w:rPr>
        <w:t xml:space="preserve">, </w:t>
      </w:r>
      <w:proofErr w:type="spellStart"/>
      <w:r w:rsidRPr="007454A3">
        <w:rPr>
          <w:i/>
        </w:rPr>
        <w:t>ko</w:t>
      </w:r>
      <w:proofErr w:type="spellEnd"/>
      <w:r w:rsidRPr="007454A3">
        <w:rPr>
          <w:i/>
        </w:rPr>
        <w:t xml:space="preserve"> </w:t>
      </w:r>
      <w:proofErr w:type="spellStart"/>
      <w:r w:rsidRPr="007454A3">
        <w:rPr>
          <w:i/>
        </w:rPr>
        <w:t>merbi</w:t>
      </w:r>
      <w:proofErr w:type="spellEnd"/>
      <w:r w:rsidRPr="007454A3">
        <w:rPr>
          <w:i/>
        </w:rPr>
        <w:t xml:space="preserve"> </w:t>
      </w:r>
      <w:proofErr w:type="spellStart"/>
      <w:r w:rsidRPr="007454A3">
        <w:rPr>
          <w:i/>
        </w:rPr>
        <w:t>keub</w:t>
      </w:r>
      <w:proofErr w:type="spellEnd"/>
      <w:r w:rsidRPr="007454A3">
        <w:rPr>
          <w:i/>
        </w:rPr>
        <w:t xml:space="preserve"> </w:t>
      </w:r>
      <w:proofErr w:type="spellStart"/>
      <w:r w:rsidRPr="007454A3">
        <w:rPr>
          <w:i/>
        </w:rPr>
        <w:t>kerkerem</w:t>
      </w:r>
      <w:proofErr w:type="spellEnd"/>
      <w:r w:rsidRPr="007454A3">
        <w:rPr>
          <w:i/>
        </w:rPr>
        <w:t>’ (MERIAM MIR)</w:t>
      </w:r>
    </w:p>
    <w:p w:rsidR="007454A3" w:rsidRDefault="007454A3" w:rsidP="007454A3">
      <w:pPr>
        <w:pStyle w:val="BulletLast"/>
      </w:pPr>
      <w:r w:rsidRPr="007454A3">
        <w:rPr>
          <w:i/>
        </w:rPr>
        <w:t>‘</w:t>
      </w:r>
      <w:proofErr w:type="spellStart"/>
      <w:r w:rsidRPr="007454A3">
        <w:rPr>
          <w:i/>
        </w:rPr>
        <w:t>Ngalpan</w:t>
      </w:r>
      <w:proofErr w:type="spellEnd"/>
      <w:r w:rsidRPr="007454A3">
        <w:rPr>
          <w:i/>
        </w:rPr>
        <w:t xml:space="preserve"> </w:t>
      </w:r>
      <w:proofErr w:type="spellStart"/>
      <w:r w:rsidRPr="007454A3">
        <w:rPr>
          <w:i/>
        </w:rPr>
        <w:t>moebaygal</w:t>
      </w:r>
      <w:proofErr w:type="spellEnd"/>
      <w:r w:rsidRPr="007454A3">
        <w:rPr>
          <w:i/>
        </w:rPr>
        <w:t xml:space="preserve"> </w:t>
      </w:r>
      <w:proofErr w:type="spellStart"/>
      <w:r w:rsidRPr="007454A3">
        <w:rPr>
          <w:i/>
        </w:rPr>
        <w:t>thoepoeriwoeyamoeyn</w:t>
      </w:r>
      <w:proofErr w:type="spellEnd"/>
      <w:r w:rsidRPr="007454A3">
        <w:rPr>
          <w:i/>
        </w:rPr>
        <w:t xml:space="preserve">, </w:t>
      </w:r>
      <w:proofErr w:type="spellStart"/>
      <w:r w:rsidRPr="007454A3">
        <w:rPr>
          <w:i/>
        </w:rPr>
        <w:t>ngalpan</w:t>
      </w:r>
      <w:proofErr w:type="spellEnd"/>
      <w:r w:rsidRPr="007454A3">
        <w:rPr>
          <w:i/>
        </w:rPr>
        <w:t xml:space="preserve"> </w:t>
      </w:r>
      <w:proofErr w:type="spellStart"/>
      <w:r w:rsidRPr="007454A3">
        <w:rPr>
          <w:i/>
        </w:rPr>
        <w:t>ya</w:t>
      </w:r>
      <w:proofErr w:type="spellEnd"/>
      <w:r w:rsidRPr="007454A3">
        <w:rPr>
          <w:i/>
        </w:rPr>
        <w:t xml:space="preserve"> </w:t>
      </w:r>
      <w:proofErr w:type="spellStart"/>
      <w:r w:rsidRPr="007454A3">
        <w:rPr>
          <w:i/>
        </w:rPr>
        <w:t>kuduthoeraynu</w:t>
      </w:r>
      <w:proofErr w:type="spellEnd"/>
      <w:r w:rsidRPr="007454A3">
        <w:rPr>
          <w:i/>
        </w:rPr>
        <w:t xml:space="preserve">, </w:t>
      </w:r>
      <w:proofErr w:type="spellStart"/>
      <w:r w:rsidRPr="007454A3">
        <w:rPr>
          <w:i/>
        </w:rPr>
        <w:t>ngalpan</w:t>
      </w:r>
      <w:proofErr w:type="spellEnd"/>
      <w:r w:rsidRPr="007454A3">
        <w:rPr>
          <w:i/>
        </w:rPr>
        <w:t xml:space="preserve"> </w:t>
      </w:r>
      <w:proofErr w:type="spellStart"/>
      <w:r w:rsidRPr="007454A3">
        <w:rPr>
          <w:i/>
        </w:rPr>
        <w:t>igililmaypa</w:t>
      </w:r>
      <w:proofErr w:type="spellEnd"/>
      <w:r w:rsidRPr="007454A3">
        <w:rPr>
          <w:i/>
        </w:rPr>
        <w:t xml:space="preserve">, </w:t>
      </w:r>
      <w:proofErr w:type="spellStart"/>
      <w:r w:rsidRPr="007454A3">
        <w:rPr>
          <w:i/>
        </w:rPr>
        <w:t>sepa</w:t>
      </w:r>
      <w:proofErr w:type="spellEnd"/>
      <w:r w:rsidRPr="007454A3">
        <w:rPr>
          <w:i/>
        </w:rPr>
        <w:t xml:space="preserve"> </w:t>
      </w:r>
      <w:proofErr w:type="spellStart"/>
      <w:r w:rsidRPr="007454A3">
        <w:rPr>
          <w:i/>
        </w:rPr>
        <w:t>setha</w:t>
      </w:r>
      <w:proofErr w:type="spellEnd"/>
      <w:r w:rsidRPr="007454A3">
        <w:rPr>
          <w:i/>
        </w:rPr>
        <w:t xml:space="preserve"> </w:t>
      </w:r>
      <w:proofErr w:type="spellStart"/>
      <w:r w:rsidRPr="007454A3">
        <w:rPr>
          <w:i/>
        </w:rPr>
        <w:t>wara</w:t>
      </w:r>
      <w:proofErr w:type="spellEnd"/>
      <w:r w:rsidRPr="007454A3">
        <w:rPr>
          <w:i/>
        </w:rPr>
        <w:t xml:space="preserve"> </w:t>
      </w:r>
      <w:proofErr w:type="spellStart"/>
      <w:r w:rsidRPr="007454A3">
        <w:rPr>
          <w:i/>
        </w:rPr>
        <w:t>goeygil</w:t>
      </w:r>
      <w:proofErr w:type="spellEnd"/>
      <w:r w:rsidRPr="007454A3">
        <w:rPr>
          <w:i/>
        </w:rPr>
        <w:t xml:space="preserve"> </w:t>
      </w:r>
      <w:proofErr w:type="spellStart"/>
      <w:r w:rsidRPr="007454A3">
        <w:rPr>
          <w:i/>
        </w:rPr>
        <w:t>sey</w:t>
      </w:r>
      <w:proofErr w:type="spellEnd"/>
      <w:r w:rsidRPr="007454A3">
        <w:rPr>
          <w:i/>
        </w:rPr>
        <w:t xml:space="preserve"> </w:t>
      </w:r>
      <w:proofErr w:type="spellStart"/>
      <w:r w:rsidRPr="007454A3">
        <w:rPr>
          <w:i/>
        </w:rPr>
        <w:t>boey</w:t>
      </w:r>
      <w:proofErr w:type="spellEnd"/>
      <w:r w:rsidRPr="007454A3">
        <w:rPr>
          <w:i/>
        </w:rPr>
        <w:t xml:space="preserve"> </w:t>
      </w:r>
      <w:proofErr w:type="spellStart"/>
      <w:r w:rsidRPr="007454A3">
        <w:rPr>
          <w:i/>
        </w:rPr>
        <w:t>wagel</w:t>
      </w:r>
      <w:proofErr w:type="spellEnd"/>
      <w:r w:rsidRPr="007454A3">
        <w:rPr>
          <w:i/>
        </w:rPr>
        <w:t>’ (KALA KAWAU YA)</w:t>
      </w:r>
      <w:r>
        <w:t>.</w:t>
      </w:r>
    </w:p>
    <w:p w:rsidR="007454A3" w:rsidRDefault="007454A3" w:rsidP="007454A3">
      <w:r>
        <w:t>The Development Plan has also been designed to align with the COAG Building Blocks and to contribute to the Indigenous-specific outcomes of the national partnership agreements as outlined in the National Indigenous Reform Agreement.</w:t>
      </w:r>
      <w:r w:rsidR="00E0098C">
        <w:t xml:space="preserve"> The TSRA is currently finalising </w:t>
      </w:r>
      <w:r w:rsidR="00E0098C" w:rsidRPr="00CE6400">
        <w:rPr>
          <w:i/>
        </w:rPr>
        <w:t>Development Plan 2009–2013</w:t>
      </w:r>
      <w:r w:rsidR="00E0098C">
        <w:t xml:space="preserve"> and has commenced drafting </w:t>
      </w:r>
      <w:r w:rsidR="00E0098C" w:rsidRPr="00CE6400">
        <w:rPr>
          <w:i/>
        </w:rPr>
        <w:t>Development Plan 2014–2018</w:t>
      </w:r>
      <w:r w:rsidR="00E0098C">
        <w:t>.</w:t>
      </w:r>
    </w:p>
    <w:p w:rsidR="007454A3" w:rsidRDefault="007454A3" w:rsidP="007454A3">
      <w:r>
        <w:t>A key area of externally focused activity for the TSRA in 2013–14 will be continuing to drive the regional planning processes, including improving the integration of service delivery between governments at all levels working in the region. The TSRA will also dedicate considerable time to engaging with local stakeholders, informing them of the new Development Plan and associated changes, and supporting their adaptation to the new environment.</w:t>
      </w:r>
    </w:p>
    <w:p w:rsidR="007454A3" w:rsidRDefault="007454A3" w:rsidP="007454A3">
      <w:r>
        <w:t>The Torres Strait Ranger Project will continue to expand over the coming year. This dedicated ranger project will play a central role in the TSRA’s Environmental Management Program component, as it will be used to deliver a variety of land and sea management activities identified in the Land and Sea Management Strategy, the Regional Investment Strategy for the Torres Strait, and the Marine Turtle and Dugong Management Plan for each of the participating communities.</w:t>
      </w:r>
    </w:p>
    <w:p w:rsidR="007454A3" w:rsidRDefault="007454A3" w:rsidP="007454A3">
      <w:r>
        <w:t xml:space="preserve">The TSRA will work closely with primary health care stakeholders to enhance the efficacy and effectiveness of National Health Reforms in 2013–14. Through its Healthy Communities program, the TSRA will also monitor and provide strategic policy advice regarding health service delivery in the region and administer grant funding to regional projects that address social determinants that positively impact on health outcomes. </w:t>
      </w:r>
    </w:p>
    <w:p w:rsidR="00737E8F" w:rsidRPr="008E4CBB" w:rsidRDefault="007454A3" w:rsidP="007454A3">
      <w:r>
        <w:t xml:space="preserve">The Major Infrastructure </w:t>
      </w:r>
      <w:proofErr w:type="gramStart"/>
      <w:r>
        <w:t>Program,</w:t>
      </w:r>
      <w:proofErr w:type="gramEnd"/>
      <w:r>
        <w:t xml:space="preserve"> </w:t>
      </w:r>
      <w:r w:rsidR="00162FD1">
        <w:t>commenced</w:t>
      </w:r>
      <w:r>
        <w:t xml:space="preserve"> in 1998 as a bilateral commitment with the Queensland Government to deliver essential and sustainable environmental health infrastructure in the Torres Strait region, has also been extended into Stage 5. </w:t>
      </w:r>
      <w:r w:rsidR="00C354E6">
        <w:t>Key </w:t>
      </w:r>
      <w:r>
        <w:t>deliverables include</w:t>
      </w:r>
      <w:r w:rsidR="00C354E6">
        <w:t>:</w:t>
      </w:r>
      <w:r>
        <w:t xml:space="preserve"> water supply and reticulation; sanitation and wastewater; community roads and drainage; serviced housing lots; and asset sustainability.</w:t>
      </w:r>
    </w:p>
    <w:p w:rsidR="00737E8F" w:rsidRDefault="00737E8F" w:rsidP="00737E8F">
      <w:pPr>
        <w:pStyle w:val="Heading3"/>
      </w:pPr>
      <w:r>
        <w:br w:type="page"/>
      </w:r>
      <w:r>
        <w:lastRenderedPageBreak/>
        <w:t>1.2</w:t>
      </w:r>
      <w:r>
        <w:tab/>
        <w:t>Agency resource statement</w:t>
      </w:r>
    </w:p>
    <w:p w:rsidR="00737E8F" w:rsidRDefault="007454A3" w:rsidP="00737E8F">
      <w:r w:rsidRPr="007454A3">
        <w:t>Table 1.1 shows the total resources from all sources. The table summarises how resources will be applied by outcome and by administered and departmental classification.</w:t>
      </w:r>
    </w:p>
    <w:p w:rsidR="00737E8F" w:rsidRDefault="00737E8F" w:rsidP="00737E8F">
      <w:pPr>
        <w:pStyle w:val="TableHeading"/>
      </w:pPr>
      <w:r>
        <w:t xml:space="preserve">Table 1.1: </w:t>
      </w:r>
      <w:r w:rsidR="00F426ED">
        <w:t>TSRA</w:t>
      </w:r>
      <w:r>
        <w:t xml:space="preserve"> Resource Statement – Budget Estimates for 2013–14 as at Budget May 201</w:t>
      </w:r>
      <w:r w:rsidR="00D413A5">
        <w:t>3</w:t>
      </w:r>
    </w:p>
    <w:p w:rsidR="00737E8F" w:rsidRDefault="00505E25" w:rsidP="00737E8F">
      <w:pPr>
        <w:pStyle w:val="TableGraphic"/>
      </w:pPr>
      <w:r>
        <w:rPr>
          <w:noProof/>
        </w:rPr>
        <w:drawing>
          <wp:inline distT="0" distB="0" distL="0" distR="0" wp14:anchorId="0A54D332" wp14:editId="7336D3D7">
            <wp:extent cx="4857750" cy="3276600"/>
            <wp:effectExtent l="0" t="0" r="0" b="0"/>
            <wp:docPr id="295" name="Picture 295" descr="Table 1.1: TSRA Resource Statement – Budget Estimates for 2013–14 as at Budget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57750" cy="3276600"/>
                    </a:xfrm>
                    <a:prstGeom prst="rect">
                      <a:avLst/>
                    </a:prstGeom>
                    <a:noFill/>
                    <a:ln>
                      <a:noFill/>
                    </a:ln>
                  </pic:spPr>
                </pic:pic>
              </a:graphicData>
            </a:graphic>
          </wp:inline>
        </w:drawing>
      </w:r>
    </w:p>
    <w:p w:rsidR="00737E8F" w:rsidRDefault="00737E8F" w:rsidP="00737E8F">
      <w:pPr>
        <w:pStyle w:val="Heading3"/>
      </w:pPr>
      <w:r>
        <w:br w:type="page"/>
      </w:r>
      <w:r>
        <w:lastRenderedPageBreak/>
        <w:t>1.3</w:t>
      </w:r>
      <w:r>
        <w:tab/>
        <w:t>Budget measures</w:t>
      </w:r>
    </w:p>
    <w:p w:rsidR="00737E8F" w:rsidRDefault="007454A3" w:rsidP="00737E8F">
      <w:r w:rsidRPr="007454A3">
        <w:t>Budget measures relating to TSRA are detailed in MYEFO and are summarised below.</w:t>
      </w:r>
    </w:p>
    <w:p w:rsidR="007454A3" w:rsidRDefault="007454A3" w:rsidP="007454A3">
      <w:pPr>
        <w:pStyle w:val="TableHeading"/>
      </w:pPr>
      <w:r>
        <w:t>Table 1.2: TSRA 2013–14 budget measures</w:t>
      </w:r>
      <w:r>
        <w:br/>
        <w:t>MYEFO measures not previously reported in a portfolio statement</w:t>
      </w:r>
    </w:p>
    <w:p w:rsidR="007454A3" w:rsidRPr="007454A3" w:rsidRDefault="004321A2" w:rsidP="007454A3">
      <w:pPr>
        <w:pStyle w:val="TableGraphic"/>
      </w:pPr>
      <w:r>
        <w:rPr>
          <w:noProof/>
        </w:rPr>
        <w:drawing>
          <wp:inline distT="0" distB="0" distL="0" distR="0" wp14:anchorId="1969E588" wp14:editId="0E9740A4">
            <wp:extent cx="4878705" cy="2363419"/>
            <wp:effectExtent l="0" t="0" r="0" b="0"/>
            <wp:docPr id="388" name="Picture 388" descr="Table 1.2: TSRA 2013–14 budget measures&#10;MYEFO measures not previously reported in a portfolio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878705" cy="2363419"/>
                    </a:xfrm>
                    <a:prstGeom prst="rect">
                      <a:avLst/>
                    </a:prstGeom>
                    <a:noFill/>
                    <a:ln>
                      <a:noFill/>
                    </a:ln>
                  </pic:spPr>
                </pic:pic>
              </a:graphicData>
            </a:graphic>
          </wp:inline>
        </w:drawing>
      </w:r>
    </w:p>
    <w:p w:rsidR="00737E8F" w:rsidRDefault="00737E8F" w:rsidP="00737E8F">
      <w:pPr>
        <w:pStyle w:val="Heading2"/>
      </w:pPr>
      <w:r>
        <w:br w:type="page"/>
      </w:r>
      <w:r>
        <w:lastRenderedPageBreak/>
        <w:t>Section 2: Outcomes and planned performance</w:t>
      </w:r>
    </w:p>
    <w:p w:rsidR="00737E8F" w:rsidRDefault="00737E8F" w:rsidP="00737E8F">
      <w:pPr>
        <w:pStyle w:val="Heading3"/>
      </w:pPr>
      <w:r>
        <w:t>2.1</w:t>
      </w:r>
      <w:r>
        <w:tab/>
        <w:t>Outcomes and performance information</w:t>
      </w:r>
    </w:p>
    <w:p w:rsidR="007454A3" w:rsidRDefault="007454A3" w:rsidP="007454A3">
      <w:r>
        <w:t>Government outcomes are the intended results, impacts or consequences of actions by government on the Australian community. Commonwealth programs are the primary vehicle by which government agencies achieve the intended results of their outcome statements. Agencies are required to identify the programs which contribute to government outcomes over the budget and forward years.</w:t>
      </w:r>
    </w:p>
    <w:p w:rsidR="00737E8F" w:rsidRDefault="007454A3" w:rsidP="007454A3">
      <w:r>
        <w:t>Each outcome is described below together with its related programs, specifying the performance indicators and targets used to assess and monitor the performance of the Torres Strait Regional Authority in achieving government outcomes.</w:t>
      </w:r>
    </w:p>
    <w:p w:rsidR="00335776" w:rsidRDefault="00335776" w:rsidP="00335776">
      <w:pPr>
        <w:pStyle w:val="Heading4"/>
        <w:pBdr>
          <w:top w:val="single" w:sz="2" w:space="1" w:color="auto"/>
          <w:left w:val="single" w:sz="2" w:space="4" w:color="auto"/>
          <w:bottom w:val="single" w:sz="2" w:space="1" w:color="auto"/>
          <w:right w:val="single" w:sz="2" w:space="4" w:color="auto"/>
        </w:pBdr>
        <w:shd w:val="pct15" w:color="auto" w:fill="auto"/>
      </w:pPr>
      <w:r>
        <w:t>Outcome 1</w:t>
      </w:r>
    </w:p>
    <w:p w:rsidR="00737E8F" w:rsidRPr="00335776" w:rsidRDefault="00335776" w:rsidP="00335776">
      <w:pPr>
        <w:pStyle w:val="SinglePara"/>
        <w:pBdr>
          <w:top w:val="single" w:sz="2" w:space="1" w:color="auto"/>
          <w:left w:val="single" w:sz="2" w:space="4" w:color="auto"/>
          <w:bottom w:val="single" w:sz="2" w:space="1" w:color="auto"/>
          <w:right w:val="single" w:sz="2" w:space="4" w:color="auto"/>
        </w:pBdr>
        <w:shd w:val="pct15" w:color="auto" w:fill="auto"/>
        <w:rPr>
          <w:rFonts w:ascii="Arial" w:hAnsi="Arial" w:cs="Arial"/>
          <w:sz w:val="20"/>
        </w:rPr>
      </w:pPr>
      <w:r w:rsidRPr="00335776">
        <w:rPr>
          <w:rFonts w:ascii="Arial" w:hAnsi="Arial" w:cs="Arial"/>
          <w:sz w:val="20"/>
        </w:rPr>
        <w:t>Progress towards closing the gap for Torres Strait Islander and Aboriginal people living in the Torres Strait Region through development planning, coordination, sustainable resource management, and preservation and promotion of Indigenous culture.</w:t>
      </w:r>
    </w:p>
    <w:p w:rsidR="00737E8F" w:rsidRDefault="00737E8F" w:rsidP="00335776">
      <w:pPr>
        <w:pStyle w:val="Heading5"/>
      </w:pPr>
      <w:r>
        <w:t xml:space="preserve">Outcome 1 </w:t>
      </w:r>
      <w:r w:rsidR="00114603">
        <w:t>strategy</w:t>
      </w:r>
    </w:p>
    <w:p w:rsidR="007454A3" w:rsidRDefault="007454A3" w:rsidP="007454A3">
      <w:r>
        <w:t>The TSRA is focused on the delivery of outcomes and realisation of measurable benefits. The program components contribute to the achievement of the goals of the Torres Strait and Northern Peninsula Area Regional Plan 2009–2029 and to closing the gap in Indigenous disadvantage.</w:t>
      </w:r>
    </w:p>
    <w:p w:rsidR="007454A3" w:rsidRDefault="007454A3" w:rsidP="007454A3">
      <w:r>
        <w:t>The Development Plan is an action plan with a focus on delivering outcomes and benefits for Torres Strait Islander and Aboriginal people of the Torres Strait region. This and subsequent development plans will contribute to achieving the outcome statement for the TSRA.</w:t>
      </w:r>
    </w:p>
    <w:p w:rsidR="007454A3" w:rsidRDefault="007454A3" w:rsidP="007454A3">
      <w:r>
        <w:t>The Development Plan contains both short- and long-term objectives, some of which will not be achieved fully within the four-year life of the Plan. The phasing of objectives reflects the Australian Government’s long-term goals of generational change and impact.</w:t>
      </w:r>
    </w:p>
    <w:p w:rsidR="007454A3" w:rsidRDefault="007454A3" w:rsidP="007454A3">
      <w:r>
        <w:t>The TSRA is currently finalising Development Plan 2009–2013 and has commenced drafting Development Plan 2014–2018.</w:t>
      </w:r>
    </w:p>
    <w:p w:rsidR="007454A3" w:rsidRDefault="007454A3" w:rsidP="007454A3">
      <w:pPr>
        <w:pStyle w:val="BulletIntro"/>
      </w:pPr>
      <w:r>
        <w:t>The Program 1 objective is currently delivered through seven component programs, which are derived from the Torres Strait Development Plan 2009–2013. These are:</w:t>
      </w:r>
    </w:p>
    <w:p w:rsidR="007454A3" w:rsidRDefault="007454A3" w:rsidP="007454A3">
      <w:pPr>
        <w:pStyle w:val="Bullet"/>
      </w:pPr>
      <w:r>
        <w:t>Economic Development</w:t>
      </w:r>
    </w:p>
    <w:p w:rsidR="007454A3" w:rsidRDefault="007454A3" w:rsidP="007454A3">
      <w:pPr>
        <w:pStyle w:val="Bullet"/>
      </w:pPr>
      <w:r>
        <w:t>Culture, Art and Heritage</w:t>
      </w:r>
    </w:p>
    <w:p w:rsidR="007454A3" w:rsidRDefault="007454A3" w:rsidP="007454A3">
      <w:pPr>
        <w:pStyle w:val="Bullet"/>
      </w:pPr>
      <w:r>
        <w:lastRenderedPageBreak/>
        <w:t>Native Title</w:t>
      </w:r>
    </w:p>
    <w:p w:rsidR="007454A3" w:rsidRDefault="007454A3" w:rsidP="007454A3">
      <w:pPr>
        <w:pStyle w:val="Bullet"/>
      </w:pPr>
      <w:r>
        <w:t>Environmental Management</w:t>
      </w:r>
    </w:p>
    <w:p w:rsidR="007454A3" w:rsidRDefault="007454A3" w:rsidP="007454A3">
      <w:pPr>
        <w:pStyle w:val="Bullet"/>
      </w:pPr>
      <w:r>
        <w:t>Governance and Leadership</w:t>
      </w:r>
    </w:p>
    <w:p w:rsidR="007454A3" w:rsidRDefault="007454A3" w:rsidP="007454A3">
      <w:pPr>
        <w:pStyle w:val="Bullet"/>
      </w:pPr>
      <w:r>
        <w:t>Healthy Communities</w:t>
      </w:r>
    </w:p>
    <w:p w:rsidR="007454A3" w:rsidRDefault="007454A3" w:rsidP="007454A3">
      <w:pPr>
        <w:pStyle w:val="BulletLast"/>
      </w:pPr>
      <w:r>
        <w:t>Safe Communities.</w:t>
      </w:r>
    </w:p>
    <w:p w:rsidR="00737E8F" w:rsidRDefault="007454A3" w:rsidP="007454A3">
      <w:r>
        <w:t>The Development Plan 2014–2018 will deliver the Program 1 objective through eight component programs, with the addition of a Fisheries Program to the seven listed above.</w:t>
      </w:r>
    </w:p>
    <w:p w:rsidR="00737E8F" w:rsidRDefault="00737E8F" w:rsidP="00335776">
      <w:pPr>
        <w:pStyle w:val="Heading5"/>
      </w:pPr>
      <w:r>
        <w:t xml:space="preserve">Outcome </w:t>
      </w:r>
      <w:r w:rsidR="004164A2">
        <w:t xml:space="preserve">expense </w:t>
      </w:r>
      <w:r w:rsidR="004164A2" w:rsidRPr="007454A3">
        <w:t>statement</w:t>
      </w:r>
    </w:p>
    <w:p w:rsidR="00737E8F" w:rsidRDefault="007454A3" w:rsidP="00737E8F">
      <w:r w:rsidRPr="007454A3">
        <w:t>Table 2.1 provides an overview of the total expenses for Outcome 1, by program.</w:t>
      </w:r>
    </w:p>
    <w:p w:rsidR="00737E8F" w:rsidRDefault="00737E8F" w:rsidP="00737E8F">
      <w:pPr>
        <w:pStyle w:val="TableHeading"/>
        <w:rPr>
          <w:lang w:val="en-GB"/>
        </w:rPr>
      </w:pPr>
      <w:r>
        <w:rPr>
          <w:lang w:val="en-GB"/>
        </w:rPr>
        <w:t xml:space="preserve">Table 2.1: Budgeted </w:t>
      </w:r>
      <w:r w:rsidR="00114603">
        <w:rPr>
          <w:lang w:val="en-GB"/>
        </w:rPr>
        <w:t>expenses</w:t>
      </w:r>
      <w:r>
        <w:rPr>
          <w:lang w:val="en-GB"/>
        </w:rPr>
        <w:t xml:space="preserve"> for Outcome 1</w:t>
      </w:r>
    </w:p>
    <w:p w:rsidR="00737E8F" w:rsidRPr="00A82139" w:rsidRDefault="00F07FEE" w:rsidP="00737E8F">
      <w:pPr>
        <w:pStyle w:val="TableGraphic"/>
        <w:rPr>
          <w:lang w:val="en-GB"/>
        </w:rPr>
      </w:pPr>
      <w:r>
        <w:rPr>
          <w:noProof/>
        </w:rPr>
        <w:drawing>
          <wp:inline distT="0" distB="0" distL="0" distR="0" wp14:anchorId="5B9789D3" wp14:editId="5F8F50F9">
            <wp:extent cx="4878705" cy="2648169"/>
            <wp:effectExtent l="0" t="0" r="0" b="0"/>
            <wp:docPr id="236" name="Picture 236" descr="Table 2.1: Budgeted expens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878705" cy="2648169"/>
                    </a:xfrm>
                    <a:prstGeom prst="rect">
                      <a:avLst/>
                    </a:prstGeom>
                    <a:noFill/>
                    <a:ln>
                      <a:noFill/>
                    </a:ln>
                  </pic:spPr>
                </pic:pic>
              </a:graphicData>
            </a:graphic>
          </wp:inline>
        </w:drawing>
      </w:r>
    </w:p>
    <w:p w:rsidR="00737E8F" w:rsidRDefault="00737E8F" w:rsidP="00335776">
      <w:pPr>
        <w:pStyle w:val="Heading5"/>
      </w:pPr>
      <w:r>
        <w:t xml:space="preserve"> </w:t>
      </w:r>
      <w:r>
        <w:br w:type="page"/>
      </w:r>
      <w:r>
        <w:lastRenderedPageBreak/>
        <w:t>Contributions to Outcome 1</w:t>
      </w:r>
    </w:p>
    <w:p w:rsidR="00737E8F" w:rsidRDefault="00737E8F" w:rsidP="00335776">
      <w:pPr>
        <w:pStyle w:val="Heading6"/>
      </w:pPr>
      <w:r>
        <w:t xml:space="preserve">Program 1.1: </w:t>
      </w:r>
      <w:r w:rsidR="007454A3" w:rsidRPr="007454A3">
        <w:t>Torres Strait Regional Development</w:t>
      </w:r>
    </w:p>
    <w:p w:rsidR="00737E8F" w:rsidRDefault="00737E8F" w:rsidP="00737E8F">
      <w:pPr>
        <w:pStyle w:val="SinglePara"/>
      </w:pPr>
    </w:p>
    <w:p w:rsidR="00737E8F" w:rsidRDefault="00737E8F" w:rsidP="00335776">
      <w:pPr>
        <w:pStyle w:val="Heading7"/>
      </w:pPr>
      <w:r>
        <w:t xml:space="preserve">Program 1.1 </w:t>
      </w:r>
      <w:r w:rsidR="00114603">
        <w:t>objective</w:t>
      </w:r>
    </w:p>
    <w:p w:rsidR="007454A3" w:rsidRDefault="007454A3" w:rsidP="007454A3">
      <w:pPr>
        <w:pStyle w:val="NormalBox"/>
      </w:pPr>
      <w:r>
        <w:t xml:space="preserve">In November 2008, the Torres Strait Regional Authority Board endorsed the following Outcome statement: ‘Progress </w:t>
      </w:r>
      <w:r w:rsidRPr="007454A3">
        <w:t>towards</w:t>
      </w:r>
      <w:r>
        <w:t xml:space="preserve"> closing the gap for Torres Strait Islander and Aboriginal people living in the Torres Strait Region through development planning, coordination, sustainable resource management, and preservation and promotion of Indigenous culture’.</w:t>
      </w:r>
    </w:p>
    <w:p w:rsidR="007454A3" w:rsidRDefault="007454A3" w:rsidP="00335776">
      <w:pPr>
        <w:pStyle w:val="Heading7"/>
      </w:pPr>
      <w:r>
        <w:t>Program component objectives</w:t>
      </w:r>
    </w:p>
    <w:p w:rsidR="007454A3" w:rsidRDefault="007454A3" w:rsidP="00335776">
      <w:pPr>
        <w:pStyle w:val="Heading8"/>
      </w:pPr>
      <w:r>
        <w:t>Economic Development</w:t>
      </w:r>
    </w:p>
    <w:p w:rsidR="007454A3" w:rsidRDefault="007454A3" w:rsidP="007454A3">
      <w:pPr>
        <w:pStyle w:val="NormalBox"/>
      </w:pPr>
      <w:r>
        <w:t>The TSRA will take the lead as a ‘Whole of Region Economic Development Solution Broker’. In this role, the TSRA will work in partnership with other government and non-government organisations and individual communities to advance this regional goal and ensure the efficient use of resources. It will aim to:</w:t>
      </w:r>
    </w:p>
    <w:p w:rsidR="007454A3" w:rsidRDefault="007454A3" w:rsidP="007454A3">
      <w:pPr>
        <w:pStyle w:val="BulletBox"/>
      </w:pPr>
      <w:r>
        <w:t>stimulate economic development across the region</w:t>
      </w:r>
    </w:p>
    <w:p w:rsidR="007454A3" w:rsidRDefault="007454A3" w:rsidP="007454A3">
      <w:pPr>
        <w:pStyle w:val="BulletBox"/>
      </w:pPr>
      <w:r>
        <w:t>advance business skills and align training initiatives with regional employment opportunities</w:t>
      </w:r>
    </w:p>
    <w:p w:rsidR="007454A3" w:rsidRDefault="007454A3" w:rsidP="007454A3">
      <w:pPr>
        <w:pStyle w:val="BulletBox"/>
      </w:pPr>
      <w:proofErr w:type="gramStart"/>
      <w:r>
        <w:t>advance</w:t>
      </w:r>
      <w:proofErr w:type="gramEnd"/>
      <w:r>
        <w:t xml:space="preserve"> Indigenous ownership and management of industries and enterprises.</w:t>
      </w:r>
    </w:p>
    <w:p w:rsidR="007454A3" w:rsidRDefault="007454A3" w:rsidP="00335776">
      <w:pPr>
        <w:pStyle w:val="Heading8"/>
      </w:pPr>
      <w:r>
        <w:t>Culture, Art and Heritage</w:t>
      </w:r>
    </w:p>
    <w:p w:rsidR="007454A3" w:rsidRDefault="007454A3" w:rsidP="007454A3">
      <w:pPr>
        <w:pStyle w:val="NormalBox"/>
      </w:pPr>
      <w:r>
        <w:t>The TSRA will form a Culture, Art and Heritage Program to support the regional outcomes. The aims of the program are to:</w:t>
      </w:r>
    </w:p>
    <w:p w:rsidR="007454A3" w:rsidRDefault="007454A3" w:rsidP="007454A3">
      <w:pPr>
        <w:pStyle w:val="BulletBox"/>
      </w:pPr>
      <w:r>
        <w:t>protect culturally significant sites and artefacts to ensure their longevity</w:t>
      </w:r>
    </w:p>
    <w:p w:rsidR="007454A3" w:rsidRDefault="007454A3" w:rsidP="007454A3">
      <w:pPr>
        <w:pStyle w:val="BulletBox"/>
      </w:pPr>
      <w:proofErr w:type="gramStart"/>
      <w:r>
        <w:t>revitalise</w:t>
      </w:r>
      <w:proofErr w:type="gramEnd"/>
      <w:r>
        <w:t xml:space="preserve"> traditional cultural practices (art, dance, language, and storytelling) among communities.</w:t>
      </w:r>
    </w:p>
    <w:p w:rsidR="007454A3" w:rsidRDefault="007454A3" w:rsidP="00335776">
      <w:pPr>
        <w:pStyle w:val="Heading8"/>
      </w:pPr>
      <w:r>
        <w:t>Native Title program</w:t>
      </w:r>
    </w:p>
    <w:p w:rsidR="007454A3" w:rsidRDefault="007454A3" w:rsidP="007454A3">
      <w:pPr>
        <w:pStyle w:val="NormalBox"/>
      </w:pPr>
      <w:r>
        <w:t>To provide high-quality and culturally appropriate professional services to native title holders and claimants in the Torres Strait Region, to facilitate the securing of legal recognition of native title to land and waters in the Torres Strait and thereby improve opportunities for improved economic, cultural and social participation for Torres Strait Islander and Aboriginal people living in the region.</w:t>
      </w:r>
    </w:p>
    <w:p w:rsidR="007454A3" w:rsidRDefault="007454A3" w:rsidP="00335776">
      <w:pPr>
        <w:pStyle w:val="Heading8"/>
      </w:pPr>
      <w:r>
        <w:t>This program component will:</w:t>
      </w:r>
    </w:p>
    <w:p w:rsidR="007454A3" w:rsidRDefault="007454A3" w:rsidP="007454A3">
      <w:pPr>
        <w:pStyle w:val="BulletBox"/>
      </w:pPr>
      <w:r>
        <w:t>protect and manage native title rights</w:t>
      </w:r>
    </w:p>
    <w:p w:rsidR="007454A3" w:rsidRDefault="007454A3" w:rsidP="007454A3">
      <w:pPr>
        <w:pStyle w:val="BulletBox"/>
      </w:pPr>
      <w:proofErr w:type="gramStart"/>
      <w:r>
        <w:t>build</w:t>
      </w:r>
      <w:proofErr w:type="gramEnd"/>
      <w:r>
        <w:t xml:space="preserve"> the capacity of native title Prescribed Bodies Corporate. </w:t>
      </w:r>
    </w:p>
    <w:p w:rsidR="007454A3" w:rsidRDefault="007454A3" w:rsidP="00335776">
      <w:pPr>
        <w:pStyle w:val="Heading7"/>
      </w:pPr>
      <w:r>
        <w:t>Program component objectives (continued)</w:t>
      </w:r>
    </w:p>
    <w:p w:rsidR="007454A3" w:rsidRDefault="007454A3" w:rsidP="00335776">
      <w:pPr>
        <w:pStyle w:val="Heading8"/>
      </w:pPr>
      <w:r>
        <w:t>Environmental Management</w:t>
      </w:r>
    </w:p>
    <w:p w:rsidR="007454A3" w:rsidRDefault="007454A3" w:rsidP="007454A3">
      <w:pPr>
        <w:pStyle w:val="NormalBox"/>
      </w:pPr>
      <w:r>
        <w:t xml:space="preserve">The TSRA will play a mix of leading and supporting roles in a number of environmental management initiatives within the Torres Strait. </w:t>
      </w:r>
    </w:p>
    <w:p w:rsidR="007454A3" w:rsidRDefault="007454A3" w:rsidP="007454A3">
      <w:pPr>
        <w:pStyle w:val="NormalBox"/>
      </w:pPr>
      <w:r>
        <w:lastRenderedPageBreak/>
        <w:t xml:space="preserve">The primary aims of the program are to: </w:t>
      </w:r>
    </w:p>
    <w:p w:rsidR="007454A3" w:rsidRDefault="007454A3" w:rsidP="007216D1">
      <w:pPr>
        <w:pStyle w:val="BulletBox"/>
      </w:pPr>
      <w:r>
        <w:t>achieve sustainable management of natural resources</w:t>
      </w:r>
    </w:p>
    <w:p w:rsidR="007454A3" w:rsidRDefault="007454A3" w:rsidP="007216D1">
      <w:pPr>
        <w:pStyle w:val="BulletBox"/>
      </w:pPr>
      <w:proofErr w:type="gramStart"/>
      <w:r>
        <w:t>contribute</w:t>
      </w:r>
      <w:proofErr w:type="gramEnd"/>
      <w:r>
        <w:t xml:space="preserve"> to the reduction of the ecological and carbon footprint of Torres Strait and Northern Peninsula area residents.</w:t>
      </w:r>
    </w:p>
    <w:p w:rsidR="007454A3" w:rsidRDefault="007454A3" w:rsidP="00335776">
      <w:pPr>
        <w:pStyle w:val="Heading8"/>
      </w:pPr>
      <w:r>
        <w:t xml:space="preserve">Governance and </w:t>
      </w:r>
      <w:r w:rsidRPr="00335776">
        <w:t>Leadership</w:t>
      </w:r>
    </w:p>
    <w:p w:rsidR="007454A3" w:rsidRDefault="007454A3" w:rsidP="007454A3">
      <w:pPr>
        <w:pStyle w:val="NormalBox"/>
      </w:pPr>
      <w:r>
        <w:t>To help maintain and improve the leadership and governance skills of current and future leaders of the Torres Strait to support development planning and coordination of integrated government service delivery in the Torres Strait Region.</w:t>
      </w:r>
    </w:p>
    <w:p w:rsidR="007454A3" w:rsidRDefault="007454A3" w:rsidP="007454A3">
      <w:pPr>
        <w:pStyle w:val="NormalBox"/>
      </w:pPr>
      <w:r>
        <w:t>This program component will:</w:t>
      </w:r>
    </w:p>
    <w:p w:rsidR="007454A3" w:rsidRDefault="007454A3" w:rsidP="007216D1">
      <w:pPr>
        <w:pStyle w:val="BulletBox"/>
      </w:pPr>
      <w:r>
        <w:t>involve Torres Strait Islander and Aboriginal leaders in legislative processes, policies and priorities in terms of setting direction for integrated planning and service delivery</w:t>
      </w:r>
    </w:p>
    <w:p w:rsidR="007454A3" w:rsidRDefault="007454A3" w:rsidP="007216D1">
      <w:pPr>
        <w:pStyle w:val="BulletBox"/>
      </w:pPr>
      <w:r>
        <w:t>involve Torres Strait Islander and Aboriginal leaders in monitoring progress towards reaching regional goals and outcomes</w:t>
      </w:r>
    </w:p>
    <w:p w:rsidR="007454A3" w:rsidRDefault="007454A3" w:rsidP="007216D1">
      <w:pPr>
        <w:pStyle w:val="BulletBox"/>
      </w:pPr>
      <w:proofErr w:type="gramStart"/>
      <w:r>
        <w:t>develop</w:t>
      </w:r>
      <w:proofErr w:type="gramEnd"/>
      <w:r>
        <w:t xml:space="preserve"> the capacity of current and future leaders across the region and support effective communication between the community and organisations involved in the region.</w:t>
      </w:r>
    </w:p>
    <w:p w:rsidR="007454A3" w:rsidRDefault="007454A3" w:rsidP="00335776">
      <w:pPr>
        <w:pStyle w:val="Heading8"/>
      </w:pPr>
      <w:r>
        <w:t>Healthy Communities</w:t>
      </w:r>
    </w:p>
    <w:p w:rsidR="007454A3" w:rsidRDefault="007454A3" w:rsidP="007454A3">
      <w:pPr>
        <w:pStyle w:val="NormalBox"/>
      </w:pPr>
      <w:r>
        <w:t>The TSRA’s Healthy Communities Program aims to:</w:t>
      </w:r>
    </w:p>
    <w:p w:rsidR="007454A3" w:rsidRDefault="007454A3" w:rsidP="007216D1">
      <w:pPr>
        <w:pStyle w:val="BulletBox"/>
      </w:pPr>
      <w:r>
        <w:t>monitor and provide strategic policy advice regarding health service delivery in the region and contribute to ensuring that health service levels are equal to the national standard</w:t>
      </w:r>
    </w:p>
    <w:p w:rsidR="007454A3" w:rsidRDefault="007454A3" w:rsidP="007216D1">
      <w:pPr>
        <w:pStyle w:val="BulletBox"/>
      </w:pPr>
      <w:r>
        <w:t>improve the health of Indigenous people living in the region through proactive healthy living initiatives</w:t>
      </w:r>
    </w:p>
    <w:p w:rsidR="00737E8F" w:rsidRDefault="007454A3" w:rsidP="007216D1">
      <w:pPr>
        <w:pStyle w:val="BulletBox"/>
      </w:pPr>
      <w:proofErr w:type="gramStart"/>
      <w:r>
        <w:t>increase</w:t>
      </w:r>
      <w:proofErr w:type="gramEnd"/>
      <w:r>
        <w:t xml:space="preserve"> Indigenous home ownership.</w:t>
      </w:r>
    </w:p>
    <w:p w:rsidR="00335776" w:rsidRDefault="00335776" w:rsidP="00335776">
      <w:pPr>
        <w:pStyle w:val="BulletBox"/>
        <w:numPr>
          <w:ilvl w:val="0"/>
          <w:numId w:val="0"/>
        </w:numPr>
        <w:pBdr>
          <w:top w:val="none" w:sz="0" w:space="0" w:color="auto"/>
          <w:left w:val="none" w:sz="0" w:space="0" w:color="auto"/>
          <w:bottom w:val="none" w:sz="0" w:space="0" w:color="auto"/>
          <w:right w:val="none" w:sz="0" w:space="0" w:color="auto"/>
        </w:pBdr>
        <w:ind w:left="284" w:hanging="284"/>
      </w:pPr>
    </w:p>
    <w:p w:rsidR="00335776" w:rsidRDefault="00335776" w:rsidP="00335776">
      <w:pPr>
        <w:pStyle w:val="BulletBox"/>
        <w:numPr>
          <w:ilvl w:val="0"/>
          <w:numId w:val="0"/>
        </w:numPr>
        <w:pBdr>
          <w:top w:val="none" w:sz="0" w:space="0" w:color="auto"/>
          <w:left w:val="none" w:sz="0" w:space="0" w:color="auto"/>
          <w:bottom w:val="none" w:sz="0" w:space="0" w:color="auto"/>
          <w:right w:val="none" w:sz="0" w:space="0" w:color="auto"/>
        </w:pBdr>
        <w:ind w:left="284" w:hanging="284"/>
      </w:pPr>
    </w:p>
    <w:p w:rsidR="007216D1" w:rsidRDefault="00335776" w:rsidP="00335776">
      <w:pPr>
        <w:pStyle w:val="Heading7"/>
      </w:pPr>
      <w:r>
        <w:br w:type="page"/>
      </w:r>
      <w:r w:rsidR="007216D1">
        <w:lastRenderedPageBreak/>
        <w:t>Program component objectives (continued)</w:t>
      </w:r>
    </w:p>
    <w:p w:rsidR="007216D1" w:rsidRDefault="007216D1" w:rsidP="00335776">
      <w:pPr>
        <w:pStyle w:val="Heading8"/>
      </w:pPr>
      <w:r>
        <w:t>Safe Communities</w:t>
      </w:r>
    </w:p>
    <w:p w:rsidR="007216D1" w:rsidRDefault="007216D1" w:rsidP="007216D1">
      <w:pPr>
        <w:pStyle w:val="NormalBox"/>
      </w:pPr>
      <w:r>
        <w:t>The TSRA will contribute to the safety of communities by:</w:t>
      </w:r>
    </w:p>
    <w:p w:rsidR="007216D1" w:rsidRPr="007216D1" w:rsidRDefault="007216D1" w:rsidP="007216D1">
      <w:pPr>
        <w:pStyle w:val="BulletBox"/>
      </w:pPr>
      <w:r w:rsidRPr="007216D1">
        <w:t>contributing to the development of standards for the provision of all mainstream social services and facilities, including emergency response services, through engagement with responsible agencies</w:t>
      </w:r>
    </w:p>
    <w:p w:rsidR="007216D1" w:rsidRPr="007216D1" w:rsidRDefault="007216D1" w:rsidP="007216D1">
      <w:pPr>
        <w:pStyle w:val="BulletBox"/>
      </w:pPr>
      <w:r w:rsidRPr="007216D1">
        <w:t>undertaking a policy advocacy, monitoring and supporting role with respect to mainstream services, advocating and acting as a solution broker on behalf of communities and the region, using integrated service delivery forums</w:t>
      </w:r>
    </w:p>
    <w:p w:rsidR="007216D1" w:rsidRDefault="007216D1" w:rsidP="007216D1">
      <w:pPr>
        <w:pStyle w:val="BulletBox"/>
        <w:pBdr>
          <w:between w:val="single" w:sz="2" w:space="3" w:color="auto"/>
        </w:pBdr>
      </w:pPr>
      <w:proofErr w:type="gramStart"/>
      <w:r w:rsidRPr="007216D1">
        <w:t>providing</w:t>
      </w:r>
      <w:proofErr w:type="gramEnd"/>
      <w:r w:rsidRPr="007216D1">
        <w:t xml:space="preserve"> direct funding and resource support for some social support services, and infrastructure</w:t>
      </w:r>
      <w:r>
        <w:t>, facilities and equipment, that contribute to improved safety and accessibility for communities and families (the TSRA will not provide mainstream social or community services).</w:t>
      </w:r>
    </w:p>
    <w:p w:rsidR="007216D1" w:rsidRDefault="007216D1" w:rsidP="007216D1">
      <w:pPr>
        <w:pStyle w:val="NormalBox"/>
      </w:pPr>
      <w:proofErr w:type="gramStart"/>
      <w:r>
        <w:t>Linked to: The Community Development Employment Projects (CDEP) Program works in tandem with Job Services Australia and the Indigenous Employment Program.</w:t>
      </w:r>
      <w:proofErr w:type="gramEnd"/>
      <w:r>
        <w:t xml:space="preserve"> For </w:t>
      </w:r>
      <w:r w:rsidR="00025F50">
        <w:t xml:space="preserve">more </w:t>
      </w:r>
      <w:r>
        <w:t>information refer to the DEEWR and DHS 2013–14 PB Statements.</w:t>
      </w:r>
    </w:p>
    <w:p w:rsidR="007216D1" w:rsidRDefault="007216D1" w:rsidP="007216D1">
      <w:pPr>
        <w:pStyle w:val="NormalBox"/>
      </w:pPr>
      <w:r>
        <w:t>Also linked to: Program 7.1: Economic Development and Participation. For more information refer to Program 7.1 presented in these PB Statements.</w:t>
      </w:r>
    </w:p>
    <w:p w:rsidR="00737E8F" w:rsidRDefault="00737E8F" w:rsidP="00737E8F">
      <w:pPr>
        <w:rPr>
          <w:lang w:val="en-GB"/>
        </w:rPr>
      </w:pPr>
    </w:p>
    <w:p w:rsidR="00737E8F" w:rsidRDefault="00737E8F" w:rsidP="00335776">
      <w:pPr>
        <w:pStyle w:val="Heading7"/>
      </w:pPr>
      <w:r>
        <w:t xml:space="preserve">Program 1.1 </w:t>
      </w:r>
      <w:r w:rsidR="00114603">
        <w:t>expenses</w:t>
      </w:r>
    </w:p>
    <w:p w:rsidR="00737E8F" w:rsidRPr="00A82139" w:rsidRDefault="007216D1" w:rsidP="00737E8F">
      <w:pPr>
        <w:pStyle w:val="NormalBox"/>
      </w:pPr>
      <w:r w:rsidRPr="007216D1">
        <w:t xml:space="preserve">The budgeted expenditure set out in the tables of this report </w:t>
      </w:r>
      <w:proofErr w:type="gramStart"/>
      <w:r w:rsidRPr="007216D1">
        <w:t>include</w:t>
      </w:r>
      <w:proofErr w:type="gramEnd"/>
      <w:r w:rsidRPr="007216D1">
        <w:t xml:space="preserve"> all the costs associated with the program deliverables listed in this report.</w:t>
      </w:r>
    </w:p>
    <w:p w:rsidR="00737E8F" w:rsidRDefault="00737E8F" w:rsidP="00737E8F">
      <w:pPr>
        <w:pStyle w:val="TableHeading"/>
        <w:rPr>
          <w:lang w:val="en-GB"/>
        </w:rPr>
      </w:pPr>
      <w:r>
        <w:rPr>
          <w:lang w:val="en-GB"/>
        </w:rPr>
        <w:t xml:space="preserve">Table 2.1.1: Budgeted </w:t>
      </w:r>
      <w:r w:rsidR="00114603">
        <w:rPr>
          <w:lang w:val="en-GB"/>
        </w:rPr>
        <w:t>expenses</w:t>
      </w:r>
      <w:r>
        <w:rPr>
          <w:lang w:val="en-GB"/>
        </w:rPr>
        <w:t xml:space="preserve"> for </w:t>
      </w:r>
      <w:r w:rsidR="007216D1" w:rsidRPr="007216D1">
        <w:t>Torres Strait Regional Development</w:t>
      </w:r>
    </w:p>
    <w:p w:rsidR="00737E8F" w:rsidRDefault="00F07FEE" w:rsidP="00737E8F">
      <w:pPr>
        <w:pStyle w:val="TableGraphic"/>
        <w:rPr>
          <w:lang w:val="en-GB"/>
        </w:rPr>
      </w:pPr>
      <w:r>
        <w:rPr>
          <w:noProof/>
        </w:rPr>
        <w:drawing>
          <wp:inline distT="0" distB="0" distL="0" distR="0" wp14:anchorId="18223AD3" wp14:editId="74376660">
            <wp:extent cx="4878705" cy="835265"/>
            <wp:effectExtent l="0" t="0" r="0" b="3175"/>
            <wp:docPr id="237" name="Picture 237" descr="Table 2.1.1: Budgeted expenses for Torres Strait Reg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878705" cy="835265"/>
                    </a:xfrm>
                    <a:prstGeom prst="rect">
                      <a:avLst/>
                    </a:prstGeom>
                    <a:noFill/>
                    <a:ln>
                      <a:noFill/>
                    </a:ln>
                  </pic:spPr>
                </pic:pic>
              </a:graphicData>
            </a:graphic>
          </wp:inline>
        </w:drawing>
      </w:r>
    </w:p>
    <w:p w:rsidR="00335776" w:rsidRPr="00335776" w:rsidRDefault="00335776" w:rsidP="00335776">
      <w:pPr>
        <w:rPr>
          <w:lang w:val="en-GB"/>
        </w:rPr>
      </w:pPr>
    </w:p>
    <w:p w:rsidR="00737E8F" w:rsidRDefault="00737E8F" w:rsidP="00335776">
      <w:pPr>
        <w:pStyle w:val="Heading7"/>
      </w:pPr>
      <w:r>
        <w:lastRenderedPageBreak/>
        <w:t xml:space="preserve">Program 1.1 </w:t>
      </w:r>
      <w:r w:rsidR="00114603">
        <w:t>deliverables</w:t>
      </w:r>
    </w:p>
    <w:p w:rsidR="007216D1" w:rsidRDefault="007216D1" w:rsidP="007216D1">
      <w:pPr>
        <w:pStyle w:val="NormalBox"/>
      </w:pPr>
      <w:r>
        <w:t>Over the past year, the TSRA has undertaken a coordination role in bringing together key government agencies to work in partnership towards integrated planning and improved service delivery. The results of those consultations have been refined by elected representatives of TSRA and local government councils into a regional vision and goals statement, the Torres Strait and Northern Peninsular Area Regional Plan 2009–2029. The Regional Plan provides regional goals to guide the strategic policy of all government service providers.</w:t>
      </w:r>
    </w:p>
    <w:p w:rsidR="007216D1" w:rsidRDefault="007216D1" w:rsidP="007216D1">
      <w:pPr>
        <w:pStyle w:val="NormalBox"/>
      </w:pPr>
      <w:r>
        <w:t>The TSRA is addressing these goals through an integrated portfolio of seven programs as set out in our current 2009–2013 Development Plan.</w:t>
      </w:r>
    </w:p>
    <w:p w:rsidR="007216D1" w:rsidRDefault="007216D1" w:rsidP="007216D1">
      <w:pPr>
        <w:pStyle w:val="NormalBox"/>
      </w:pPr>
      <w:r>
        <w:t>The program outcomes are all congruent with TSRA’s outcome statement. Performance indicators have been identified to show whether progress is being made in achieving outcomes and benefits. The benefits are measurable and meaningful improvements that result from outcomes. Deliverables for each program component as at the publication date of these PB Statements are:</w:t>
      </w:r>
    </w:p>
    <w:p w:rsidR="007216D1" w:rsidRDefault="007216D1" w:rsidP="00335776">
      <w:pPr>
        <w:pStyle w:val="Heading8"/>
      </w:pPr>
      <w:r>
        <w:t>Economic Development</w:t>
      </w:r>
    </w:p>
    <w:p w:rsidR="007216D1" w:rsidRDefault="007216D1" w:rsidP="007216D1">
      <w:pPr>
        <w:pStyle w:val="BulletBox"/>
      </w:pPr>
      <w:r>
        <w:t>Increased number of Torres Strait Islander and Aboriginal individuals in employment</w:t>
      </w:r>
    </w:p>
    <w:p w:rsidR="007216D1" w:rsidRDefault="007216D1" w:rsidP="007216D1">
      <w:pPr>
        <w:pStyle w:val="BulletBox"/>
      </w:pPr>
      <w:r>
        <w:t>Increased number of approved TSRA loans</w:t>
      </w:r>
    </w:p>
    <w:p w:rsidR="007216D1" w:rsidRDefault="007216D1" w:rsidP="007216D1">
      <w:pPr>
        <w:pStyle w:val="BulletBox"/>
      </w:pPr>
      <w:r>
        <w:t>Increase in the participation of Torres Strait Islander and Aboriginal people in industry training</w:t>
      </w:r>
    </w:p>
    <w:p w:rsidR="007216D1" w:rsidRDefault="007216D1" w:rsidP="00335776">
      <w:pPr>
        <w:pStyle w:val="Heading8"/>
      </w:pPr>
      <w:r>
        <w:t>Culture, Art and Heritage</w:t>
      </w:r>
    </w:p>
    <w:p w:rsidR="007216D1" w:rsidRDefault="007216D1" w:rsidP="007216D1">
      <w:pPr>
        <w:pStyle w:val="BulletBox"/>
      </w:pPr>
      <w:r>
        <w:t>Increased number of professionally active Torres Strait Islander and Aboriginal artists and active art centres in the region</w:t>
      </w:r>
    </w:p>
    <w:p w:rsidR="007216D1" w:rsidRDefault="007216D1" w:rsidP="007216D1">
      <w:pPr>
        <w:pStyle w:val="BulletBox"/>
      </w:pPr>
      <w:r>
        <w:t>Increased capacity and capability to facilitate cultural initiatives and projects</w:t>
      </w:r>
    </w:p>
    <w:p w:rsidR="007216D1" w:rsidRDefault="007216D1" w:rsidP="007216D1">
      <w:pPr>
        <w:pStyle w:val="BulletBox"/>
      </w:pPr>
      <w:r>
        <w:t>Increased profile of Torres Strait Islander and Aboriginal arts and culture</w:t>
      </w:r>
    </w:p>
    <w:p w:rsidR="007216D1" w:rsidRDefault="007216D1" w:rsidP="007216D1">
      <w:pPr>
        <w:pStyle w:val="BulletBox"/>
      </w:pPr>
      <w:r>
        <w:t>Increased community involvement in the preservation of cultural heritage</w:t>
      </w:r>
    </w:p>
    <w:p w:rsidR="007216D1" w:rsidRDefault="007216D1" w:rsidP="00335776">
      <w:pPr>
        <w:pStyle w:val="Heading8"/>
      </w:pPr>
      <w:r>
        <w:t>Native Title</w:t>
      </w:r>
    </w:p>
    <w:p w:rsidR="007216D1" w:rsidRDefault="007216D1" w:rsidP="007216D1">
      <w:pPr>
        <w:pStyle w:val="BulletBox"/>
      </w:pPr>
      <w:r>
        <w:t>Provide legal, policy and advocacy support for Prescribed Bodies Corporate</w:t>
      </w:r>
    </w:p>
    <w:p w:rsidR="007216D1" w:rsidRDefault="007216D1" w:rsidP="007216D1">
      <w:pPr>
        <w:pStyle w:val="BulletBox"/>
      </w:pPr>
      <w:r>
        <w:t>Support native title activities, including determination of claims and provision of legal advice and support</w:t>
      </w:r>
    </w:p>
    <w:p w:rsidR="007216D1" w:rsidRDefault="007216D1" w:rsidP="007216D1">
      <w:pPr>
        <w:pStyle w:val="BulletBox"/>
      </w:pPr>
      <w:r>
        <w:t>Negotiate and execute Indigenous Land Use Agreements and other statutory agreements and provide legal advice and support in relation to future Acts</w:t>
      </w:r>
    </w:p>
    <w:p w:rsidR="007216D1" w:rsidRDefault="004328D2" w:rsidP="004328D2">
      <w:pPr>
        <w:pStyle w:val="Heading7"/>
      </w:pPr>
      <w:r>
        <w:br w:type="page"/>
      </w:r>
      <w:r w:rsidR="007216D1">
        <w:lastRenderedPageBreak/>
        <w:t xml:space="preserve"> Program 1.1 deliverables (continued)</w:t>
      </w:r>
    </w:p>
    <w:p w:rsidR="007216D1" w:rsidRDefault="007216D1" w:rsidP="00335776">
      <w:pPr>
        <w:pStyle w:val="Heading8"/>
      </w:pPr>
      <w:r>
        <w:t>Environmental Management</w:t>
      </w:r>
    </w:p>
    <w:p w:rsidR="007216D1" w:rsidRDefault="007216D1" w:rsidP="007216D1">
      <w:pPr>
        <w:pStyle w:val="BulletBox"/>
      </w:pPr>
      <w:r>
        <w:t>Support to Indigenous participation and ownership of the marine resources of the Torres Strait</w:t>
      </w:r>
    </w:p>
    <w:p w:rsidR="007216D1" w:rsidRDefault="007216D1" w:rsidP="007216D1">
      <w:pPr>
        <w:pStyle w:val="BulletBox"/>
      </w:pPr>
      <w:r>
        <w:t>Implement horticulture, biodiversity and pest species management activities</w:t>
      </w:r>
    </w:p>
    <w:p w:rsidR="007216D1" w:rsidRDefault="007216D1" w:rsidP="007216D1">
      <w:pPr>
        <w:pStyle w:val="BulletBox"/>
      </w:pPr>
      <w:r>
        <w:t>Implement the Indigenous Land and Sea Ranger Program</w:t>
      </w:r>
    </w:p>
    <w:p w:rsidR="007216D1" w:rsidRDefault="007216D1" w:rsidP="007216D1">
      <w:pPr>
        <w:pStyle w:val="BulletBox"/>
      </w:pPr>
      <w:r>
        <w:t>Support to sustainable community-based turtle and dugong management and research</w:t>
      </w:r>
    </w:p>
    <w:p w:rsidR="007216D1" w:rsidRDefault="007216D1" w:rsidP="007216D1">
      <w:pPr>
        <w:pStyle w:val="BulletBox"/>
      </w:pPr>
      <w:r>
        <w:t>Coordinate the implementation of the Torres Strait Climate Change Strategy</w:t>
      </w:r>
    </w:p>
    <w:p w:rsidR="007216D1" w:rsidRDefault="007216D1" w:rsidP="007216D1">
      <w:pPr>
        <w:pStyle w:val="BulletBox"/>
      </w:pPr>
      <w:r>
        <w:t xml:space="preserve">Coordinate and support research and information sharing </w:t>
      </w:r>
    </w:p>
    <w:p w:rsidR="007216D1" w:rsidRDefault="007216D1" w:rsidP="00335776">
      <w:pPr>
        <w:pStyle w:val="Heading8"/>
      </w:pPr>
      <w:r>
        <w:t>Governance and Leadership</w:t>
      </w:r>
    </w:p>
    <w:p w:rsidR="007216D1" w:rsidRDefault="007216D1" w:rsidP="007216D1">
      <w:pPr>
        <w:pStyle w:val="BulletBox"/>
      </w:pPr>
      <w:r>
        <w:t>Integrated Service Delivery – Monitoring</w:t>
      </w:r>
    </w:p>
    <w:p w:rsidR="007216D1" w:rsidRDefault="007216D1" w:rsidP="007216D1">
      <w:pPr>
        <w:pStyle w:val="BulletBox"/>
      </w:pPr>
      <w:r>
        <w:t>Governance and Leadership Capacity Building</w:t>
      </w:r>
    </w:p>
    <w:p w:rsidR="007216D1" w:rsidRDefault="007216D1" w:rsidP="007216D1">
      <w:pPr>
        <w:pStyle w:val="BulletBox"/>
      </w:pPr>
      <w:r>
        <w:t>Support to Torres Strait Regional Broadcasting</w:t>
      </w:r>
    </w:p>
    <w:p w:rsidR="007216D1" w:rsidRDefault="007216D1" w:rsidP="007216D1">
      <w:pPr>
        <w:pStyle w:val="BulletBox"/>
      </w:pPr>
      <w:r>
        <w:t>Enhanced Support for Women and Youth in Leadership</w:t>
      </w:r>
    </w:p>
    <w:p w:rsidR="007216D1" w:rsidRDefault="007216D1" w:rsidP="007216D1">
      <w:pPr>
        <w:pStyle w:val="BulletBox"/>
      </w:pPr>
      <w:r>
        <w:t>Support to Prescribed Bodies Corporate</w:t>
      </w:r>
    </w:p>
    <w:p w:rsidR="007216D1" w:rsidRDefault="007216D1" w:rsidP="007216D1">
      <w:pPr>
        <w:pStyle w:val="BulletBox"/>
      </w:pPr>
      <w:r>
        <w:t>Support TSRA Governance Committees</w:t>
      </w:r>
    </w:p>
    <w:p w:rsidR="007216D1" w:rsidRDefault="007216D1" w:rsidP="00335776">
      <w:pPr>
        <w:pStyle w:val="Heading8"/>
      </w:pPr>
      <w:r>
        <w:t>Healthy Communities</w:t>
      </w:r>
    </w:p>
    <w:p w:rsidR="007216D1" w:rsidRDefault="007216D1" w:rsidP="007216D1">
      <w:pPr>
        <w:pStyle w:val="BulletBox"/>
      </w:pPr>
      <w:r>
        <w:t>Contribute funding to community, market garden and horticulture initiatives</w:t>
      </w:r>
    </w:p>
    <w:p w:rsidR="007216D1" w:rsidRDefault="007216D1" w:rsidP="007216D1">
      <w:pPr>
        <w:pStyle w:val="BulletBox"/>
      </w:pPr>
      <w:r>
        <w:t>Engage with food suppliers/retailers to explore improved healthy food options</w:t>
      </w:r>
    </w:p>
    <w:p w:rsidR="007216D1" w:rsidRDefault="007216D1" w:rsidP="007216D1">
      <w:pPr>
        <w:pStyle w:val="BulletBox"/>
      </w:pPr>
      <w:r>
        <w:t>Monitor and provide strategic policy advice to support health sector reforms</w:t>
      </w:r>
    </w:p>
    <w:p w:rsidR="007216D1" w:rsidRDefault="007216D1" w:rsidP="007216D1">
      <w:pPr>
        <w:pStyle w:val="BulletBox"/>
      </w:pPr>
      <w:r>
        <w:t>Provide funding contributions to health promotion and education initiatives</w:t>
      </w:r>
    </w:p>
    <w:p w:rsidR="007216D1" w:rsidRDefault="007216D1" w:rsidP="007216D1">
      <w:pPr>
        <w:pStyle w:val="BulletBox"/>
      </w:pPr>
      <w:r>
        <w:t>Funding contributions towards sport and recreation minor infrastructure</w:t>
      </w:r>
    </w:p>
    <w:p w:rsidR="007216D1" w:rsidRDefault="007216D1" w:rsidP="007216D1">
      <w:pPr>
        <w:pStyle w:val="BulletBox"/>
      </w:pPr>
      <w:r>
        <w:t>Funding contributions to essential services and infrastructure to support healthy living environments</w:t>
      </w:r>
    </w:p>
    <w:p w:rsidR="007216D1" w:rsidRDefault="007216D1" w:rsidP="00335776">
      <w:pPr>
        <w:pStyle w:val="Heading8"/>
      </w:pPr>
      <w:r>
        <w:t>Safe Communities</w:t>
      </w:r>
    </w:p>
    <w:p w:rsidR="007216D1" w:rsidRDefault="007216D1" w:rsidP="007216D1">
      <w:pPr>
        <w:pStyle w:val="BulletBox"/>
      </w:pPr>
      <w:r>
        <w:t>Continue to provide funding for proactive and reactive social service providers in the region</w:t>
      </w:r>
    </w:p>
    <w:p w:rsidR="007216D1" w:rsidRDefault="007216D1" w:rsidP="007216D1">
      <w:pPr>
        <w:pStyle w:val="BulletBox"/>
      </w:pPr>
      <w:r>
        <w:t>Assist in the development of standards for provision of services and facilities for safe and healthy communities</w:t>
      </w:r>
    </w:p>
    <w:p w:rsidR="007216D1" w:rsidRDefault="007216D1" w:rsidP="007216D1">
      <w:pPr>
        <w:pStyle w:val="BulletBox"/>
      </w:pPr>
      <w:r>
        <w:t>Assist social and emergency service providers with funding for capacity building and training initiatives</w:t>
      </w:r>
    </w:p>
    <w:p w:rsidR="007216D1" w:rsidRDefault="007216D1" w:rsidP="007216D1">
      <w:pPr>
        <w:pStyle w:val="BulletBox"/>
      </w:pPr>
      <w:r>
        <w:t>Funding contributions to services and facilities that improve community accessibility and safety</w:t>
      </w:r>
    </w:p>
    <w:p w:rsidR="00737E8F" w:rsidRDefault="007216D1" w:rsidP="007216D1">
      <w:pPr>
        <w:pStyle w:val="BulletBox"/>
      </w:pPr>
      <w:r>
        <w:t>Monitoring and advocating for effective land and sea communications systems</w:t>
      </w:r>
    </w:p>
    <w:p w:rsidR="00737E8F" w:rsidRDefault="00737E8F" w:rsidP="00335776">
      <w:pPr>
        <w:pStyle w:val="Heading7"/>
      </w:pPr>
      <w:r>
        <w:br w:type="page"/>
      </w:r>
      <w:r w:rsidRPr="00C33538">
        <w:lastRenderedPageBreak/>
        <w:t xml:space="preserve">Program </w:t>
      </w:r>
      <w:r>
        <w:t xml:space="preserve">1.1 </w:t>
      </w:r>
      <w:r w:rsidR="00114603">
        <w:t>key performance indicators</w:t>
      </w:r>
    </w:p>
    <w:p w:rsidR="007216D1" w:rsidRPr="007216D1" w:rsidRDefault="007216D1" w:rsidP="007216D1">
      <w:pPr>
        <w:pStyle w:val="BulletBox"/>
      </w:pPr>
      <w:r w:rsidRPr="007216D1">
        <w:t>Measured change in Business Funding and Housing Loan outcomes</w:t>
      </w:r>
    </w:p>
    <w:p w:rsidR="007216D1" w:rsidRPr="007216D1" w:rsidRDefault="007216D1" w:rsidP="007216D1">
      <w:pPr>
        <w:pStyle w:val="BulletBox"/>
      </w:pPr>
      <w:r w:rsidRPr="007216D1">
        <w:t>Measured change in Industry Training outcomes</w:t>
      </w:r>
    </w:p>
    <w:p w:rsidR="007216D1" w:rsidRPr="007216D1" w:rsidRDefault="007216D1" w:rsidP="007216D1">
      <w:pPr>
        <w:pStyle w:val="BulletBox"/>
      </w:pPr>
      <w:r w:rsidRPr="007216D1">
        <w:t>Number of Indigenous artists and cultural practitioners supported</w:t>
      </w:r>
    </w:p>
    <w:p w:rsidR="007216D1" w:rsidRPr="007216D1" w:rsidRDefault="007216D1" w:rsidP="007216D1">
      <w:pPr>
        <w:pStyle w:val="BulletBox"/>
      </w:pPr>
      <w:r w:rsidRPr="007216D1">
        <w:t>Measured change in the number of professionally active Aboriginal Torres Strait Islander artists and active art centres in the region</w:t>
      </w:r>
    </w:p>
    <w:p w:rsidR="007216D1" w:rsidRPr="007216D1" w:rsidRDefault="007216D1" w:rsidP="007216D1">
      <w:pPr>
        <w:pStyle w:val="BulletBox"/>
      </w:pPr>
      <w:r w:rsidRPr="007216D1">
        <w:t>Number of native title determinations, native title compliant land and sea outcomes, and number of future act notifications facilitated in the Torres Strait</w:t>
      </w:r>
    </w:p>
    <w:p w:rsidR="007216D1" w:rsidRPr="007216D1" w:rsidRDefault="007216D1" w:rsidP="007216D1">
      <w:pPr>
        <w:pStyle w:val="BulletBox"/>
      </w:pPr>
      <w:r w:rsidRPr="007216D1">
        <w:t>Number of Indigenous Land Use Agreements finalised</w:t>
      </w:r>
    </w:p>
    <w:p w:rsidR="007216D1" w:rsidRPr="007216D1" w:rsidRDefault="007216D1" w:rsidP="007216D1">
      <w:pPr>
        <w:pStyle w:val="BulletBox"/>
      </w:pPr>
      <w:r w:rsidRPr="007216D1">
        <w:t>Number of communities participating in natural resource management activities</w:t>
      </w:r>
    </w:p>
    <w:p w:rsidR="007216D1" w:rsidRPr="007216D1" w:rsidRDefault="007216D1" w:rsidP="007216D1">
      <w:pPr>
        <w:pStyle w:val="BulletBox"/>
      </w:pPr>
      <w:r w:rsidRPr="007216D1">
        <w:t>Number of ranger groups in place to assist communities to carry out land, sea and cultural resource management activities</w:t>
      </w:r>
    </w:p>
    <w:p w:rsidR="007216D1" w:rsidRPr="007216D1" w:rsidRDefault="007216D1" w:rsidP="007216D1">
      <w:pPr>
        <w:pStyle w:val="BulletBox"/>
      </w:pPr>
      <w:r w:rsidRPr="007216D1">
        <w:t>Number of sustainable land use plans developed</w:t>
      </w:r>
    </w:p>
    <w:p w:rsidR="007216D1" w:rsidRPr="007216D1" w:rsidRDefault="007216D1" w:rsidP="007216D1">
      <w:pPr>
        <w:pStyle w:val="BulletBox"/>
      </w:pPr>
      <w:r w:rsidRPr="007216D1">
        <w:t>Level of legislative compliance and measured change in capacity of Prescribed Bodies Corporate in the region</w:t>
      </w:r>
    </w:p>
    <w:p w:rsidR="007216D1" w:rsidRPr="007216D1" w:rsidRDefault="007216D1" w:rsidP="007216D1">
      <w:pPr>
        <w:pStyle w:val="BulletBox"/>
      </w:pPr>
      <w:r w:rsidRPr="007216D1">
        <w:t>Measured change in regional communications capacity</w:t>
      </w:r>
    </w:p>
    <w:p w:rsidR="00737E8F" w:rsidRDefault="007216D1" w:rsidP="007216D1">
      <w:pPr>
        <w:pStyle w:val="BulletBox"/>
      </w:pPr>
      <w:r w:rsidRPr="007216D1">
        <w:t>Measured change in outcomes from social support services active in the Torres Strait</w:t>
      </w:r>
    </w:p>
    <w:p w:rsidR="00737E8F" w:rsidRDefault="00737E8F" w:rsidP="00737E8F">
      <w:pPr>
        <w:pStyle w:val="Heading2"/>
      </w:pPr>
      <w:r>
        <w:br w:type="page"/>
      </w:r>
      <w:r>
        <w:lastRenderedPageBreak/>
        <w:t>Section 3: Explanatory tables and budgeted financial statements</w:t>
      </w:r>
    </w:p>
    <w:p w:rsidR="00737E8F" w:rsidRPr="009C7F86" w:rsidRDefault="007216D1" w:rsidP="00737E8F">
      <w:r w:rsidRPr="007216D1">
        <w:t xml:space="preserve">Section 3 presents explanatory tables and budgeted financial statements that provide a comprehensive snapshot of agency finances for the 2013–14 budget </w:t>
      </w:r>
      <w:proofErr w:type="gramStart"/>
      <w:r w:rsidRPr="007216D1">
        <w:t>year</w:t>
      </w:r>
      <w:proofErr w:type="gramEnd"/>
      <w:r w:rsidRPr="007216D1">
        <w:t>. It explains how budget plans are incorporated into the financial statements and provides further details of the reconciliation between appropriations and program expenses, movements in administered funds, special accounts and government Indigenous expenditure.</w:t>
      </w:r>
    </w:p>
    <w:p w:rsidR="00737E8F" w:rsidRPr="00AD1D92" w:rsidRDefault="00737E8F" w:rsidP="00737E8F">
      <w:pPr>
        <w:pStyle w:val="Heading3"/>
      </w:pPr>
      <w:r w:rsidRPr="00AD1D92">
        <w:t>3.1</w:t>
      </w:r>
      <w:r w:rsidRPr="00AD1D92">
        <w:tab/>
        <w:t>Explanatory tables</w:t>
      </w:r>
    </w:p>
    <w:p w:rsidR="00737E8F" w:rsidRDefault="00737E8F" w:rsidP="00737E8F">
      <w:pPr>
        <w:pStyle w:val="Heading4"/>
      </w:pPr>
      <w:r>
        <w:t>3.1.1</w:t>
      </w:r>
      <w:r>
        <w:tab/>
        <w:t>Movement of administered funds between years</w:t>
      </w:r>
    </w:p>
    <w:p w:rsidR="00737E8F" w:rsidRDefault="007216D1" w:rsidP="00737E8F">
      <w:r w:rsidRPr="007216D1">
        <w:t>TSRA does not have any administered funds.</w:t>
      </w:r>
    </w:p>
    <w:p w:rsidR="00737E8F" w:rsidRPr="0088503F" w:rsidRDefault="00737E8F" w:rsidP="00737E8F">
      <w:pPr>
        <w:pStyle w:val="Heading4"/>
      </w:pPr>
      <w:r>
        <w:t>3.1.2</w:t>
      </w:r>
      <w:r>
        <w:tab/>
        <w:t>S</w:t>
      </w:r>
      <w:r w:rsidRPr="0088503F">
        <w:t xml:space="preserve">pecial </w:t>
      </w:r>
      <w:r w:rsidR="004E5764">
        <w:t>account</w:t>
      </w:r>
    </w:p>
    <w:p w:rsidR="00737E8F" w:rsidRDefault="007216D1" w:rsidP="00737E8F">
      <w:r w:rsidRPr="007216D1">
        <w:t>TSRA does not have any special accounts.</w:t>
      </w:r>
    </w:p>
    <w:p w:rsidR="00737E8F" w:rsidRPr="00C05025" w:rsidRDefault="00737E8F" w:rsidP="00737E8F">
      <w:pPr>
        <w:pStyle w:val="Heading4"/>
      </w:pPr>
      <w:r w:rsidRPr="00C05025">
        <w:t>3.1.3</w:t>
      </w:r>
      <w:r w:rsidRPr="00C05025">
        <w:tab/>
        <w:t>Australian Government Indigenous Expenditure</w:t>
      </w:r>
    </w:p>
    <w:p w:rsidR="00737E8F" w:rsidRDefault="00737E8F" w:rsidP="00737E8F">
      <w:pPr>
        <w:pStyle w:val="TableHeading"/>
      </w:pPr>
      <w:r>
        <w:t>Table 3.1.3: Australian Government Indigenous Expenditure</w:t>
      </w:r>
    </w:p>
    <w:p w:rsidR="00737E8F" w:rsidRPr="00C05025" w:rsidRDefault="00F07FEE" w:rsidP="00737E8F">
      <w:pPr>
        <w:pStyle w:val="TableGraphic"/>
      </w:pPr>
      <w:r>
        <w:rPr>
          <w:noProof/>
        </w:rPr>
        <w:drawing>
          <wp:inline distT="0" distB="0" distL="0" distR="0" wp14:anchorId="0C5F53C9" wp14:editId="401DF081">
            <wp:extent cx="4810125" cy="2200275"/>
            <wp:effectExtent l="0" t="0" r="9525" b="9525"/>
            <wp:docPr id="238" name="Picture 238" descr="Table 3.1.3: Australian Government Indigenous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10125" cy="2200275"/>
                    </a:xfrm>
                    <a:prstGeom prst="rect">
                      <a:avLst/>
                    </a:prstGeom>
                    <a:noFill/>
                    <a:ln>
                      <a:noFill/>
                    </a:ln>
                  </pic:spPr>
                </pic:pic>
              </a:graphicData>
            </a:graphic>
          </wp:inline>
        </w:drawing>
      </w:r>
    </w:p>
    <w:p w:rsidR="00737E8F" w:rsidRPr="00C05025" w:rsidRDefault="00737E8F" w:rsidP="007216D1">
      <w:pPr>
        <w:pStyle w:val="TableHeading"/>
      </w:pPr>
    </w:p>
    <w:p w:rsidR="00737E8F" w:rsidRDefault="00737E8F" w:rsidP="00737E8F">
      <w:pPr>
        <w:pStyle w:val="Heading3"/>
      </w:pPr>
      <w:r w:rsidRPr="00B06D93">
        <w:rPr>
          <w:highlight w:val="yellow"/>
        </w:rPr>
        <w:br w:type="page"/>
      </w:r>
      <w:r>
        <w:lastRenderedPageBreak/>
        <w:t>3.2</w:t>
      </w:r>
      <w:r>
        <w:tab/>
        <w:t>Budgeted financial statements</w:t>
      </w:r>
    </w:p>
    <w:p w:rsidR="00737E8F" w:rsidRDefault="00737E8F" w:rsidP="00737E8F">
      <w:pPr>
        <w:pStyle w:val="Heading4"/>
      </w:pPr>
      <w:r>
        <w:t>3.2.1</w:t>
      </w:r>
      <w:r>
        <w:tab/>
        <w:t>Differences in agency resourcing and financial statements</w:t>
      </w:r>
    </w:p>
    <w:p w:rsidR="00737E8F" w:rsidRPr="00C05025" w:rsidRDefault="007216D1" w:rsidP="00737E8F">
      <w:r w:rsidRPr="007216D1">
        <w:t>There are no differences between TSRA’s Portfolio Budget Statements and the Commonwealth’s Budget Management System.</w:t>
      </w:r>
    </w:p>
    <w:p w:rsidR="00737E8F" w:rsidRDefault="00737E8F" w:rsidP="00737E8F">
      <w:pPr>
        <w:pStyle w:val="Heading4"/>
      </w:pPr>
      <w:r>
        <w:t>3.2.2</w:t>
      </w:r>
      <w:r>
        <w:tab/>
        <w:t>Analysis of budgeted financial statements</w:t>
      </w:r>
    </w:p>
    <w:p w:rsidR="00737E8F" w:rsidRDefault="00737E8F" w:rsidP="007C6B28">
      <w:pPr>
        <w:pStyle w:val="Heading5"/>
      </w:pPr>
      <w:r w:rsidRPr="00D33D7A">
        <w:t>Departmental</w:t>
      </w:r>
    </w:p>
    <w:p w:rsidR="007216D1" w:rsidRPr="007216D1" w:rsidRDefault="007216D1" w:rsidP="00335776">
      <w:pPr>
        <w:pStyle w:val="H6"/>
      </w:pPr>
      <w:r w:rsidRPr="007216D1">
        <w:t>Budgeted comprehensive income statement</w:t>
      </w:r>
    </w:p>
    <w:p w:rsidR="007216D1" w:rsidRPr="007216D1" w:rsidRDefault="007216D1" w:rsidP="007216D1">
      <w:pPr>
        <w:rPr>
          <w:rFonts w:eastAsiaTheme="majorEastAsia"/>
        </w:rPr>
      </w:pPr>
      <w:r w:rsidRPr="007216D1">
        <w:rPr>
          <w:rFonts w:eastAsiaTheme="majorEastAsia"/>
        </w:rPr>
        <w:t>This statement provides a picture of the expected financial results for the TSRA by identifying full accrual expenses and revenues, which highlights whether the TSRA is operating at a sustainable level. TSRA</w:t>
      </w:r>
      <w:r w:rsidR="003C345E">
        <w:rPr>
          <w:rFonts w:eastAsiaTheme="majorEastAsia"/>
        </w:rPr>
        <w:t xml:space="preserve"> is forecasting income of $56</w:t>
      </w:r>
      <w:r w:rsidRPr="007216D1">
        <w:rPr>
          <w:rFonts w:eastAsiaTheme="majorEastAsia"/>
        </w:rPr>
        <w:t xml:space="preserve"> million and expenditure of $56 million resulting in a breakeven result for the 2013–14 fiscal </w:t>
      </w:r>
      <w:proofErr w:type="gramStart"/>
      <w:r w:rsidRPr="007216D1">
        <w:rPr>
          <w:rFonts w:eastAsiaTheme="majorEastAsia"/>
        </w:rPr>
        <w:t>year</w:t>
      </w:r>
      <w:proofErr w:type="gramEnd"/>
      <w:r w:rsidRPr="007216D1">
        <w:rPr>
          <w:rFonts w:eastAsiaTheme="majorEastAsia"/>
        </w:rPr>
        <w:t>.</w:t>
      </w:r>
    </w:p>
    <w:p w:rsidR="007216D1" w:rsidRPr="007216D1" w:rsidRDefault="007216D1" w:rsidP="00335776">
      <w:pPr>
        <w:pStyle w:val="H6"/>
      </w:pPr>
      <w:r w:rsidRPr="007216D1">
        <w:t>Budgeted departmental balance sheet</w:t>
      </w:r>
    </w:p>
    <w:p w:rsidR="007216D1" w:rsidRPr="007216D1" w:rsidRDefault="007216D1" w:rsidP="007216D1">
      <w:pPr>
        <w:rPr>
          <w:rFonts w:eastAsiaTheme="majorEastAsia"/>
        </w:rPr>
      </w:pPr>
      <w:r w:rsidRPr="007216D1">
        <w:rPr>
          <w:rFonts w:eastAsiaTheme="majorEastAsia"/>
        </w:rPr>
        <w:t>This statement shows the financial position of the TSRA. It helps decision-makers to track the management of assets, liabilities and equity. TSRA’s forecast balance sheet for the fiscal year ending June 2014 shows TSRA with total assets of $80.1 million and liabilities of $1</w:t>
      </w:r>
      <w:r w:rsidR="003C345E">
        <w:rPr>
          <w:rFonts w:eastAsiaTheme="majorEastAsia"/>
        </w:rPr>
        <w:t>7</w:t>
      </w:r>
      <w:r w:rsidRPr="007216D1">
        <w:rPr>
          <w:rFonts w:eastAsiaTheme="majorEastAsia"/>
        </w:rPr>
        <w:t xml:space="preserve"> million, resulting in a net asset position of $63.</w:t>
      </w:r>
      <w:r w:rsidR="003C345E">
        <w:rPr>
          <w:rFonts w:eastAsiaTheme="majorEastAsia"/>
        </w:rPr>
        <w:t>2</w:t>
      </w:r>
      <w:r w:rsidRPr="007216D1">
        <w:rPr>
          <w:rFonts w:eastAsiaTheme="majorEastAsia"/>
        </w:rPr>
        <w:t xml:space="preserve"> million.</w:t>
      </w:r>
    </w:p>
    <w:p w:rsidR="007216D1" w:rsidRPr="007216D1" w:rsidRDefault="007216D1" w:rsidP="00335776">
      <w:pPr>
        <w:pStyle w:val="H6"/>
      </w:pPr>
      <w:r w:rsidRPr="007216D1">
        <w:t>Budgeted departmental statement of cash flows</w:t>
      </w:r>
    </w:p>
    <w:p w:rsidR="007216D1" w:rsidRPr="007216D1" w:rsidRDefault="007216D1" w:rsidP="007216D1">
      <w:pPr>
        <w:rPr>
          <w:rFonts w:eastAsiaTheme="majorEastAsia"/>
        </w:rPr>
      </w:pPr>
      <w:r w:rsidRPr="007216D1">
        <w:rPr>
          <w:rFonts w:eastAsiaTheme="majorEastAsia"/>
        </w:rPr>
        <w:t>The budgeted cash flows, as reflected in the statement of cash flows, provide important information on the extent and nature of cash flows by categorising them into expected cash flows from operating activities, investing activities and financing activities.</w:t>
      </w:r>
    </w:p>
    <w:p w:rsidR="00737E8F" w:rsidRDefault="007216D1" w:rsidP="007216D1">
      <w:r w:rsidRPr="007216D1">
        <w:rPr>
          <w:rFonts w:eastAsiaTheme="majorEastAsia"/>
        </w:rPr>
        <w:t>Predicted departmental cash flows have been adjusted to reflect the anticipated impact on cash after taking into account the forecast movements in the balance sheet and comprehensive income statement. The agency is forecasting a favourable cash position of $16.6 million for the fiscal year ending June 2014. The favourable cash position is due to the timing across fiscal years between receipt of income and program expenditure commitments.</w:t>
      </w:r>
    </w:p>
    <w:p w:rsidR="00737E8F" w:rsidRDefault="00737E8F" w:rsidP="00737E8F">
      <w:pPr>
        <w:pStyle w:val="Heading4"/>
        <w:rPr>
          <w:snapToGrid w:val="0"/>
        </w:rPr>
      </w:pPr>
      <w:r>
        <w:rPr>
          <w:snapToGrid w:val="0"/>
          <w:highlight w:val="yellow"/>
        </w:rPr>
        <w:br w:type="page"/>
      </w:r>
      <w:r>
        <w:rPr>
          <w:snapToGrid w:val="0"/>
        </w:rPr>
        <w:lastRenderedPageBreak/>
        <w:t>3.2.3</w:t>
      </w:r>
      <w:r>
        <w:rPr>
          <w:snapToGrid w:val="0"/>
        </w:rPr>
        <w:tab/>
        <w:t>Budgeted financial statements tables</w:t>
      </w:r>
    </w:p>
    <w:p w:rsidR="00737E8F" w:rsidRDefault="00737E8F" w:rsidP="00737E8F">
      <w:pPr>
        <w:pStyle w:val="TableHeading"/>
        <w:spacing w:before="0"/>
      </w:pPr>
      <w:r>
        <w:t>Table 3.2.1: Comprehensive income statement (showing net cost of services</w:t>
      </w:r>
      <w:r w:rsidR="003F4B01">
        <w:t xml:space="preserve">) </w:t>
      </w:r>
      <w:r>
        <w:br/>
        <w:t>(</w:t>
      </w:r>
      <w:r w:rsidRPr="00C61513">
        <w:t>for the period ended 30 June</w:t>
      </w:r>
      <w:r w:rsidR="00B20EE2">
        <w:t>)</w:t>
      </w:r>
    </w:p>
    <w:p w:rsidR="00737E8F" w:rsidRPr="00DE604F" w:rsidRDefault="00F07FEE" w:rsidP="00737E8F">
      <w:pPr>
        <w:pStyle w:val="TableGraphic"/>
      </w:pPr>
      <w:r>
        <w:rPr>
          <w:noProof/>
        </w:rPr>
        <w:drawing>
          <wp:inline distT="0" distB="0" distL="0" distR="0" wp14:anchorId="57A05E54" wp14:editId="3E4F91B6">
            <wp:extent cx="4878705" cy="3509244"/>
            <wp:effectExtent l="0" t="0" r="0" b="0"/>
            <wp:docPr id="240" name="Picture 240" descr="Table 3.2.1: Comprehensive income statement (showing net cost of services) &#10;(for the period ended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78705" cy="3509244"/>
                    </a:xfrm>
                    <a:prstGeom prst="rect">
                      <a:avLst/>
                    </a:prstGeom>
                    <a:noFill/>
                    <a:ln>
                      <a:noFill/>
                    </a:ln>
                  </pic:spPr>
                </pic:pic>
              </a:graphicData>
            </a:graphic>
          </wp:inline>
        </w:drawing>
      </w:r>
    </w:p>
    <w:p w:rsidR="00737E8F" w:rsidRDefault="00737E8F" w:rsidP="007216D1">
      <w:pPr>
        <w:pStyle w:val="TableHeading"/>
        <w:spacing w:before="0"/>
      </w:pPr>
      <w:r>
        <w:br w:type="page"/>
      </w:r>
      <w:r w:rsidRPr="008B191A">
        <w:lastRenderedPageBreak/>
        <w:t>Table 3.2.2: Budgeted departmental balance sheet (as at 30 June</w:t>
      </w:r>
      <w:r w:rsidRPr="000367BE">
        <w:t>)</w:t>
      </w:r>
    </w:p>
    <w:p w:rsidR="00737E8F" w:rsidRPr="000367BE" w:rsidRDefault="00F07FEE" w:rsidP="00737E8F">
      <w:pPr>
        <w:pStyle w:val="TableGraphic"/>
      </w:pPr>
      <w:r>
        <w:rPr>
          <w:noProof/>
        </w:rPr>
        <w:drawing>
          <wp:inline distT="0" distB="0" distL="0" distR="0" wp14:anchorId="0D95BAC1" wp14:editId="442A241A">
            <wp:extent cx="4878705" cy="5182438"/>
            <wp:effectExtent l="0" t="0" r="0" b="0"/>
            <wp:docPr id="241" name="Picture 241" descr="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78705" cy="5182438"/>
                    </a:xfrm>
                    <a:prstGeom prst="rect">
                      <a:avLst/>
                    </a:prstGeom>
                    <a:noFill/>
                    <a:ln>
                      <a:noFill/>
                    </a:ln>
                  </pic:spPr>
                </pic:pic>
              </a:graphicData>
            </a:graphic>
          </wp:inline>
        </w:drawing>
      </w:r>
    </w:p>
    <w:p w:rsidR="00737E8F" w:rsidRDefault="00737E8F" w:rsidP="00737E8F">
      <w:pPr>
        <w:pStyle w:val="TableHeading"/>
      </w:pPr>
      <w:r>
        <w:rPr>
          <w:highlight w:val="yellow"/>
        </w:rPr>
        <w:br w:type="page"/>
      </w:r>
      <w:r w:rsidRPr="009402BE">
        <w:lastRenderedPageBreak/>
        <w:t>Table 3.2.3: Departmental statement of changes in equity</w:t>
      </w:r>
      <w:r w:rsidR="00CC6014">
        <w:t xml:space="preserve"> – </w:t>
      </w:r>
      <w:r w:rsidRPr="009402BE">
        <w:t>summary of movement (</w:t>
      </w:r>
      <w:r>
        <w:t>b</w:t>
      </w:r>
      <w:r w:rsidRPr="009402BE">
        <w:t xml:space="preserve">udget year </w:t>
      </w:r>
      <w:r w:rsidRPr="00892823">
        <w:t>201</w:t>
      </w:r>
      <w:r>
        <w:t>3–</w:t>
      </w:r>
      <w:r w:rsidRPr="00892823">
        <w:t>1</w:t>
      </w:r>
      <w:r>
        <w:t>4</w:t>
      </w:r>
      <w:r w:rsidRPr="009402BE">
        <w:t>)</w:t>
      </w:r>
    </w:p>
    <w:p w:rsidR="00737E8F" w:rsidRPr="00AF7454" w:rsidRDefault="00F07FEE" w:rsidP="00737E8F">
      <w:pPr>
        <w:pStyle w:val="TableGraphic"/>
      </w:pPr>
      <w:r>
        <w:rPr>
          <w:noProof/>
        </w:rPr>
        <w:drawing>
          <wp:inline distT="0" distB="0" distL="0" distR="0" wp14:anchorId="1FB7D6CF" wp14:editId="6AB8831C">
            <wp:extent cx="4848225" cy="2352675"/>
            <wp:effectExtent l="0" t="0" r="9525" b="9525"/>
            <wp:docPr id="244" name="Picture 244" descr="Table 3.2.3: Departmental statement of changes in equity – summary of movement (budget yea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848225" cy="2352675"/>
                    </a:xfrm>
                    <a:prstGeom prst="rect">
                      <a:avLst/>
                    </a:prstGeom>
                    <a:noFill/>
                    <a:ln>
                      <a:noFill/>
                    </a:ln>
                  </pic:spPr>
                </pic:pic>
              </a:graphicData>
            </a:graphic>
          </wp:inline>
        </w:drawing>
      </w:r>
    </w:p>
    <w:p w:rsidR="00737E8F" w:rsidRDefault="00737E8F" w:rsidP="00737E8F">
      <w:pPr>
        <w:pStyle w:val="TableHeading"/>
      </w:pPr>
      <w:r>
        <w:br w:type="page"/>
      </w:r>
      <w:r w:rsidRPr="009402BE">
        <w:lastRenderedPageBreak/>
        <w:t>Table 3.2.4: Budgeted departmental statement of cash flows (</w:t>
      </w:r>
      <w:r>
        <w:t xml:space="preserve">for the period ended </w:t>
      </w:r>
      <w:r w:rsidRPr="009402BE">
        <w:t>30 June)</w:t>
      </w:r>
    </w:p>
    <w:p w:rsidR="00737E8F" w:rsidRDefault="00F07FEE" w:rsidP="00737E8F">
      <w:pPr>
        <w:pStyle w:val="TableGraphic"/>
        <w:rPr>
          <w:snapToGrid w:val="0"/>
        </w:rPr>
      </w:pPr>
      <w:r>
        <w:rPr>
          <w:noProof/>
        </w:rPr>
        <w:drawing>
          <wp:inline distT="0" distB="0" distL="0" distR="0" wp14:anchorId="438AC70D" wp14:editId="3E031D8E">
            <wp:extent cx="4878705" cy="4756266"/>
            <wp:effectExtent l="0" t="0" r="0" b="6350"/>
            <wp:docPr id="245" name="Picture 245" descr="Table 3.2.4: Budgeted departmental statement of cash flow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78705" cy="4756266"/>
                    </a:xfrm>
                    <a:prstGeom prst="rect">
                      <a:avLst/>
                    </a:prstGeom>
                    <a:noFill/>
                    <a:ln>
                      <a:noFill/>
                    </a:ln>
                  </pic:spPr>
                </pic:pic>
              </a:graphicData>
            </a:graphic>
          </wp:inline>
        </w:drawing>
      </w:r>
    </w:p>
    <w:p w:rsidR="00737E8F" w:rsidRDefault="00737E8F" w:rsidP="00737E8F">
      <w:pPr>
        <w:pStyle w:val="TableHeading"/>
      </w:pPr>
      <w:r>
        <w:rPr>
          <w:snapToGrid w:val="0"/>
        </w:rPr>
        <w:br w:type="page"/>
      </w:r>
      <w:r w:rsidRPr="0033343C">
        <w:lastRenderedPageBreak/>
        <w:t>Table 3.2.5</w:t>
      </w:r>
      <w:r>
        <w:t>:</w:t>
      </w:r>
      <w:r w:rsidRPr="0033343C">
        <w:t xml:space="preserve"> Departmental </w:t>
      </w:r>
      <w:r>
        <w:t>c</w:t>
      </w:r>
      <w:r w:rsidRPr="0033343C">
        <w:t xml:space="preserve">apital </w:t>
      </w:r>
      <w:r>
        <w:t>b</w:t>
      </w:r>
      <w:r w:rsidRPr="0033343C">
        <w:t xml:space="preserve">udget </w:t>
      </w:r>
      <w:r>
        <w:t>s</w:t>
      </w:r>
      <w:r w:rsidRPr="0033343C">
        <w:t>tatement</w:t>
      </w:r>
    </w:p>
    <w:p w:rsidR="00737E8F" w:rsidRPr="0061699A" w:rsidRDefault="00F07FEE" w:rsidP="00737E8F">
      <w:pPr>
        <w:pStyle w:val="TableGraphic"/>
      </w:pPr>
      <w:r>
        <w:rPr>
          <w:noProof/>
        </w:rPr>
        <w:drawing>
          <wp:inline distT="0" distB="0" distL="0" distR="0" wp14:anchorId="1891B6A4" wp14:editId="29187431">
            <wp:extent cx="4878705" cy="2684230"/>
            <wp:effectExtent l="0" t="0" r="0" b="1905"/>
            <wp:docPr id="246" name="Picture 246" descr="Table 3.2.5: Departmental capital budge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878705" cy="2684230"/>
                    </a:xfrm>
                    <a:prstGeom prst="rect">
                      <a:avLst/>
                    </a:prstGeom>
                    <a:noFill/>
                    <a:ln>
                      <a:noFill/>
                    </a:ln>
                  </pic:spPr>
                </pic:pic>
              </a:graphicData>
            </a:graphic>
          </wp:inline>
        </w:drawing>
      </w:r>
    </w:p>
    <w:p w:rsidR="00737E8F" w:rsidRDefault="00737E8F" w:rsidP="00737E8F">
      <w:pPr>
        <w:pStyle w:val="TableHeading"/>
        <w:rPr>
          <w:snapToGrid w:val="0"/>
        </w:rPr>
      </w:pPr>
      <w:r>
        <w:rPr>
          <w:snapToGrid w:val="0"/>
        </w:rPr>
        <w:br w:type="page"/>
      </w:r>
      <w:r w:rsidRPr="0033343C">
        <w:rPr>
          <w:snapToGrid w:val="0"/>
        </w:rPr>
        <w:lastRenderedPageBreak/>
        <w:t>Table 3.2.6:</w:t>
      </w:r>
      <w:r>
        <w:rPr>
          <w:snapToGrid w:val="0"/>
        </w:rPr>
        <w:t xml:space="preserve"> </w:t>
      </w:r>
      <w:r w:rsidRPr="0033343C">
        <w:rPr>
          <w:snapToGrid w:val="0"/>
        </w:rPr>
        <w:t xml:space="preserve">Statement of </w:t>
      </w:r>
      <w:r>
        <w:rPr>
          <w:snapToGrid w:val="0"/>
        </w:rPr>
        <w:t>a</w:t>
      </w:r>
      <w:r w:rsidRPr="0033343C">
        <w:rPr>
          <w:snapToGrid w:val="0"/>
        </w:rPr>
        <w:t xml:space="preserve">sset </w:t>
      </w:r>
      <w:r>
        <w:rPr>
          <w:snapToGrid w:val="0"/>
        </w:rPr>
        <w:t>m</w:t>
      </w:r>
      <w:r w:rsidRPr="0033343C">
        <w:rPr>
          <w:snapToGrid w:val="0"/>
        </w:rPr>
        <w:t>ovements (</w:t>
      </w:r>
      <w:r>
        <w:rPr>
          <w:snapToGrid w:val="0"/>
        </w:rPr>
        <w:t>2013–</w:t>
      </w:r>
      <w:r w:rsidRPr="00892823">
        <w:rPr>
          <w:snapToGrid w:val="0"/>
        </w:rPr>
        <w:t>1</w:t>
      </w:r>
      <w:r>
        <w:rPr>
          <w:snapToGrid w:val="0"/>
        </w:rPr>
        <w:t>4</w:t>
      </w:r>
      <w:r w:rsidRPr="0033343C">
        <w:rPr>
          <w:snapToGrid w:val="0"/>
        </w:rPr>
        <w:t>)</w:t>
      </w:r>
    </w:p>
    <w:p w:rsidR="00737E8F" w:rsidRPr="00935871" w:rsidRDefault="00F07FEE" w:rsidP="00737E8F">
      <w:pPr>
        <w:pStyle w:val="TableGraphic"/>
        <w:rPr>
          <w:highlight w:val="yellow"/>
        </w:rPr>
      </w:pPr>
      <w:r>
        <w:rPr>
          <w:noProof/>
        </w:rPr>
        <w:drawing>
          <wp:inline distT="0" distB="0" distL="0" distR="0" wp14:anchorId="2A2E41A3" wp14:editId="4B98C8C8">
            <wp:extent cx="4878705" cy="3078794"/>
            <wp:effectExtent l="0" t="0" r="0" b="7620"/>
            <wp:docPr id="247" name="Picture 247" descr="Table 3.2.6: Statement of asset movement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878705" cy="3078794"/>
                    </a:xfrm>
                    <a:prstGeom prst="rect">
                      <a:avLst/>
                    </a:prstGeom>
                    <a:noFill/>
                    <a:ln>
                      <a:noFill/>
                    </a:ln>
                  </pic:spPr>
                </pic:pic>
              </a:graphicData>
            </a:graphic>
          </wp:inline>
        </w:drawing>
      </w:r>
    </w:p>
    <w:p w:rsidR="00737E8F" w:rsidRPr="00710FF0" w:rsidRDefault="00737E8F" w:rsidP="00737E8F">
      <w:pPr>
        <w:pStyle w:val="SinglePara"/>
        <w:rPr>
          <w:snapToGrid w:val="0"/>
        </w:rPr>
      </w:pPr>
    </w:p>
    <w:p w:rsidR="00737E8F" w:rsidRDefault="00737E8F" w:rsidP="007216D1">
      <w:pPr>
        <w:pStyle w:val="Heading4"/>
      </w:pPr>
      <w:r>
        <w:br w:type="page"/>
      </w:r>
      <w:r>
        <w:lastRenderedPageBreak/>
        <w:t>3.2.</w:t>
      </w:r>
      <w:r w:rsidR="004E6854">
        <w:t>4</w:t>
      </w:r>
      <w:r>
        <w:tab/>
      </w:r>
      <w:r w:rsidRPr="00AD1D92">
        <w:t xml:space="preserve">Notes to the financial statements </w:t>
      </w:r>
    </w:p>
    <w:p w:rsidR="007216D1" w:rsidRDefault="007216D1" w:rsidP="007216D1">
      <w:pPr>
        <w:pStyle w:val="Heading5"/>
      </w:pPr>
      <w:r>
        <w:t>Basis of accounting</w:t>
      </w:r>
    </w:p>
    <w:p w:rsidR="007216D1" w:rsidRDefault="007216D1" w:rsidP="007216D1">
      <w:r>
        <w:t>The budgeted financial statements have been prepared in accordance with the requirements of the Finance Minister’s Orders issued by the Minister for Finance and Deregulation. Amounts in these statements are rounded to the nearest thousand dollars.</w:t>
      </w:r>
    </w:p>
    <w:p w:rsidR="007216D1" w:rsidRDefault="007216D1" w:rsidP="007216D1">
      <w:pPr>
        <w:pStyle w:val="Heading5"/>
      </w:pPr>
      <w:r>
        <w:t>Departmental financial statements and schedule to administered activity</w:t>
      </w:r>
    </w:p>
    <w:p w:rsidR="007216D1" w:rsidRDefault="007216D1" w:rsidP="007216D1">
      <w:r>
        <w:t>Under the Australian Government’s financial budget and reporting framework, transactions that agencies control (departmental transactions) are separately budgeted for and reported on from transactions agencies do not have control over (administered transactions). This ensures that agencies are only held fully accountable for the transactions over which they have control.</w:t>
      </w:r>
    </w:p>
    <w:p w:rsidR="007216D1" w:rsidRDefault="007216D1" w:rsidP="007216D1">
      <w:r>
        <w:t>Departmental items are those assets, liabilities, revenues and expenses in relation to an agency or authority that are controlled by the agency. Departmental expenses include employee and supplier expenses and other administrative costs, which are incurred by the agency in providing its goods and services.</w:t>
      </w:r>
    </w:p>
    <w:p w:rsidR="007216D1" w:rsidRDefault="007216D1" w:rsidP="007216D1">
      <w:r>
        <w:t>TSRA has no administered items.</w:t>
      </w:r>
    </w:p>
    <w:p w:rsidR="007216D1" w:rsidRDefault="007216D1" w:rsidP="004E6854">
      <w:pPr>
        <w:pStyle w:val="Heading5"/>
      </w:pPr>
      <w:r>
        <w:t>Revenue from government – ordinary annual appropriations</w:t>
      </w:r>
    </w:p>
    <w:p w:rsidR="007216D1" w:rsidRDefault="007216D1" w:rsidP="007216D1">
      <w:r>
        <w:t>Revenue from government represents amounts appropriated to fund the TSRA’s seven program components, actioned in order to deliver the agency’s stated outcome.</w:t>
      </w:r>
    </w:p>
    <w:p w:rsidR="007216D1" w:rsidRDefault="007216D1" w:rsidP="004E6854">
      <w:pPr>
        <w:pStyle w:val="Heading5"/>
      </w:pPr>
      <w:r>
        <w:t>Expenses – depreciation</w:t>
      </w:r>
    </w:p>
    <w:p w:rsidR="007216D1" w:rsidRDefault="007216D1" w:rsidP="007216D1">
      <w:r>
        <w:t>Property, plant and equipment assets are written-off to their estimated residual values over their estimated useful lives, using in all cases the straight-line method of depreciation.</w:t>
      </w:r>
    </w:p>
    <w:p w:rsidR="007216D1" w:rsidRDefault="007216D1" w:rsidP="004E6854">
      <w:pPr>
        <w:pStyle w:val="Heading5"/>
      </w:pPr>
      <w:r>
        <w:t>Asset valuation</w:t>
      </w:r>
    </w:p>
    <w:p w:rsidR="007216D1" w:rsidRDefault="007216D1" w:rsidP="007216D1">
      <w:r>
        <w:t xml:space="preserve">All assets are initially recorded at cost. Property, plant and equipment and other infrastructure assets are periodically </w:t>
      </w:r>
      <w:proofErr w:type="spellStart"/>
      <w:r>
        <w:t>revalued</w:t>
      </w:r>
      <w:proofErr w:type="spellEnd"/>
      <w:r>
        <w:t xml:space="preserve"> at their fair value.</w:t>
      </w:r>
    </w:p>
    <w:p w:rsidR="007216D1" w:rsidRDefault="007216D1" w:rsidP="004E6854">
      <w:pPr>
        <w:pStyle w:val="Heading5"/>
      </w:pPr>
      <w:r>
        <w:t>Financial a</w:t>
      </w:r>
      <w:r w:rsidRPr="004E6854">
        <w:t>s</w:t>
      </w:r>
      <w:r>
        <w:t>sets – cash</w:t>
      </w:r>
    </w:p>
    <w:p w:rsidR="007216D1" w:rsidRDefault="007216D1" w:rsidP="007216D1">
      <w:r>
        <w:t>This includes notes and coins held and deposits at call.</w:t>
      </w:r>
    </w:p>
    <w:p w:rsidR="007216D1" w:rsidRDefault="007216D1" w:rsidP="004E6854">
      <w:pPr>
        <w:pStyle w:val="Heading5"/>
      </w:pPr>
      <w:r>
        <w:t>Financial assets – receivables</w:t>
      </w:r>
    </w:p>
    <w:p w:rsidR="00737E8F" w:rsidRDefault="007216D1" w:rsidP="00737E8F">
      <w:r>
        <w:t>This includes loans and advances made by the TSRA to clients in the delivery of its programs, in addition to amounts owing to the TSRA for delivery of goods and services. Loans receivable are measured at amortised cost using the effective interest method less impairment.</w:t>
      </w:r>
    </w:p>
    <w:p w:rsidR="00737E8F" w:rsidRDefault="00737E8F" w:rsidP="00737E8F">
      <w:pPr>
        <w:sectPr w:rsidR="00737E8F" w:rsidSect="00D7542D">
          <w:headerReference w:type="even" r:id="rId199"/>
          <w:headerReference w:type="default" r:id="rId200"/>
          <w:type w:val="oddPage"/>
          <w:pgSz w:w="11907" w:h="16840" w:code="9"/>
          <w:pgMar w:top="2466" w:right="2126" w:bottom="2466" w:left="2098" w:header="1899" w:footer="1899" w:gutter="0"/>
          <w:cols w:space="708"/>
          <w:titlePg/>
          <w:docGrid w:linePitch="360"/>
        </w:sectPr>
      </w:pPr>
    </w:p>
    <w:p w:rsidR="00737E8F" w:rsidRDefault="00B351F4" w:rsidP="00737E8F">
      <w:pPr>
        <w:pStyle w:val="PartHeading"/>
        <w:spacing w:before="2160"/>
      </w:pPr>
      <w:r>
        <w:lastRenderedPageBreak/>
        <w:t>Workplace Gender</w:t>
      </w:r>
      <w:r>
        <w:br/>
        <w:t>Equality Agency</w:t>
      </w:r>
    </w:p>
    <w:p w:rsidR="00737E8F" w:rsidRPr="00CF29B7" w:rsidRDefault="00737E8F" w:rsidP="00737E8F">
      <w:pPr>
        <w:pStyle w:val="PartHeading"/>
        <w:spacing w:before="2160"/>
      </w:pPr>
      <w:r>
        <w:t>Agency Resources and Planned Performance</w:t>
      </w:r>
    </w:p>
    <w:p w:rsidR="00737E8F" w:rsidRDefault="00737E8F" w:rsidP="00737E8F">
      <w:pPr>
        <w:jc w:val="left"/>
        <w:sectPr w:rsidR="00737E8F" w:rsidSect="00D7542D">
          <w:footerReference w:type="first" r:id="rId201"/>
          <w:type w:val="oddPage"/>
          <w:pgSz w:w="11907" w:h="16840" w:code="9"/>
          <w:pgMar w:top="2466" w:right="2126" w:bottom="2466" w:left="2098" w:header="1899" w:footer="1899" w:gutter="0"/>
          <w:cols w:space="708"/>
          <w:titlePg/>
          <w:docGrid w:linePitch="360"/>
        </w:sectPr>
      </w:pPr>
    </w:p>
    <w:p w:rsidR="00737E8F" w:rsidRPr="00042738" w:rsidRDefault="00B351F4" w:rsidP="00737E8F">
      <w:pPr>
        <w:pStyle w:val="ContentsHeading"/>
      </w:pPr>
      <w:r>
        <w:lastRenderedPageBreak/>
        <w:t>Workplace Gender Equality Agency</w:t>
      </w:r>
    </w:p>
    <w:p w:rsidR="00737E8F" w:rsidRPr="0032739E" w:rsidRDefault="00737E8F" w:rsidP="00737E8F">
      <w:pPr>
        <w:pStyle w:val="TOC1"/>
      </w:pPr>
      <w:r w:rsidRPr="0032739E">
        <w:t>Section 1: Agency overview and resources</w:t>
      </w:r>
      <w:r w:rsidRPr="0032739E">
        <w:tab/>
      </w:r>
      <w:r w:rsidR="009A2C55">
        <w:t>309</w:t>
      </w:r>
    </w:p>
    <w:p w:rsidR="00737E8F" w:rsidRPr="0032739E" w:rsidRDefault="00737E8F" w:rsidP="00737E8F">
      <w:pPr>
        <w:pStyle w:val="TOC2"/>
      </w:pPr>
      <w:r w:rsidRPr="0032739E">
        <w:t>1.1</w:t>
      </w:r>
      <w:r>
        <w:t xml:space="preserve"> </w:t>
      </w:r>
      <w:r w:rsidRPr="0032739E">
        <w:t xml:space="preserve">Strategic </w:t>
      </w:r>
      <w:r>
        <w:t>d</w:t>
      </w:r>
      <w:r w:rsidRPr="0032739E">
        <w:t>irection</w:t>
      </w:r>
      <w:r w:rsidR="006911FE">
        <w:t xml:space="preserve"> statement</w:t>
      </w:r>
      <w:r w:rsidRPr="0032739E">
        <w:tab/>
      </w:r>
      <w:r w:rsidR="009A2C55">
        <w:t>309</w:t>
      </w:r>
    </w:p>
    <w:p w:rsidR="00737E8F" w:rsidRPr="0032739E" w:rsidRDefault="00737E8F" w:rsidP="00737E8F">
      <w:pPr>
        <w:pStyle w:val="TOC2"/>
      </w:pPr>
      <w:r w:rsidRPr="0032739E">
        <w:t>1.2</w:t>
      </w:r>
      <w:r>
        <w:t xml:space="preserve"> </w:t>
      </w:r>
      <w:r w:rsidRPr="0032739E">
        <w:t xml:space="preserve">Agency </w:t>
      </w:r>
      <w:r>
        <w:t>r</w:t>
      </w:r>
      <w:r w:rsidRPr="0032739E">
        <w:t xml:space="preserve">esource </w:t>
      </w:r>
      <w:r>
        <w:t>s</w:t>
      </w:r>
      <w:r w:rsidRPr="0032739E">
        <w:t>tatement</w:t>
      </w:r>
      <w:r w:rsidRPr="0032739E">
        <w:tab/>
      </w:r>
      <w:r w:rsidR="009A2C55">
        <w:t>310</w:t>
      </w:r>
    </w:p>
    <w:p w:rsidR="00737E8F" w:rsidRPr="0032739E" w:rsidRDefault="00737E8F" w:rsidP="00737E8F">
      <w:pPr>
        <w:pStyle w:val="TOC2"/>
      </w:pPr>
      <w:r w:rsidRPr="0032739E">
        <w:t>1.3</w:t>
      </w:r>
      <w:r>
        <w:t xml:space="preserve"> Budget measures</w:t>
      </w:r>
      <w:r w:rsidRPr="0032739E">
        <w:tab/>
      </w:r>
      <w:r w:rsidR="009A2C55">
        <w:t>311</w:t>
      </w:r>
    </w:p>
    <w:p w:rsidR="00737E8F" w:rsidRPr="0032739E" w:rsidRDefault="00737E8F" w:rsidP="00737E8F">
      <w:pPr>
        <w:pStyle w:val="TOC1"/>
      </w:pPr>
      <w:r w:rsidRPr="0032739E">
        <w:t xml:space="preserve">Section 2: </w:t>
      </w:r>
      <w:r>
        <w:t>O</w:t>
      </w:r>
      <w:r w:rsidRPr="0032739E">
        <w:t>utcomes and planned performance</w:t>
      </w:r>
      <w:r w:rsidRPr="0032739E">
        <w:tab/>
      </w:r>
      <w:r w:rsidR="009A2C55">
        <w:t>312</w:t>
      </w:r>
    </w:p>
    <w:p w:rsidR="00737E8F" w:rsidRPr="0032739E" w:rsidRDefault="00737E8F" w:rsidP="00737E8F">
      <w:pPr>
        <w:pStyle w:val="TOC2"/>
      </w:pPr>
      <w:r w:rsidRPr="0032739E">
        <w:t>2.1</w:t>
      </w:r>
      <w:r>
        <w:t xml:space="preserve"> Outcomes and</w:t>
      </w:r>
      <w:r w:rsidRPr="0032739E">
        <w:t xml:space="preserve"> performance information</w:t>
      </w:r>
      <w:r w:rsidRPr="0032739E">
        <w:tab/>
      </w:r>
      <w:r w:rsidR="009A2C55">
        <w:t>312</w:t>
      </w:r>
    </w:p>
    <w:p w:rsidR="00737E8F" w:rsidRPr="0032739E" w:rsidRDefault="00737E8F" w:rsidP="00737E8F">
      <w:pPr>
        <w:pStyle w:val="TOC1"/>
      </w:pPr>
      <w:r w:rsidRPr="0032739E">
        <w:t>Section 3: Explanatory tables and budgeted financial statements</w:t>
      </w:r>
      <w:r w:rsidRPr="0032739E">
        <w:tab/>
      </w:r>
      <w:r w:rsidR="009A2C55">
        <w:t>320</w:t>
      </w:r>
    </w:p>
    <w:p w:rsidR="00737E8F" w:rsidRPr="0032739E" w:rsidRDefault="00737E8F" w:rsidP="00737E8F">
      <w:pPr>
        <w:pStyle w:val="TOC2"/>
      </w:pPr>
      <w:r w:rsidRPr="0032739E">
        <w:t>3.1</w:t>
      </w:r>
      <w:r>
        <w:t xml:space="preserve"> </w:t>
      </w:r>
      <w:r w:rsidRPr="0032739E">
        <w:t>Explanatory tables</w:t>
      </w:r>
      <w:r w:rsidRPr="0032739E">
        <w:tab/>
      </w:r>
      <w:r w:rsidR="009A2C55">
        <w:t>320</w:t>
      </w:r>
    </w:p>
    <w:p w:rsidR="00737E8F" w:rsidRDefault="00737E8F" w:rsidP="00737E8F">
      <w:pPr>
        <w:pStyle w:val="TOC2"/>
      </w:pPr>
      <w:r w:rsidRPr="0032739E">
        <w:t>3.2</w:t>
      </w:r>
      <w:r>
        <w:t xml:space="preserve"> </w:t>
      </w:r>
      <w:r w:rsidRPr="0032739E">
        <w:t>Budgeted financial statements</w:t>
      </w:r>
      <w:r w:rsidRPr="0032739E">
        <w:tab/>
      </w:r>
      <w:r w:rsidR="009A2C55">
        <w:t>320</w:t>
      </w:r>
    </w:p>
    <w:p w:rsidR="00737E8F" w:rsidRPr="008E4CBB" w:rsidRDefault="00737E8F" w:rsidP="00737E8F"/>
    <w:p w:rsidR="00737E8F" w:rsidRDefault="00737E8F" w:rsidP="00737E8F">
      <w:pPr>
        <w:jc w:val="left"/>
        <w:sectPr w:rsidR="00737E8F" w:rsidSect="00D7542D">
          <w:headerReference w:type="first" r:id="rId202"/>
          <w:footerReference w:type="first" r:id="rId203"/>
          <w:type w:val="oddPage"/>
          <w:pgSz w:w="11907" w:h="16840" w:code="9"/>
          <w:pgMar w:top="2466" w:right="2126" w:bottom="2466" w:left="2098" w:header="1899" w:footer="1899" w:gutter="0"/>
          <w:cols w:space="708"/>
          <w:titlePg/>
          <w:docGrid w:linePitch="360"/>
        </w:sectPr>
      </w:pPr>
    </w:p>
    <w:p w:rsidR="00737E8F" w:rsidRDefault="00B351F4" w:rsidP="00737E8F">
      <w:pPr>
        <w:pStyle w:val="Heading1"/>
      </w:pPr>
      <w:r>
        <w:lastRenderedPageBreak/>
        <w:t>Workplace Gender Equality Agency</w:t>
      </w:r>
    </w:p>
    <w:p w:rsidR="00737E8F" w:rsidRDefault="00737E8F" w:rsidP="00737E8F">
      <w:pPr>
        <w:pStyle w:val="Heading2"/>
      </w:pPr>
      <w:r>
        <w:t>Section 1: Agency overview and resources</w:t>
      </w:r>
    </w:p>
    <w:p w:rsidR="00737E8F" w:rsidRDefault="004E6854" w:rsidP="004E6854">
      <w:pPr>
        <w:pStyle w:val="Heading3"/>
      </w:pPr>
      <w:r>
        <w:t>1.1</w:t>
      </w:r>
      <w:r>
        <w:tab/>
      </w:r>
      <w:r w:rsidR="00737E8F">
        <w:t>Strategic direction statement</w:t>
      </w:r>
    </w:p>
    <w:p w:rsidR="004E6854" w:rsidRDefault="004E6854" w:rsidP="004E6854">
      <w:r>
        <w:t xml:space="preserve">The </w:t>
      </w:r>
      <w:r w:rsidRPr="004E6854">
        <w:rPr>
          <w:i/>
        </w:rPr>
        <w:t>Workplace Gender Equality Act 2012</w:t>
      </w:r>
      <w:r>
        <w:t xml:space="preserve"> (the Act), which came into effect on 6</w:t>
      </w:r>
      <w:r w:rsidR="00262066">
        <w:t> </w:t>
      </w:r>
      <w:r>
        <w:t>December 2012, delivered the Government’s 2010 election commitment to retain and improve the Equal Opportunity for Women in the Workplace Agency and its underlying legislation.</w:t>
      </w:r>
    </w:p>
    <w:p w:rsidR="004E6854" w:rsidRDefault="004E6854" w:rsidP="004E6854">
      <w:r>
        <w:t xml:space="preserve">Under the Act, the renamed agency, now the Workplace Gender Equality </w:t>
      </w:r>
      <w:proofErr w:type="gramStart"/>
      <w:r>
        <w:t>Agency,</w:t>
      </w:r>
      <w:proofErr w:type="gramEnd"/>
      <w:r>
        <w:t xml:space="preserve"> continues to have responsibility for working closely with employers to improve awareness and understanding of barriers to the full and equal participation of women in the workforce, although it now addresses gender equality more broadly. </w:t>
      </w:r>
    </w:p>
    <w:p w:rsidR="004E6854" w:rsidRDefault="004E6854" w:rsidP="004E6854">
      <w:pPr>
        <w:pStyle w:val="BulletIntro"/>
      </w:pPr>
      <w:r>
        <w:t>Organisations with 100 or more employees (relevant employers) will continue to report annually to the agency. However, the new legislation has introduced some changes to the focus of the agency:</w:t>
      </w:r>
    </w:p>
    <w:p w:rsidR="004E6854" w:rsidRDefault="004E6854" w:rsidP="004E6854">
      <w:pPr>
        <w:pStyle w:val="Bullet"/>
      </w:pPr>
      <w:r>
        <w:t xml:space="preserve">standardised reporting against specified gender equality indicators (GEIs) will streamline the reporting process </w:t>
      </w:r>
    </w:p>
    <w:p w:rsidR="004E6854" w:rsidRDefault="004E6854" w:rsidP="004E6854">
      <w:pPr>
        <w:pStyle w:val="Bullet"/>
      </w:pPr>
      <w:r>
        <w:t>the new reporting framework will underpin the agency’s new function to develop benchmarks for educational purposes that will enable employers to consider their workplace outcomes and practices in relation to their industry peers</w:t>
      </w:r>
    </w:p>
    <w:p w:rsidR="004E6854" w:rsidRDefault="004E6854" w:rsidP="004E6854">
      <w:pPr>
        <w:pStyle w:val="Bullet"/>
      </w:pPr>
      <w:r>
        <w:t xml:space="preserve">from the 2014–15 reporting period, relevant organisations will be assessed against evidence-based, achievable minimum standards set by the Minister in relation to specified GEIs </w:t>
      </w:r>
    </w:p>
    <w:p w:rsidR="004E6854" w:rsidRDefault="004E6854" w:rsidP="004E6854">
      <w:pPr>
        <w:pStyle w:val="Bullet"/>
      </w:pPr>
      <w:r>
        <w:t xml:space="preserve">the framework for reporting will be strengthened and supported by a review mechanism, which will enable the agency to review compliance with the Act </w:t>
      </w:r>
    </w:p>
    <w:p w:rsidR="004E6854" w:rsidRDefault="004E6854" w:rsidP="004E6854">
      <w:pPr>
        <w:pStyle w:val="Bullet"/>
      </w:pPr>
      <w:r>
        <w:t>there is a new emphasis on equal remuneration and family and caring responsibilities as issues central to the achievement of gender equality</w:t>
      </w:r>
    </w:p>
    <w:p w:rsidR="004E6854" w:rsidRDefault="004E6854" w:rsidP="004E6854">
      <w:pPr>
        <w:pStyle w:val="Bullet"/>
      </w:pPr>
      <w:r>
        <w:t>smaller employers are now covered by the Act, although they are not required to report, and</w:t>
      </w:r>
    </w:p>
    <w:p w:rsidR="00737E8F" w:rsidRPr="008E4CBB" w:rsidRDefault="004E6854" w:rsidP="004E6854">
      <w:pPr>
        <w:pStyle w:val="BulletLast"/>
      </w:pPr>
      <w:proofErr w:type="gramStart"/>
      <w:r>
        <w:t>in</w:t>
      </w:r>
      <w:proofErr w:type="gramEnd"/>
      <w:r>
        <w:t xml:space="preserve"> addition to reporting annually to the Minister on its operations, the agency will also be required to report biennially on overall progress achieved in relation to the GEIs.</w:t>
      </w:r>
    </w:p>
    <w:p w:rsidR="00737E8F" w:rsidRDefault="00737E8F" w:rsidP="00737E8F">
      <w:pPr>
        <w:pStyle w:val="Heading3"/>
      </w:pPr>
      <w:r>
        <w:br w:type="page"/>
      </w:r>
      <w:r>
        <w:lastRenderedPageBreak/>
        <w:t>1.2</w:t>
      </w:r>
      <w:r>
        <w:tab/>
        <w:t>Agency resource statement</w:t>
      </w:r>
    </w:p>
    <w:p w:rsidR="00737E8F" w:rsidRDefault="004E6854" w:rsidP="00737E8F">
      <w:r w:rsidRPr="004E6854">
        <w:t>Table 1.1 shows the total resources from all sources. The table summarises how resources will be applied by outcome and by administered and departmental classification.</w:t>
      </w:r>
    </w:p>
    <w:p w:rsidR="00737E8F" w:rsidRDefault="00737E8F" w:rsidP="00737E8F">
      <w:pPr>
        <w:pStyle w:val="TableHeading"/>
      </w:pPr>
      <w:r>
        <w:t xml:space="preserve">Table 1.1: </w:t>
      </w:r>
      <w:r w:rsidR="00B351F4">
        <w:t>WGEA</w:t>
      </w:r>
      <w:r>
        <w:t xml:space="preserve"> Resource Statement – Budget Estimates for 2013–14 as at Budget May 201</w:t>
      </w:r>
      <w:r w:rsidR="00D413A5">
        <w:t>3</w:t>
      </w:r>
    </w:p>
    <w:p w:rsidR="00737E8F" w:rsidRDefault="00262066" w:rsidP="00737E8F">
      <w:pPr>
        <w:pStyle w:val="TableGraphic"/>
      </w:pPr>
      <w:r>
        <w:rPr>
          <w:noProof/>
        </w:rPr>
        <w:drawing>
          <wp:inline distT="0" distB="0" distL="0" distR="0" wp14:anchorId="3F5B6DD5" wp14:editId="319161AA">
            <wp:extent cx="4878705" cy="5219080"/>
            <wp:effectExtent l="0" t="0" r="0" b="635"/>
            <wp:docPr id="4" name="Picture 4" descr="Table 1.1: WGEA Resource Statement – Budget Estimates for 2013–14 as at Budget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878705" cy="5219080"/>
                    </a:xfrm>
                    <a:prstGeom prst="rect">
                      <a:avLst/>
                    </a:prstGeom>
                    <a:noFill/>
                    <a:ln>
                      <a:noFill/>
                    </a:ln>
                  </pic:spPr>
                </pic:pic>
              </a:graphicData>
            </a:graphic>
          </wp:inline>
        </w:drawing>
      </w:r>
    </w:p>
    <w:p w:rsidR="004E6854" w:rsidRDefault="004E6854" w:rsidP="00C25CC7">
      <w:pPr>
        <w:pStyle w:val="TableHeading"/>
      </w:pPr>
      <w:r>
        <w:lastRenderedPageBreak/>
        <w:t>Table 1.1: WGEA resource statement – budget estimates for 2013–14 as at Budget May 2013 (continued</w:t>
      </w:r>
      <w:proofErr w:type="gramStart"/>
      <w:r>
        <w:t>)</w:t>
      </w:r>
      <w:proofErr w:type="gramEnd"/>
      <w:r>
        <w:br/>
        <w:t>Third party payments from and on behalf of other agencies</w:t>
      </w:r>
    </w:p>
    <w:p w:rsidR="004E6854" w:rsidRPr="004E6854" w:rsidRDefault="0054626E" w:rsidP="004E6854">
      <w:pPr>
        <w:pStyle w:val="TableGraphic"/>
      </w:pPr>
      <w:r>
        <w:rPr>
          <w:noProof/>
        </w:rPr>
        <w:drawing>
          <wp:inline distT="0" distB="0" distL="0" distR="0" wp14:anchorId="315C9611" wp14:editId="47F5E5D0">
            <wp:extent cx="4878705" cy="746934"/>
            <wp:effectExtent l="0" t="0" r="0" b="0"/>
            <wp:docPr id="251" name="Picture 251" descr="Table 1.1: WGEA resource statement – budget estimates for 2013–14 as at Budget May 2013 (continued)&#10;Third party payments from and on behalf of other agenc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878705" cy="746934"/>
                    </a:xfrm>
                    <a:prstGeom prst="rect">
                      <a:avLst/>
                    </a:prstGeom>
                    <a:noFill/>
                    <a:ln>
                      <a:noFill/>
                    </a:ln>
                  </pic:spPr>
                </pic:pic>
              </a:graphicData>
            </a:graphic>
          </wp:inline>
        </w:drawing>
      </w:r>
    </w:p>
    <w:p w:rsidR="00737E8F" w:rsidRDefault="00737E8F" w:rsidP="00737E8F">
      <w:pPr>
        <w:pStyle w:val="Heading3"/>
      </w:pPr>
      <w:r>
        <w:t>1.3</w:t>
      </w:r>
      <w:r>
        <w:tab/>
        <w:t>Budget measures</w:t>
      </w:r>
    </w:p>
    <w:p w:rsidR="004E6854" w:rsidRDefault="004E6854" w:rsidP="004E6854">
      <w:r>
        <w:t>Budget measures relating to WGEA are detailed in Budget Paper No. 2 and are summarised below.</w:t>
      </w:r>
    </w:p>
    <w:p w:rsidR="004E6854" w:rsidRDefault="004E6854" w:rsidP="004E6854">
      <w:pPr>
        <w:pStyle w:val="TableHeading"/>
      </w:pPr>
      <w:r>
        <w:t>Table 1.2: WGEA 2013–14 budget measures</w:t>
      </w:r>
      <w:r>
        <w:br/>
        <w:t>MYEFO measures not previously reported in a portfolio statement</w:t>
      </w:r>
    </w:p>
    <w:p w:rsidR="004E6854" w:rsidRPr="004E6854" w:rsidRDefault="004321A2" w:rsidP="004E6854">
      <w:pPr>
        <w:pStyle w:val="TableGraphic"/>
      </w:pPr>
      <w:r>
        <w:rPr>
          <w:noProof/>
        </w:rPr>
        <w:drawing>
          <wp:inline distT="0" distB="0" distL="0" distR="0" wp14:anchorId="3F7E3C06" wp14:editId="68D17563">
            <wp:extent cx="4878705" cy="2363419"/>
            <wp:effectExtent l="0" t="0" r="0" b="0"/>
            <wp:docPr id="389" name="Picture 389" descr="Table 1.2: WGEA 2013–14 budget measures&#10;MYEFO measures not previously reported in a portfolio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78705" cy="2363419"/>
                    </a:xfrm>
                    <a:prstGeom prst="rect">
                      <a:avLst/>
                    </a:prstGeom>
                    <a:noFill/>
                    <a:ln>
                      <a:noFill/>
                    </a:ln>
                  </pic:spPr>
                </pic:pic>
              </a:graphicData>
            </a:graphic>
          </wp:inline>
        </w:drawing>
      </w:r>
    </w:p>
    <w:p w:rsidR="00737E8F" w:rsidRDefault="00737E8F" w:rsidP="00737E8F">
      <w:pPr>
        <w:pStyle w:val="Heading2"/>
      </w:pPr>
      <w:r>
        <w:br w:type="page"/>
      </w:r>
      <w:r>
        <w:lastRenderedPageBreak/>
        <w:t>Section 2: Outcomes and planned performance</w:t>
      </w:r>
    </w:p>
    <w:p w:rsidR="00737E8F" w:rsidRDefault="00737E8F" w:rsidP="00737E8F">
      <w:pPr>
        <w:pStyle w:val="Heading3"/>
      </w:pPr>
      <w:r>
        <w:t>2.1</w:t>
      </w:r>
      <w:r>
        <w:tab/>
        <w:t>Outcomes and performance information</w:t>
      </w:r>
    </w:p>
    <w:p w:rsidR="004E6854" w:rsidRDefault="004E6854" w:rsidP="004E6854">
      <w:r>
        <w:t>Government outcomes are the intended results, impacts or consequences of actions by government on the Australian community. Commonwealth programs are the primary vehicle by which government agencies achieve the intended results of their outcome statements. Agencies are required to identify the programs which contribute to government outcomes over the budget and forward years.</w:t>
      </w:r>
    </w:p>
    <w:p w:rsidR="00737E8F" w:rsidRDefault="004E6854" w:rsidP="004E6854">
      <w:r>
        <w:t>Each outcome is described below together with its related programs, specifying the performance indicators and targets used to assess and monitor the performance of the Workplace Gender Equality Agency in achieving government outcomes.</w:t>
      </w:r>
    </w:p>
    <w:p w:rsidR="00F73C9A" w:rsidRDefault="00F73C9A" w:rsidP="00F73C9A">
      <w:pPr>
        <w:pStyle w:val="Heading4"/>
        <w:pBdr>
          <w:top w:val="single" w:sz="2" w:space="1" w:color="auto"/>
          <w:left w:val="single" w:sz="2" w:space="4" w:color="auto"/>
          <w:bottom w:val="single" w:sz="2" w:space="1" w:color="auto"/>
          <w:right w:val="single" w:sz="2" w:space="4" w:color="auto"/>
        </w:pBdr>
        <w:shd w:val="pct15" w:color="auto" w:fill="auto"/>
      </w:pPr>
      <w:r>
        <w:t>Outcome 1</w:t>
      </w:r>
    </w:p>
    <w:p w:rsidR="00737E8F" w:rsidRPr="00F73C9A" w:rsidRDefault="00F73C9A" w:rsidP="00F73C9A">
      <w:pPr>
        <w:pStyle w:val="SinglePara"/>
        <w:pBdr>
          <w:top w:val="single" w:sz="2" w:space="1" w:color="auto"/>
          <w:left w:val="single" w:sz="2" w:space="4" w:color="auto"/>
          <w:bottom w:val="single" w:sz="2" w:space="1" w:color="auto"/>
          <w:right w:val="single" w:sz="2" w:space="4" w:color="auto"/>
        </w:pBdr>
        <w:shd w:val="pct15" w:color="auto" w:fill="auto"/>
        <w:rPr>
          <w:rFonts w:ascii="Arial" w:hAnsi="Arial" w:cs="Arial"/>
          <w:sz w:val="20"/>
        </w:rPr>
      </w:pPr>
      <w:r w:rsidRPr="00F73C9A">
        <w:rPr>
          <w:rFonts w:ascii="Arial" w:hAnsi="Arial" w:cs="Arial"/>
          <w:sz w:val="20"/>
        </w:rPr>
        <w:t>Promote and improve gender equality in Australian workplaces including through the provision of advice and assistance to employers and the assessment and measurement of workplace gender data.</w:t>
      </w:r>
    </w:p>
    <w:p w:rsidR="00737E8F" w:rsidRDefault="00737E8F" w:rsidP="00F73C9A">
      <w:pPr>
        <w:pStyle w:val="Heading5"/>
      </w:pPr>
      <w:r>
        <w:t xml:space="preserve">Outcome 1 </w:t>
      </w:r>
      <w:r w:rsidR="00114603">
        <w:t>strategy</w:t>
      </w:r>
    </w:p>
    <w:p w:rsidR="004E6854" w:rsidRDefault="004E6854" w:rsidP="004E6854">
      <w:r>
        <w:t xml:space="preserve">The Act administered by the agency encourages employers to examine and improve the gender equality of their workplaces by providing for the collection, reporting and review of standardised data and information. </w:t>
      </w:r>
    </w:p>
    <w:p w:rsidR="004E6854" w:rsidRDefault="004E6854" w:rsidP="004E6854">
      <w:pPr>
        <w:pStyle w:val="BulletIntro"/>
      </w:pPr>
      <w:r>
        <w:t>The agency’s focus following the passage of the revised Act is on assisting employers to make the transition to the new arrangements, principally by:</w:t>
      </w:r>
    </w:p>
    <w:p w:rsidR="004E6854" w:rsidRDefault="004E6854" w:rsidP="004E6854">
      <w:pPr>
        <w:pStyle w:val="Bullet"/>
      </w:pPr>
      <w:r>
        <w:t>streamlining reporting through the provision of a secure online web-portal</w:t>
      </w:r>
    </w:p>
    <w:p w:rsidR="004E6854" w:rsidRDefault="004E6854" w:rsidP="004E6854">
      <w:pPr>
        <w:pStyle w:val="Bullet"/>
      </w:pPr>
      <w:r>
        <w:t>providing advice and assistance to relevant employers to facilitate the collection, reporting and analysis of workplace gender equality data, and</w:t>
      </w:r>
    </w:p>
    <w:p w:rsidR="004E6854" w:rsidRDefault="004E6854" w:rsidP="004E6854">
      <w:pPr>
        <w:pStyle w:val="BulletLast"/>
      </w:pPr>
      <w:proofErr w:type="gramStart"/>
      <w:r>
        <w:t>communicating</w:t>
      </w:r>
      <w:proofErr w:type="gramEnd"/>
      <w:r>
        <w:t xml:space="preserve"> the legislative changes, and providing advice and assistance to other stakeholders, including smaller, non-reporting employers.</w:t>
      </w:r>
    </w:p>
    <w:p w:rsidR="004E6854" w:rsidRDefault="004E6854" w:rsidP="004E6854">
      <w:r>
        <w:t xml:space="preserve">During 2013–14, the agency will also settle and begin to implement its revised compliance framework. In addition to assessing compliance relating to reporting against the GEIs, the new framework introduces transparency measures for employers and a review mechanism enabling the agency to assess compliance with the Act. From 2015, the agency will be required to assess compliance with or improvement against minimum standards. </w:t>
      </w:r>
    </w:p>
    <w:p w:rsidR="00737E8F" w:rsidRDefault="004E6854" w:rsidP="004E6854">
      <w:r>
        <w:lastRenderedPageBreak/>
        <w:t>By 2014–15, it is proposed that the agency will have developed, in consultation with stakeholders, a set of benchmarks based on the GEIs. These will be used for educational purposes, to enable employers to consider their workplace outcomes and practices over time and in relation to their industry peers. In 2016, the agency will complete the first of a series of biennial reports to government on progress made against the GEIs.</w:t>
      </w:r>
    </w:p>
    <w:p w:rsidR="00737E8F" w:rsidRDefault="00C25CC7" w:rsidP="00F73C9A">
      <w:pPr>
        <w:pStyle w:val="Heading5"/>
      </w:pPr>
      <w:r>
        <w:br w:type="page"/>
      </w:r>
      <w:r w:rsidR="00737E8F">
        <w:lastRenderedPageBreak/>
        <w:t xml:space="preserve">Outcome </w:t>
      </w:r>
      <w:r w:rsidR="004164A2">
        <w:t>expense statement</w:t>
      </w:r>
    </w:p>
    <w:p w:rsidR="00737E8F" w:rsidRDefault="004E6854" w:rsidP="00737E8F">
      <w:r w:rsidRPr="004E6854">
        <w:t>Table 2.1 provides an overview of the total expenses for Outcome 1, by program.</w:t>
      </w:r>
    </w:p>
    <w:p w:rsidR="00737E8F" w:rsidRDefault="00737E8F" w:rsidP="00737E8F">
      <w:pPr>
        <w:pStyle w:val="TableHeading"/>
        <w:rPr>
          <w:lang w:val="en-GB"/>
        </w:rPr>
      </w:pPr>
      <w:r>
        <w:rPr>
          <w:lang w:val="en-GB"/>
        </w:rPr>
        <w:t xml:space="preserve">Table 2.1: Budgeted </w:t>
      </w:r>
      <w:r w:rsidR="00114603">
        <w:rPr>
          <w:lang w:val="en-GB"/>
        </w:rPr>
        <w:t>expenses</w:t>
      </w:r>
      <w:r>
        <w:rPr>
          <w:lang w:val="en-GB"/>
        </w:rPr>
        <w:t xml:space="preserve"> for Outcome 1</w:t>
      </w:r>
    </w:p>
    <w:p w:rsidR="00737E8F" w:rsidRPr="00A82139" w:rsidRDefault="0054626E" w:rsidP="00737E8F">
      <w:pPr>
        <w:pStyle w:val="TableGraphic"/>
        <w:rPr>
          <w:lang w:val="en-GB"/>
        </w:rPr>
      </w:pPr>
      <w:r>
        <w:rPr>
          <w:noProof/>
        </w:rPr>
        <w:drawing>
          <wp:inline distT="0" distB="0" distL="0" distR="0" wp14:anchorId="4691548B" wp14:editId="506542D2">
            <wp:extent cx="4878705" cy="3217667"/>
            <wp:effectExtent l="0" t="0" r="0" b="0"/>
            <wp:docPr id="252" name="Picture 252" descr="Table 2.1: Budgeted expens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878705" cy="3217667"/>
                    </a:xfrm>
                    <a:prstGeom prst="rect">
                      <a:avLst/>
                    </a:prstGeom>
                    <a:noFill/>
                    <a:ln>
                      <a:noFill/>
                    </a:ln>
                  </pic:spPr>
                </pic:pic>
              </a:graphicData>
            </a:graphic>
          </wp:inline>
        </w:drawing>
      </w:r>
    </w:p>
    <w:p w:rsidR="00737E8F" w:rsidRDefault="00737E8F" w:rsidP="00186BB6">
      <w:pPr>
        <w:pStyle w:val="Heading5"/>
      </w:pPr>
      <w:r>
        <w:t xml:space="preserve"> </w:t>
      </w:r>
      <w:r>
        <w:br w:type="page"/>
      </w:r>
      <w:r>
        <w:lastRenderedPageBreak/>
        <w:t>Contributions to Outcome 1</w:t>
      </w:r>
    </w:p>
    <w:p w:rsidR="00737E8F" w:rsidRDefault="00737E8F" w:rsidP="00186BB6">
      <w:pPr>
        <w:pStyle w:val="Heading6"/>
      </w:pPr>
      <w:r>
        <w:t xml:space="preserve">Program 1.1: </w:t>
      </w:r>
      <w:r w:rsidR="004E6854" w:rsidRPr="004E6854">
        <w:t>Workplace Gender Equality</w:t>
      </w:r>
    </w:p>
    <w:p w:rsidR="00737E8F" w:rsidRDefault="00737E8F" w:rsidP="00737E8F">
      <w:pPr>
        <w:pStyle w:val="SinglePara"/>
      </w:pPr>
    </w:p>
    <w:p w:rsidR="00737E8F" w:rsidRDefault="00737E8F" w:rsidP="00186BB6">
      <w:pPr>
        <w:pStyle w:val="Heading7"/>
      </w:pPr>
      <w:r>
        <w:t xml:space="preserve">Program 1.1 </w:t>
      </w:r>
      <w:r w:rsidR="00114603">
        <w:t>objective</w:t>
      </w:r>
    </w:p>
    <w:p w:rsidR="004E6854" w:rsidRDefault="004E6854" w:rsidP="004E6854">
      <w:pPr>
        <w:pStyle w:val="NormalBox"/>
      </w:pPr>
      <w:r>
        <w:t>The objective of this program is to improve gender equality in the Australian workforce. Gender equality refers to Australian women and men being offered the same opportunities in the workplace, including equal remuneration and the ability to balance paid work with caring and family responsibilities.</w:t>
      </w:r>
    </w:p>
    <w:p w:rsidR="004E6854" w:rsidRDefault="004E6854" w:rsidP="004E6854">
      <w:pPr>
        <w:pStyle w:val="NormalBox"/>
      </w:pPr>
      <w:r>
        <w:t>The program will focus on promoting and improving gender equality and outcomes for both women and men in the workplace through activities which aim to:</w:t>
      </w:r>
    </w:p>
    <w:p w:rsidR="004E6854" w:rsidRDefault="004E6854" w:rsidP="004E6854">
      <w:pPr>
        <w:pStyle w:val="BulletBox"/>
      </w:pPr>
      <w:r>
        <w:t>remove barriers to the full and equal participation of women in the workforce</w:t>
      </w:r>
    </w:p>
    <w:p w:rsidR="004E6854" w:rsidRDefault="004E6854" w:rsidP="004E6854">
      <w:pPr>
        <w:pStyle w:val="BulletBox"/>
      </w:pPr>
      <w:r>
        <w:t>eliminate discrimination on the basis of gender in employment</w:t>
      </w:r>
    </w:p>
    <w:p w:rsidR="004E6854" w:rsidRDefault="004E6854" w:rsidP="004E6854">
      <w:pPr>
        <w:pStyle w:val="BulletBox"/>
      </w:pPr>
      <w:r>
        <w:t>foster workplace consultation between employers and employees on issues concerning gender equality in employment and in the workplace, and</w:t>
      </w:r>
    </w:p>
    <w:p w:rsidR="004E6854" w:rsidRDefault="004E6854" w:rsidP="004E6854">
      <w:pPr>
        <w:pStyle w:val="BulletBox"/>
      </w:pPr>
      <w:proofErr w:type="gramStart"/>
      <w:r>
        <w:t>improve</w:t>
      </w:r>
      <w:proofErr w:type="gramEnd"/>
      <w:r>
        <w:t xml:space="preserve"> the productivity and competitiveness of Australian business through the advancement of gender equality in employment and in the workplace.</w:t>
      </w:r>
    </w:p>
    <w:p w:rsidR="004E6854" w:rsidRDefault="004E6854" w:rsidP="004E6854">
      <w:pPr>
        <w:pStyle w:val="NormalBox"/>
      </w:pPr>
      <w:r>
        <w:t>Key activities include:</w:t>
      </w:r>
    </w:p>
    <w:p w:rsidR="004E6854" w:rsidRDefault="004E6854" w:rsidP="004E6854">
      <w:pPr>
        <w:pStyle w:val="BulletBox"/>
      </w:pPr>
      <w:r>
        <w:t>advising and assisting employers to promote and improve gender equality in the workplace including providing advice and assistance on the collection and analysis of workplace data to underpin measures to improve gender equality outcomes</w:t>
      </w:r>
    </w:p>
    <w:p w:rsidR="004E6854" w:rsidRDefault="004E6854" w:rsidP="004E6854">
      <w:pPr>
        <w:pStyle w:val="BulletBox"/>
      </w:pPr>
      <w:r>
        <w:t>undertaking research, educational and other programs designed to promote and improve gender equality in the workplace</w:t>
      </w:r>
    </w:p>
    <w:p w:rsidR="004E6854" w:rsidRDefault="004E6854" w:rsidP="004E6854">
      <w:pPr>
        <w:pStyle w:val="BulletBox"/>
      </w:pPr>
      <w:r>
        <w:t>promoting and contributing to understanding and acceptance, and public discussion, of gender equality in the workplace, and</w:t>
      </w:r>
    </w:p>
    <w:p w:rsidR="00737E8F" w:rsidRDefault="004E6854" w:rsidP="004E6854">
      <w:pPr>
        <w:pStyle w:val="BulletBox"/>
      </w:pPr>
      <w:proofErr w:type="gramStart"/>
      <w:r>
        <w:t>reviewing</w:t>
      </w:r>
      <w:proofErr w:type="gramEnd"/>
      <w:r>
        <w:t xml:space="preserve"> compliance with the Act by relevant employers.</w:t>
      </w:r>
    </w:p>
    <w:p w:rsidR="00737E8F" w:rsidRDefault="00737E8F" w:rsidP="00737E8F">
      <w:pPr>
        <w:rPr>
          <w:lang w:val="en-GB"/>
        </w:rPr>
      </w:pPr>
    </w:p>
    <w:p w:rsidR="00737E8F" w:rsidRDefault="003B01E7" w:rsidP="00186BB6">
      <w:pPr>
        <w:pStyle w:val="Heading7"/>
      </w:pPr>
      <w:r>
        <w:br w:type="page"/>
      </w:r>
      <w:r w:rsidR="00737E8F">
        <w:lastRenderedPageBreak/>
        <w:t xml:space="preserve">Program 1.1 </w:t>
      </w:r>
      <w:r w:rsidR="00114603">
        <w:t>expenses</w:t>
      </w:r>
    </w:p>
    <w:p w:rsidR="00737E8F" w:rsidRPr="00A82139" w:rsidRDefault="004E6854" w:rsidP="00737E8F">
      <w:pPr>
        <w:pStyle w:val="NormalBox"/>
      </w:pPr>
      <w:r w:rsidRPr="004E6854">
        <w:t xml:space="preserve">Program expenses are expected to remain at a relatively constant level </w:t>
      </w:r>
      <w:r w:rsidR="00162FD1">
        <w:t>over the</w:t>
      </w:r>
      <w:r w:rsidRPr="004E6854">
        <w:t xml:space="preserve"> forward years.</w:t>
      </w:r>
    </w:p>
    <w:p w:rsidR="00737E8F" w:rsidRDefault="00737E8F" w:rsidP="003B01E7">
      <w:pPr>
        <w:pStyle w:val="TableHeading"/>
        <w:rPr>
          <w:lang w:val="en-GB"/>
        </w:rPr>
      </w:pPr>
      <w:r>
        <w:rPr>
          <w:lang w:val="en-GB"/>
        </w:rPr>
        <w:t xml:space="preserve">Table 2.1.1: Budgeted </w:t>
      </w:r>
      <w:r w:rsidR="00114603">
        <w:rPr>
          <w:lang w:val="en-GB"/>
        </w:rPr>
        <w:t>expenses</w:t>
      </w:r>
      <w:r>
        <w:rPr>
          <w:lang w:val="en-GB"/>
        </w:rPr>
        <w:t xml:space="preserve"> for </w:t>
      </w:r>
      <w:r w:rsidR="004E6854">
        <w:t>Workplace Gender Equality</w:t>
      </w:r>
    </w:p>
    <w:p w:rsidR="00737E8F" w:rsidRDefault="00505E25" w:rsidP="00737E8F">
      <w:pPr>
        <w:pStyle w:val="TableGraphic"/>
        <w:rPr>
          <w:lang w:val="en-GB"/>
        </w:rPr>
      </w:pPr>
      <w:r>
        <w:rPr>
          <w:noProof/>
        </w:rPr>
        <w:drawing>
          <wp:inline distT="0" distB="0" distL="0" distR="0" wp14:anchorId="57C14276" wp14:editId="2C1F9058">
            <wp:extent cx="4878705" cy="1449402"/>
            <wp:effectExtent l="0" t="0" r="0" b="0"/>
            <wp:docPr id="297" name="Picture 297" descr="Table 2.1.1: Budgeted expenses for Workplace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878705" cy="1449402"/>
                    </a:xfrm>
                    <a:prstGeom prst="rect">
                      <a:avLst/>
                    </a:prstGeom>
                    <a:noFill/>
                    <a:ln>
                      <a:noFill/>
                    </a:ln>
                  </pic:spPr>
                </pic:pic>
              </a:graphicData>
            </a:graphic>
          </wp:inline>
        </w:drawing>
      </w:r>
    </w:p>
    <w:p w:rsidR="00737E8F" w:rsidRDefault="00186BB6" w:rsidP="00186BB6">
      <w:pPr>
        <w:pStyle w:val="Heading7"/>
      </w:pPr>
      <w:r>
        <w:br w:type="page"/>
      </w:r>
      <w:r w:rsidR="00737E8F">
        <w:lastRenderedPageBreak/>
        <w:t xml:space="preserve">Program 1.1 </w:t>
      </w:r>
      <w:r w:rsidR="00114603">
        <w:t>deliverables</w:t>
      </w:r>
    </w:p>
    <w:p w:rsidR="004E6854" w:rsidRDefault="004E6854" w:rsidP="004E6854">
      <w:pPr>
        <w:pStyle w:val="NormalBox"/>
      </w:pPr>
      <w:r>
        <w:t>The agency will support improved workplace gender equality by:</w:t>
      </w:r>
    </w:p>
    <w:p w:rsidR="004E6854" w:rsidRDefault="004E6854" w:rsidP="004E6854">
      <w:pPr>
        <w:pStyle w:val="NormalBox"/>
      </w:pPr>
      <w:r>
        <w:t>Assisting relevant employers to report, through the</w:t>
      </w:r>
    </w:p>
    <w:p w:rsidR="004E6854" w:rsidRDefault="004E6854" w:rsidP="004E6854">
      <w:pPr>
        <w:pStyle w:val="BulletBox"/>
      </w:pPr>
      <w:r>
        <w:t>provision of a secure online web portal</w:t>
      </w:r>
    </w:p>
    <w:p w:rsidR="004E6854" w:rsidRDefault="004E6854" w:rsidP="004E6854">
      <w:pPr>
        <w:pStyle w:val="BulletBox"/>
      </w:pPr>
      <w:r>
        <w:t>preparation of guidance materials on reporting, and</w:t>
      </w:r>
    </w:p>
    <w:p w:rsidR="004E6854" w:rsidRDefault="004E6854" w:rsidP="004E6854">
      <w:pPr>
        <w:pStyle w:val="BulletBox"/>
      </w:pPr>
      <w:proofErr w:type="gramStart"/>
      <w:r>
        <w:t>provision</w:t>
      </w:r>
      <w:proofErr w:type="gramEnd"/>
      <w:r>
        <w:t xml:space="preserve"> of telephone assistance to employers.</w:t>
      </w:r>
    </w:p>
    <w:p w:rsidR="004E6854" w:rsidRDefault="004E6854" w:rsidP="004E6854">
      <w:pPr>
        <w:pStyle w:val="NormalBox"/>
      </w:pPr>
      <w:r>
        <w:t>Educating employers on improving gender equality outcomes, through the</w:t>
      </w:r>
    </w:p>
    <w:p w:rsidR="004E6854" w:rsidRDefault="004E6854" w:rsidP="004E6854">
      <w:pPr>
        <w:pStyle w:val="BulletBox"/>
      </w:pPr>
      <w:r>
        <w:t>provision of education sessions and materials on interpreting workplace data and on strategies for removing barriers to workplace gender equality, and</w:t>
      </w:r>
    </w:p>
    <w:p w:rsidR="004E6854" w:rsidRDefault="004E6854" w:rsidP="004E6854">
      <w:pPr>
        <w:pStyle w:val="BulletBox"/>
      </w:pPr>
      <w:proofErr w:type="gramStart"/>
      <w:r>
        <w:t>development</w:t>
      </w:r>
      <w:proofErr w:type="gramEnd"/>
      <w:r>
        <w:t>, in consultation with employers, of a set of benchmarks that will enable them to consider and improve their workplace outcomes and practices over time and in relation to their industry peers.</w:t>
      </w:r>
    </w:p>
    <w:p w:rsidR="004E6854" w:rsidRDefault="004E6854" w:rsidP="004E6854">
      <w:pPr>
        <w:pStyle w:val="NormalBox"/>
      </w:pPr>
      <w:r>
        <w:t>Fostering compliance with the reporting and transparency provisions of the Act, through</w:t>
      </w:r>
    </w:p>
    <w:p w:rsidR="004E6854" w:rsidRDefault="004E6854" w:rsidP="004E6854">
      <w:pPr>
        <w:pStyle w:val="BulletBox"/>
      </w:pPr>
      <w:r>
        <w:t>contacting relevant employers who are not meeting their reporting obligations and assisting them to become compliant</w:t>
      </w:r>
    </w:p>
    <w:p w:rsidR="004E6854" w:rsidRDefault="004E6854" w:rsidP="004E6854">
      <w:pPr>
        <w:pStyle w:val="BulletBox"/>
      </w:pPr>
      <w:r>
        <w:t>promoting and applying a framework for the assessment of reports</w:t>
      </w:r>
    </w:p>
    <w:p w:rsidR="004E6854" w:rsidRDefault="004E6854" w:rsidP="004E6854">
      <w:pPr>
        <w:pStyle w:val="BulletBox"/>
      </w:pPr>
      <w:r>
        <w:t>promoting and implementing reviews of relevant employers’ compliance with the Act, and</w:t>
      </w:r>
    </w:p>
    <w:p w:rsidR="004E6854" w:rsidRDefault="004E6854" w:rsidP="004E6854">
      <w:pPr>
        <w:pStyle w:val="BulletBox"/>
      </w:pPr>
      <w:proofErr w:type="gramStart"/>
      <w:r>
        <w:t>naming</w:t>
      </w:r>
      <w:proofErr w:type="gramEnd"/>
      <w:r>
        <w:t xml:space="preserve"> non-compliant employers in a report to the Minister or by electronic or other means.</w:t>
      </w:r>
    </w:p>
    <w:p w:rsidR="004E6854" w:rsidRDefault="004E6854" w:rsidP="004E6854">
      <w:pPr>
        <w:pStyle w:val="NormalBox"/>
      </w:pPr>
      <w:r>
        <w:t>Using gender equality data to improve workplace gender equality, through</w:t>
      </w:r>
    </w:p>
    <w:p w:rsidR="004E6854" w:rsidRDefault="004E6854" w:rsidP="004E6854">
      <w:pPr>
        <w:pStyle w:val="BulletBox"/>
      </w:pPr>
      <w:r>
        <w:t xml:space="preserve">the establishment of a database of reported data, to inform educational materials, and the setting of minimum standards and educational benchmarks from 2015, and </w:t>
      </w:r>
    </w:p>
    <w:p w:rsidR="004E6854" w:rsidRDefault="004E6854" w:rsidP="004E6854">
      <w:pPr>
        <w:pStyle w:val="BulletBox"/>
      </w:pPr>
      <w:proofErr w:type="gramStart"/>
      <w:r>
        <w:t>the</w:t>
      </w:r>
      <w:proofErr w:type="gramEnd"/>
      <w:r>
        <w:t xml:space="preserve"> preparation of biennial reports to the Minister on overall progress achieved in relation to the GEIs, beginning with the two-year period ending on 31 May 2016.</w:t>
      </w:r>
    </w:p>
    <w:p w:rsidR="004E6854" w:rsidRDefault="004E6854" w:rsidP="004E6854">
      <w:pPr>
        <w:pStyle w:val="NormalBox"/>
      </w:pPr>
      <w:r>
        <w:t>Promoting and contributing to understanding and acceptance, and public discussion, of gender equality in the Australian workplace, through</w:t>
      </w:r>
    </w:p>
    <w:p w:rsidR="004E6854" w:rsidRDefault="004E6854" w:rsidP="004E6854">
      <w:pPr>
        <w:pStyle w:val="BulletBox"/>
      </w:pPr>
      <w:r>
        <w:t>the recognition of good gender equality performance, and</w:t>
      </w:r>
    </w:p>
    <w:p w:rsidR="00737E8F" w:rsidRDefault="004E6854" w:rsidP="004E6854">
      <w:pPr>
        <w:pStyle w:val="BulletBox"/>
      </w:pPr>
      <w:proofErr w:type="gramStart"/>
      <w:r>
        <w:t>contributions</w:t>
      </w:r>
      <w:proofErr w:type="gramEnd"/>
      <w:r>
        <w:t xml:space="preserve"> to public discussion of gender equality in the workplace including through speeches and events.</w:t>
      </w:r>
    </w:p>
    <w:p w:rsidR="00737E8F" w:rsidRDefault="004E6854" w:rsidP="00737E8F">
      <w:pPr>
        <w:pStyle w:val="TableHeading"/>
      </w:pPr>
      <w:r w:rsidRPr="004E6854">
        <w:lastRenderedPageBreak/>
        <w:t>Workplace Gender Equality deliverables targets</w:t>
      </w:r>
    </w:p>
    <w:tbl>
      <w:tblPr>
        <w:tblW w:w="7651" w:type="dxa"/>
        <w:tblInd w:w="40" w:type="dxa"/>
        <w:tblCellMar>
          <w:top w:w="57" w:type="dxa"/>
          <w:left w:w="30" w:type="dxa"/>
          <w:bottom w:w="57" w:type="dxa"/>
          <w:right w:w="30" w:type="dxa"/>
        </w:tblCellMar>
        <w:tblLook w:val="0000" w:firstRow="0" w:lastRow="0" w:firstColumn="0" w:lastColumn="0" w:noHBand="0" w:noVBand="0"/>
        <w:tblDescription w:val="Workplace Gender Equality deliverables targets"/>
      </w:tblPr>
      <w:tblGrid>
        <w:gridCol w:w="3107"/>
        <w:gridCol w:w="908"/>
        <w:gridCol w:w="909"/>
        <w:gridCol w:w="909"/>
        <w:gridCol w:w="909"/>
        <w:gridCol w:w="909"/>
      </w:tblGrid>
      <w:tr w:rsidR="00737E8F" w:rsidRPr="00893575" w:rsidTr="00D31999">
        <w:trPr>
          <w:trHeight w:val="225"/>
        </w:trPr>
        <w:tc>
          <w:tcPr>
            <w:tcW w:w="3107" w:type="dxa"/>
            <w:tcBorders>
              <w:top w:val="single" w:sz="2" w:space="0" w:color="auto"/>
              <w:left w:val="nil"/>
              <w:bottom w:val="single" w:sz="2" w:space="0" w:color="auto"/>
              <w:right w:val="nil"/>
            </w:tcBorders>
            <w:vAlign w:val="center"/>
          </w:tcPr>
          <w:p w:rsidR="00737E8F" w:rsidRPr="00893575" w:rsidRDefault="00737E8F" w:rsidP="00D3199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left"/>
              <w:rPr>
                <w:rFonts w:ascii="Arial" w:hAnsi="Arial" w:cs="Arial"/>
                <w:sz w:val="16"/>
                <w:szCs w:val="16"/>
              </w:rPr>
            </w:pPr>
            <w:r w:rsidRPr="00B37285">
              <w:rPr>
                <w:rFonts w:ascii="Arial" w:hAnsi="Arial" w:cs="Arial"/>
                <w:sz w:val="16"/>
                <w:szCs w:val="16"/>
              </w:rPr>
              <w:t>Education</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color w:val="000000"/>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color w:val="000000"/>
                <w:sz w:val="16"/>
                <w:szCs w:val="16"/>
              </w:rPr>
            </w:pP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education sessions delivered</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39</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43</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47</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51</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educational resources available on the agency website</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46</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51</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56</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61</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benchmarks developed</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10</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20</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30</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left"/>
              <w:rPr>
                <w:rFonts w:ascii="Arial" w:hAnsi="Arial" w:cs="Arial"/>
                <w:sz w:val="16"/>
                <w:szCs w:val="16"/>
              </w:rPr>
            </w:pPr>
            <w:r w:rsidRPr="00B37285">
              <w:rPr>
                <w:rFonts w:ascii="Arial" w:hAnsi="Arial" w:cs="Arial"/>
                <w:sz w:val="16"/>
                <w:szCs w:val="16"/>
              </w:rPr>
              <w:t>Understanding and acceptance and public discussion</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speeches and events delivered</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51</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56</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59</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62</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496904">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xml:space="preserve">– </w:t>
            </w:r>
            <w:r w:rsidR="00496904">
              <w:rPr>
                <w:rFonts w:ascii="Arial" w:hAnsi="Arial" w:cs="Arial"/>
                <w:sz w:val="16"/>
                <w:szCs w:val="16"/>
              </w:rPr>
              <w:t>e</w:t>
            </w:r>
            <w:r w:rsidR="00496904" w:rsidRPr="00B37285">
              <w:rPr>
                <w:rFonts w:ascii="Arial" w:hAnsi="Arial" w:cs="Arial"/>
                <w:sz w:val="16"/>
                <w:szCs w:val="16"/>
              </w:rPr>
              <w:t xml:space="preserve">mployer </w:t>
            </w:r>
            <w:r w:rsidRPr="00B37285">
              <w:rPr>
                <w:rFonts w:ascii="Arial" w:hAnsi="Arial" w:cs="Arial"/>
                <w:sz w:val="16"/>
                <w:szCs w:val="16"/>
              </w:rPr>
              <w:t>of choice organisations</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95</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105</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115</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left"/>
              <w:rPr>
                <w:rFonts w:ascii="Arial" w:hAnsi="Arial" w:cs="Arial"/>
                <w:sz w:val="16"/>
                <w:szCs w:val="16"/>
              </w:rPr>
            </w:pPr>
            <w:r w:rsidRPr="00B37285">
              <w:rPr>
                <w:rFonts w:ascii="Arial" w:hAnsi="Arial" w:cs="Arial"/>
                <w:sz w:val="16"/>
                <w:szCs w:val="16"/>
              </w:rPr>
              <w:t>Compliance</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employers covered under the legislation</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12,750</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13,005</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13,265</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13,316</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w:t>
            </w:r>
            <w:r w:rsidR="00496904">
              <w:rPr>
                <w:rFonts w:ascii="Arial" w:hAnsi="Arial" w:cs="Arial"/>
                <w:sz w:val="16"/>
                <w:szCs w:val="16"/>
              </w:rPr>
              <w:t xml:space="preserve"> </w:t>
            </w:r>
            <w:r w:rsidRPr="00B37285">
              <w:rPr>
                <w:rFonts w:ascii="Arial" w:hAnsi="Arial" w:cs="Arial"/>
                <w:sz w:val="16"/>
                <w:szCs w:val="16"/>
              </w:rPr>
              <w:t>employer reviews conducted</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25</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30</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36</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left"/>
              <w:rPr>
                <w:rFonts w:ascii="Arial" w:hAnsi="Arial" w:cs="Arial"/>
                <w:sz w:val="16"/>
                <w:szCs w:val="16"/>
              </w:rPr>
            </w:pPr>
            <w:r w:rsidRPr="00B37285">
              <w:rPr>
                <w:rFonts w:ascii="Arial" w:hAnsi="Arial" w:cs="Arial"/>
                <w:sz w:val="16"/>
                <w:szCs w:val="16"/>
              </w:rPr>
              <w:t>Reporting by agency</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r>
      <w:tr w:rsidR="00B37285" w:rsidRPr="00893575" w:rsidTr="00B37285">
        <w:trPr>
          <w:trHeight w:val="225"/>
        </w:trPr>
        <w:tc>
          <w:tcPr>
            <w:tcW w:w="3107" w:type="dxa"/>
            <w:tcBorders>
              <w:top w:val="nil"/>
              <w:left w:val="nil"/>
              <w:bottom w:val="single" w:sz="2" w:space="0" w:color="auto"/>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biennial report to the Minister</w:t>
            </w:r>
          </w:p>
        </w:tc>
        <w:tc>
          <w:tcPr>
            <w:tcW w:w="908" w:type="dxa"/>
            <w:tcBorders>
              <w:top w:val="nil"/>
              <w:left w:val="nil"/>
              <w:bottom w:val="single" w:sz="2" w:space="0" w:color="auto"/>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bottom w:val="single" w:sz="2" w:space="0" w:color="auto"/>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bottom w:val="single" w:sz="2" w:space="0" w:color="auto"/>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bottom w:val="single" w:sz="2" w:space="0" w:color="auto"/>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bottom w:val="single" w:sz="2" w:space="0" w:color="auto"/>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1</w:t>
            </w:r>
          </w:p>
        </w:tc>
      </w:tr>
    </w:tbl>
    <w:p w:rsidR="00737E8F" w:rsidRPr="00EE1AB7" w:rsidRDefault="00737E8F" w:rsidP="00737E8F"/>
    <w:p w:rsidR="00737E8F" w:rsidRDefault="003B01E7" w:rsidP="00186BB6">
      <w:pPr>
        <w:pStyle w:val="Heading7"/>
      </w:pPr>
      <w:r>
        <w:br w:type="page"/>
      </w:r>
      <w:r w:rsidR="00737E8F" w:rsidRPr="00C33538">
        <w:lastRenderedPageBreak/>
        <w:t xml:space="preserve">Program </w:t>
      </w:r>
      <w:r w:rsidR="00737E8F">
        <w:t xml:space="preserve">1.1 </w:t>
      </w:r>
      <w:r w:rsidR="00114603">
        <w:t>key performance indicators</w:t>
      </w:r>
    </w:p>
    <w:p w:rsidR="00B37285" w:rsidRPr="00B37285" w:rsidRDefault="00B37285" w:rsidP="00B37285">
      <w:pPr>
        <w:pStyle w:val="BulletBox"/>
      </w:pPr>
      <w:r w:rsidRPr="00B37285">
        <w:t>Percentage of women in leadership including governing board members, key management personnel (KMP) and other managers</w:t>
      </w:r>
    </w:p>
    <w:p w:rsidR="00B37285" w:rsidRPr="00B37285" w:rsidRDefault="00B37285" w:rsidP="00B37285">
      <w:pPr>
        <w:pStyle w:val="BulletBox"/>
      </w:pPr>
      <w:r w:rsidRPr="00B37285">
        <w:t>Percentage of employers conducting gender remuneration gap analyses</w:t>
      </w:r>
    </w:p>
    <w:p w:rsidR="00B37285" w:rsidRPr="00B37285" w:rsidRDefault="00B37285" w:rsidP="00B37285">
      <w:pPr>
        <w:pStyle w:val="BulletBox"/>
      </w:pPr>
      <w:r w:rsidRPr="00B37285">
        <w:t>Percentage of employers with a strategy to support employees with family and caring responsibilities</w:t>
      </w:r>
    </w:p>
    <w:p w:rsidR="00737E8F" w:rsidRDefault="00B37285" w:rsidP="00B37285">
      <w:pPr>
        <w:pStyle w:val="BulletBox"/>
      </w:pPr>
      <w:r w:rsidRPr="00B37285">
        <w:t>Number of visits to the agency website</w:t>
      </w:r>
    </w:p>
    <w:p w:rsidR="00737E8F" w:rsidRDefault="00B37285" w:rsidP="00B37285">
      <w:pPr>
        <w:pStyle w:val="TableHeading"/>
      </w:pPr>
      <w:r w:rsidRPr="00B37285">
        <w:t>Workplace Gender Equality</w:t>
      </w:r>
      <w:r w:rsidR="00737E8F">
        <w:t xml:space="preserve"> </w:t>
      </w:r>
      <w:r w:rsidR="00114603">
        <w:t>key performance indicators</w:t>
      </w:r>
    </w:p>
    <w:tbl>
      <w:tblPr>
        <w:tblW w:w="7651" w:type="dxa"/>
        <w:tblInd w:w="40" w:type="dxa"/>
        <w:tblCellMar>
          <w:top w:w="57" w:type="dxa"/>
          <w:left w:w="30" w:type="dxa"/>
          <w:bottom w:w="57" w:type="dxa"/>
          <w:right w:w="30" w:type="dxa"/>
        </w:tblCellMar>
        <w:tblLook w:val="0000" w:firstRow="0" w:lastRow="0" w:firstColumn="0" w:lastColumn="0" w:noHBand="0" w:noVBand="0"/>
        <w:tblDescription w:val="Workplace Gender Equality key performance indicators"/>
      </w:tblPr>
      <w:tblGrid>
        <w:gridCol w:w="3107"/>
        <w:gridCol w:w="908"/>
        <w:gridCol w:w="909"/>
        <w:gridCol w:w="909"/>
        <w:gridCol w:w="909"/>
        <w:gridCol w:w="909"/>
      </w:tblGrid>
      <w:tr w:rsidR="00737E8F" w:rsidRPr="00893575" w:rsidTr="00D31999">
        <w:trPr>
          <w:trHeight w:val="225"/>
        </w:trPr>
        <w:tc>
          <w:tcPr>
            <w:tcW w:w="3107" w:type="dxa"/>
            <w:tcBorders>
              <w:top w:val="single" w:sz="2" w:space="0" w:color="auto"/>
              <w:left w:val="nil"/>
              <w:bottom w:val="single" w:sz="2" w:space="0" w:color="auto"/>
              <w:right w:val="nil"/>
            </w:tcBorders>
            <w:vAlign w:val="center"/>
          </w:tcPr>
          <w:p w:rsidR="00737E8F" w:rsidRPr="00893575" w:rsidRDefault="00737E8F" w:rsidP="00D31999">
            <w:pPr>
              <w:keepNext/>
              <w:autoSpaceDE w:val="0"/>
              <w:autoSpaceDN w:val="0"/>
              <w:adjustRightInd w:val="0"/>
              <w:spacing w:after="0" w:line="240" w:lineRule="auto"/>
              <w:jc w:val="left"/>
              <w:rPr>
                <w:rFonts w:ascii="Arial" w:hAnsi="Arial" w:cs="Arial"/>
                <w:b/>
                <w:bCs/>
                <w:color w:val="000000"/>
                <w:sz w:val="16"/>
                <w:szCs w:val="16"/>
              </w:rPr>
            </w:pPr>
          </w:p>
        </w:tc>
        <w:tc>
          <w:tcPr>
            <w:tcW w:w="908" w:type="dxa"/>
            <w:tcBorders>
              <w:top w:val="single" w:sz="2" w:space="0" w:color="auto"/>
              <w:left w:val="nil"/>
              <w:bottom w:val="single" w:sz="2" w:space="0" w:color="auto"/>
              <w:right w:val="nil"/>
            </w:tcBorders>
            <w:shd w:val="clear" w:color="auto" w:fill="auto"/>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2</w:t>
            </w:r>
            <w:r w:rsidRPr="00893575">
              <w:rPr>
                <w:rFonts w:ascii="Arial" w:hAnsi="Arial" w:cs="Arial"/>
                <w:color w:val="000000"/>
                <w:sz w:val="16"/>
                <w:szCs w:val="16"/>
              </w:rPr>
              <w:t>–1</w:t>
            </w:r>
            <w:r>
              <w:rPr>
                <w:rFonts w:ascii="Arial" w:hAnsi="Arial" w:cs="Arial"/>
                <w:color w:val="000000"/>
                <w:sz w:val="16"/>
                <w:szCs w:val="16"/>
              </w:rPr>
              <w:t>3</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Revised budget</w:t>
            </w:r>
          </w:p>
        </w:tc>
        <w:tc>
          <w:tcPr>
            <w:tcW w:w="909" w:type="dxa"/>
            <w:tcBorders>
              <w:top w:val="single" w:sz="2" w:space="0" w:color="auto"/>
              <w:left w:val="nil"/>
              <w:bottom w:val="single" w:sz="2" w:space="0" w:color="auto"/>
              <w:right w:val="nil"/>
            </w:tcBorders>
            <w:shd w:val="clear" w:color="auto" w:fill="D9D9D9"/>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201</w:t>
            </w:r>
            <w:r>
              <w:rPr>
                <w:rFonts w:ascii="Arial" w:hAnsi="Arial" w:cs="Arial"/>
                <w:color w:val="000000"/>
                <w:sz w:val="16"/>
                <w:szCs w:val="16"/>
              </w:rPr>
              <w:t>3</w:t>
            </w:r>
            <w:r w:rsidRPr="00893575">
              <w:rPr>
                <w:rFonts w:ascii="Arial" w:hAnsi="Arial" w:cs="Arial"/>
                <w:color w:val="000000"/>
                <w:sz w:val="16"/>
                <w:szCs w:val="16"/>
              </w:rPr>
              <w:t>–1</w:t>
            </w:r>
            <w:r>
              <w:rPr>
                <w:rFonts w:ascii="Arial" w:hAnsi="Arial" w:cs="Arial"/>
                <w:color w:val="000000"/>
                <w:sz w:val="16"/>
                <w:szCs w:val="16"/>
              </w:rPr>
              <w:t>4</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 xml:space="preserve">Budget </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2014–15 Forward year 1</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2015–16</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2</w:t>
            </w:r>
          </w:p>
        </w:tc>
        <w:tc>
          <w:tcPr>
            <w:tcW w:w="909" w:type="dxa"/>
            <w:tcBorders>
              <w:top w:val="single" w:sz="2" w:space="0" w:color="auto"/>
              <w:left w:val="nil"/>
              <w:bottom w:val="single" w:sz="2" w:space="0" w:color="auto"/>
              <w:right w:val="nil"/>
            </w:tcBorders>
          </w:tcPr>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2016</w:t>
            </w:r>
            <w:r w:rsidRPr="00893575">
              <w:rPr>
                <w:rFonts w:ascii="Arial" w:hAnsi="Arial" w:cs="Arial"/>
                <w:color w:val="000000"/>
                <w:sz w:val="16"/>
                <w:szCs w:val="16"/>
              </w:rPr>
              <w:t>–1</w:t>
            </w:r>
            <w:r>
              <w:rPr>
                <w:rFonts w:ascii="Arial" w:hAnsi="Arial" w:cs="Arial"/>
                <w:color w:val="000000"/>
                <w:sz w:val="16"/>
                <w:szCs w:val="16"/>
              </w:rPr>
              <w:t>7</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Forward</w:t>
            </w:r>
          </w:p>
          <w:p w:rsidR="00737E8F" w:rsidRPr="00893575" w:rsidRDefault="00737E8F" w:rsidP="00D31999">
            <w:pPr>
              <w:keepNext/>
              <w:autoSpaceDE w:val="0"/>
              <w:autoSpaceDN w:val="0"/>
              <w:adjustRightInd w:val="0"/>
              <w:spacing w:after="0" w:line="240" w:lineRule="auto"/>
              <w:jc w:val="right"/>
              <w:rPr>
                <w:rFonts w:ascii="Arial" w:hAnsi="Arial" w:cs="Arial"/>
                <w:color w:val="000000"/>
                <w:sz w:val="16"/>
                <w:szCs w:val="16"/>
              </w:rPr>
            </w:pPr>
            <w:r w:rsidRPr="00893575">
              <w:rPr>
                <w:rFonts w:ascii="Arial" w:hAnsi="Arial" w:cs="Arial"/>
                <w:color w:val="000000"/>
                <w:sz w:val="16"/>
                <w:szCs w:val="16"/>
              </w:rPr>
              <w:t xml:space="preserve">year </w:t>
            </w:r>
            <w:r>
              <w:rPr>
                <w:rFonts w:ascii="Arial" w:hAnsi="Arial" w:cs="Arial"/>
                <w:color w:val="000000"/>
                <w:sz w:val="16"/>
                <w:szCs w:val="16"/>
              </w:rPr>
              <w:t>3</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left"/>
              <w:rPr>
                <w:rFonts w:ascii="Arial" w:hAnsi="Arial" w:cs="Arial"/>
                <w:sz w:val="16"/>
                <w:szCs w:val="16"/>
              </w:rPr>
            </w:pPr>
            <w:r w:rsidRPr="00B37285">
              <w:rPr>
                <w:rFonts w:ascii="Arial" w:hAnsi="Arial" w:cs="Arial"/>
                <w:sz w:val="16"/>
                <w:szCs w:val="16"/>
              </w:rPr>
              <w:t xml:space="preserve">Percentage of women in leadership </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Governing board members</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7</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7.7</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8.5</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9.3</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KMP</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7</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7.35</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7.7</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8.1</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ind w:left="312" w:hanging="142"/>
              <w:jc w:val="left"/>
              <w:rPr>
                <w:rFonts w:ascii="Arial" w:hAnsi="Arial" w:cs="Arial"/>
                <w:sz w:val="16"/>
                <w:szCs w:val="16"/>
              </w:rPr>
            </w:pPr>
            <w:r w:rsidRPr="00B37285">
              <w:rPr>
                <w:rFonts w:ascii="Arial" w:hAnsi="Arial" w:cs="Arial"/>
                <w:sz w:val="16"/>
                <w:szCs w:val="16"/>
              </w:rPr>
              <w:t>– Other managers</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35</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36</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37</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38</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left"/>
              <w:rPr>
                <w:rFonts w:ascii="Arial" w:hAnsi="Arial" w:cs="Arial"/>
                <w:sz w:val="16"/>
                <w:szCs w:val="16"/>
              </w:rPr>
            </w:pPr>
            <w:r w:rsidRPr="00B37285">
              <w:rPr>
                <w:rFonts w:ascii="Arial" w:hAnsi="Arial" w:cs="Arial"/>
                <w:sz w:val="16"/>
                <w:szCs w:val="16"/>
              </w:rPr>
              <w:t>Percentage of employers conducting gender remuneration gap analyses</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37</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41</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43</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45</w:t>
            </w:r>
          </w:p>
        </w:tc>
      </w:tr>
      <w:tr w:rsidR="00B37285" w:rsidRPr="00893575" w:rsidTr="00B37285">
        <w:trPr>
          <w:trHeight w:val="225"/>
        </w:trPr>
        <w:tc>
          <w:tcPr>
            <w:tcW w:w="3107" w:type="dxa"/>
            <w:tcBorders>
              <w:top w:val="nil"/>
              <w:left w:val="nil"/>
              <w:right w:val="nil"/>
            </w:tcBorders>
            <w:vAlign w:val="bottom"/>
          </w:tcPr>
          <w:p w:rsidR="00B37285" w:rsidRPr="00B37285" w:rsidRDefault="00B37285" w:rsidP="00720692">
            <w:pPr>
              <w:keepNext/>
              <w:autoSpaceDE w:val="0"/>
              <w:autoSpaceDN w:val="0"/>
              <w:adjustRightInd w:val="0"/>
              <w:spacing w:after="0" w:line="240" w:lineRule="auto"/>
              <w:jc w:val="left"/>
              <w:rPr>
                <w:rFonts w:ascii="Arial" w:hAnsi="Arial" w:cs="Arial"/>
                <w:sz w:val="16"/>
                <w:szCs w:val="16"/>
              </w:rPr>
            </w:pPr>
            <w:r w:rsidRPr="00B37285">
              <w:rPr>
                <w:rFonts w:ascii="Arial" w:hAnsi="Arial" w:cs="Arial"/>
                <w:sz w:val="16"/>
                <w:szCs w:val="16"/>
              </w:rPr>
              <w:t>Percentage of employers with a strategy to support employees with family and caring responsibilities</w:t>
            </w:r>
          </w:p>
        </w:tc>
        <w:tc>
          <w:tcPr>
            <w:tcW w:w="908" w:type="dxa"/>
            <w:tcBorders>
              <w:top w:val="nil"/>
              <w:left w:val="nil"/>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3.4</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3.47</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3.54</w:t>
            </w:r>
          </w:p>
        </w:tc>
        <w:tc>
          <w:tcPr>
            <w:tcW w:w="909" w:type="dxa"/>
            <w:tcBorders>
              <w:top w:val="nil"/>
              <w:left w:val="nil"/>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3.61</w:t>
            </w:r>
          </w:p>
        </w:tc>
      </w:tr>
      <w:tr w:rsidR="00B37285" w:rsidRPr="00893575" w:rsidTr="00B37285">
        <w:trPr>
          <w:trHeight w:val="225"/>
        </w:trPr>
        <w:tc>
          <w:tcPr>
            <w:tcW w:w="3107" w:type="dxa"/>
            <w:tcBorders>
              <w:top w:val="nil"/>
              <w:left w:val="nil"/>
              <w:bottom w:val="single" w:sz="4" w:space="0" w:color="auto"/>
              <w:right w:val="nil"/>
            </w:tcBorders>
            <w:vAlign w:val="bottom"/>
          </w:tcPr>
          <w:p w:rsidR="00B37285" w:rsidRPr="00B37285" w:rsidRDefault="00B37285" w:rsidP="00B37285">
            <w:pPr>
              <w:keepNext/>
              <w:autoSpaceDE w:val="0"/>
              <w:autoSpaceDN w:val="0"/>
              <w:adjustRightInd w:val="0"/>
              <w:spacing w:after="0" w:line="240" w:lineRule="auto"/>
              <w:jc w:val="left"/>
              <w:rPr>
                <w:rFonts w:ascii="Arial" w:hAnsi="Arial" w:cs="Arial"/>
                <w:sz w:val="16"/>
                <w:szCs w:val="16"/>
              </w:rPr>
            </w:pPr>
            <w:r w:rsidRPr="00B37285">
              <w:rPr>
                <w:rFonts w:ascii="Arial" w:hAnsi="Arial" w:cs="Arial"/>
                <w:sz w:val="16"/>
                <w:szCs w:val="16"/>
              </w:rPr>
              <w:t>Number of visits to the agency website</w:t>
            </w:r>
          </w:p>
        </w:tc>
        <w:tc>
          <w:tcPr>
            <w:tcW w:w="908" w:type="dxa"/>
            <w:tcBorders>
              <w:top w:val="nil"/>
              <w:left w:val="nil"/>
              <w:bottom w:val="single" w:sz="4" w:space="0" w:color="auto"/>
              <w:right w:val="nil"/>
            </w:tcBorders>
            <w:shd w:val="clear" w:color="auto" w:fill="auto"/>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w:t>
            </w:r>
          </w:p>
        </w:tc>
        <w:tc>
          <w:tcPr>
            <w:tcW w:w="909" w:type="dxa"/>
            <w:tcBorders>
              <w:top w:val="nil"/>
              <w:left w:val="nil"/>
              <w:bottom w:val="single" w:sz="4" w:space="0" w:color="auto"/>
              <w:right w:val="nil"/>
            </w:tcBorders>
            <w:shd w:val="clear" w:color="auto" w:fill="D9D9D9"/>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54,000</w:t>
            </w:r>
          </w:p>
        </w:tc>
        <w:tc>
          <w:tcPr>
            <w:tcW w:w="909" w:type="dxa"/>
            <w:tcBorders>
              <w:top w:val="nil"/>
              <w:left w:val="nil"/>
              <w:bottom w:val="single" w:sz="4" w:space="0" w:color="auto"/>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59,400</w:t>
            </w:r>
          </w:p>
        </w:tc>
        <w:tc>
          <w:tcPr>
            <w:tcW w:w="909" w:type="dxa"/>
            <w:tcBorders>
              <w:top w:val="nil"/>
              <w:left w:val="nil"/>
              <w:bottom w:val="single" w:sz="4" w:space="0" w:color="auto"/>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64,152</w:t>
            </w:r>
          </w:p>
        </w:tc>
        <w:tc>
          <w:tcPr>
            <w:tcW w:w="909" w:type="dxa"/>
            <w:tcBorders>
              <w:top w:val="nil"/>
              <w:left w:val="nil"/>
              <w:bottom w:val="single" w:sz="4" w:space="0" w:color="auto"/>
              <w:right w:val="nil"/>
            </w:tcBorders>
            <w:vAlign w:val="bottom"/>
          </w:tcPr>
          <w:p w:rsidR="00B37285" w:rsidRPr="00B37285" w:rsidRDefault="00B37285" w:rsidP="00B37285">
            <w:pPr>
              <w:keepNext/>
              <w:autoSpaceDE w:val="0"/>
              <w:autoSpaceDN w:val="0"/>
              <w:adjustRightInd w:val="0"/>
              <w:spacing w:after="0" w:line="240" w:lineRule="auto"/>
              <w:jc w:val="right"/>
              <w:rPr>
                <w:rFonts w:ascii="Arial" w:hAnsi="Arial" w:cs="Arial"/>
                <w:sz w:val="16"/>
                <w:szCs w:val="16"/>
              </w:rPr>
            </w:pPr>
            <w:r w:rsidRPr="00B37285">
              <w:rPr>
                <w:rFonts w:ascii="Arial" w:hAnsi="Arial" w:cs="Arial"/>
                <w:sz w:val="16"/>
                <w:szCs w:val="16"/>
              </w:rPr>
              <w:t>69,284</w:t>
            </w:r>
          </w:p>
        </w:tc>
      </w:tr>
    </w:tbl>
    <w:p w:rsidR="00737E8F" w:rsidRPr="00EE1AB7" w:rsidRDefault="00737E8F" w:rsidP="00737E8F"/>
    <w:p w:rsidR="00737E8F" w:rsidRDefault="00737E8F" w:rsidP="00737E8F">
      <w:pPr>
        <w:pStyle w:val="Heading2"/>
      </w:pPr>
      <w:r>
        <w:br w:type="page"/>
      </w:r>
      <w:r>
        <w:lastRenderedPageBreak/>
        <w:t>Section 3: Explanatory tables and budgeted financial statements</w:t>
      </w:r>
    </w:p>
    <w:p w:rsidR="00737E8F" w:rsidRPr="009C7F86" w:rsidRDefault="00737E8F" w:rsidP="00737E8F">
      <w:r>
        <w:t xml:space="preserve">Section 3 presents explanatory tables and budgeted financial statements that provide a comprehensive snapshot of agency finances for the 2013–14 budget </w:t>
      </w:r>
      <w:proofErr w:type="gramStart"/>
      <w:r>
        <w:t>year</w:t>
      </w:r>
      <w:proofErr w:type="gramEnd"/>
      <w:r>
        <w:t>. It explains how budget plans are incorporated into the financial statements and provides further details of the reconciliation between appropriations and program expenses, movements in administered funds, special accounts and government Indigenous expenditure.</w:t>
      </w:r>
    </w:p>
    <w:p w:rsidR="00737E8F" w:rsidRPr="00AD1D92" w:rsidRDefault="00737E8F" w:rsidP="00737E8F">
      <w:pPr>
        <w:pStyle w:val="Heading3"/>
      </w:pPr>
      <w:r w:rsidRPr="00AD1D92">
        <w:t>3.1</w:t>
      </w:r>
      <w:r w:rsidRPr="00AD1D92">
        <w:tab/>
        <w:t>Explanatory tables</w:t>
      </w:r>
    </w:p>
    <w:p w:rsidR="00737E8F" w:rsidRDefault="00737E8F" w:rsidP="00737E8F">
      <w:pPr>
        <w:pStyle w:val="Heading4"/>
      </w:pPr>
      <w:r>
        <w:t>3.1.1</w:t>
      </w:r>
      <w:r>
        <w:tab/>
        <w:t>Movement of administered funds between years</w:t>
      </w:r>
    </w:p>
    <w:p w:rsidR="00737E8F" w:rsidRDefault="003B01E7" w:rsidP="00737E8F">
      <w:r w:rsidRPr="003B01E7">
        <w:t>WGEA does not have any administered expenses.</w:t>
      </w:r>
    </w:p>
    <w:p w:rsidR="00737E8F" w:rsidRPr="0088503F" w:rsidRDefault="00737E8F" w:rsidP="00737E8F">
      <w:pPr>
        <w:pStyle w:val="Heading4"/>
      </w:pPr>
      <w:r>
        <w:t>3.1.2</w:t>
      </w:r>
      <w:r>
        <w:tab/>
        <w:t>S</w:t>
      </w:r>
      <w:r w:rsidRPr="0088503F">
        <w:t xml:space="preserve">pecial </w:t>
      </w:r>
      <w:r w:rsidR="004E5764">
        <w:t>account</w:t>
      </w:r>
    </w:p>
    <w:p w:rsidR="00737E8F" w:rsidRDefault="003B01E7" w:rsidP="00737E8F">
      <w:r w:rsidRPr="003B01E7">
        <w:t>WGEA does not have any special accounts.</w:t>
      </w:r>
    </w:p>
    <w:p w:rsidR="00737E8F" w:rsidRPr="00C05025" w:rsidRDefault="00737E8F" w:rsidP="00737E8F">
      <w:pPr>
        <w:pStyle w:val="Heading4"/>
      </w:pPr>
      <w:r w:rsidRPr="00C05025">
        <w:t>3.1.3</w:t>
      </w:r>
      <w:r w:rsidRPr="00C05025">
        <w:tab/>
        <w:t>Australian Government Indigenous Expenditure</w:t>
      </w:r>
    </w:p>
    <w:p w:rsidR="00737E8F" w:rsidRDefault="003B01E7" w:rsidP="00737E8F">
      <w:r w:rsidRPr="003B01E7">
        <w:t>WGEA does not have any indigenous-specific expenditure.</w:t>
      </w:r>
    </w:p>
    <w:p w:rsidR="00737E8F" w:rsidRDefault="00737E8F" w:rsidP="00C64CE0">
      <w:pPr>
        <w:pStyle w:val="Heading3"/>
      </w:pPr>
      <w:r>
        <w:t>3.2</w:t>
      </w:r>
      <w:r>
        <w:tab/>
      </w:r>
      <w:r w:rsidRPr="00C64CE0">
        <w:t>Budgeted</w:t>
      </w:r>
      <w:r>
        <w:t xml:space="preserve"> financial statements</w:t>
      </w:r>
    </w:p>
    <w:p w:rsidR="00737E8F" w:rsidRDefault="00737E8F" w:rsidP="00737E8F">
      <w:pPr>
        <w:pStyle w:val="Heading4"/>
      </w:pPr>
      <w:r>
        <w:t>3.2.1</w:t>
      </w:r>
      <w:r>
        <w:tab/>
        <w:t>Differences in agency resourcing and financial statements</w:t>
      </w:r>
    </w:p>
    <w:p w:rsidR="00737E8F" w:rsidRPr="00C05025" w:rsidRDefault="003B01E7" w:rsidP="00737E8F">
      <w:r w:rsidRPr="003B01E7">
        <w:t>Table 3.2.1 recognises the full year revenue for 2013–14 on the basis of accrual accounting principles.</w:t>
      </w:r>
    </w:p>
    <w:p w:rsidR="00737E8F" w:rsidRDefault="00737E8F" w:rsidP="00737E8F">
      <w:pPr>
        <w:pStyle w:val="Heading4"/>
        <w:rPr>
          <w:snapToGrid w:val="0"/>
        </w:rPr>
      </w:pPr>
      <w:r>
        <w:rPr>
          <w:snapToGrid w:val="0"/>
        </w:rPr>
        <w:lastRenderedPageBreak/>
        <w:t>3.2.</w:t>
      </w:r>
      <w:r w:rsidR="003B01E7">
        <w:rPr>
          <w:snapToGrid w:val="0"/>
        </w:rPr>
        <w:t>2</w:t>
      </w:r>
      <w:r>
        <w:rPr>
          <w:snapToGrid w:val="0"/>
        </w:rPr>
        <w:tab/>
        <w:t>Budgeted financial statements tables</w:t>
      </w:r>
    </w:p>
    <w:p w:rsidR="00737E8F" w:rsidRDefault="00737E8F" w:rsidP="00737E8F">
      <w:pPr>
        <w:pStyle w:val="TableHeading"/>
        <w:spacing w:before="0"/>
      </w:pPr>
      <w:r>
        <w:t>Table 3.2.1: Comprehensive income statement (showing net cost of services</w:t>
      </w:r>
      <w:r w:rsidR="003F4B01">
        <w:t xml:space="preserve">) </w:t>
      </w:r>
      <w:r>
        <w:br/>
        <w:t>(</w:t>
      </w:r>
      <w:r w:rsidRPr="00C61513">
        <w:t>for the period ended 30 June</w:t>
      </w:r>
      <w:r w:rsidR="00B20EE2">
        <w:t>)</w:t>
      </w:r>
    </w:p>
    <w:p w:rsidR="00737E8F" w:rsidRPr="00DE604F" w:rsidRDefault="0054626E" w:rsidP="00737E8F">
      <w:pPr>
        <w:pStyle w:val="TableGraphic"/>
      </w:pPr>
      <w:r>
        <w:rPr>
          <w:noProof/>
        </w:rPr>
        <w:drawing>
          <wp:inline distT="0" distB="0" distL="0" distR="0" wp14:anchorId="51F153E3" wp14:editId="322C1617">
            <wp:extent cx="4878705" cy="6340418"/>
            <wp:effectExtent l="0" t="0" r="0" b="3810"/>
            <wp:docPr id="254" name="Picture 254" descr="Table 3.2.1: Comprehensive income statement (showing net cost of services) &#10;(for the period ended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878705" cy="6340418"/>
                    </a:xfrm>
                    <a:prstGeom prst="rect">
                      <a:avLst/>
                    </a:prstGeom>
                    <a:noFill/>
                    <a:ln>
                      <a:noFill/>
                    </a:ln>
                  </pic:spPr>
                </pic:pic>
              </a:graphicData>
            </a:graphic>
          </wp:inline>
        </w:drawing>
      </w:r>
    </w:p>
    <w:p w:rsidR="00737E8F" w:rsidRDefault="00737E8F" w:rsidP="00737E8F">
      <w:pPr>
        <w:pStyle w:val="TableHeading"/>
        <w:spacing w:before="0" w:after="0"/>
      </w:pPr>
      <w:r w:rsidRPr="0061699A">
        <w:rPr>
          <w:b w:val="0"/>
        </w:rPr>
        <w:br w:type="page"/>
      </w:r>
      <w:r w:rsidRPr="008B191A">
        <w:lastRenderedPageBreak/>
        <w:t>Table 3.2.2: Budgeted departmental balance sheet (as at 30 June</w:t>
      </w:r>
      <w:r w:rsidRPr="000367BE">
        <w:t>)</w:t>
      </w:r>
    </w:p>
    <w:p w:rsidR="00737E8F" w:rsidRPr="000367BE" w:rsidRDefault="0054626E" w:rsidP="00737E8F">
      <w:pPr>
        <w:pStyle w:val="TableGraphic"/>
      </w:pPr>
      <w:r>
        <w:rPr>
          <w:noProof/>
        </w:rPr>
        <w:drawing>
          <wp:inline distT="0" distB="0" distL="0" distR="0" wp14:anchorId="6058360A" wp14:editId="331DF4A0">
            <wp:extent cx="4878705" cy="5021080"/>
            <wp:effectExtent l="0" t="0" r="0" b="8255"/>
            <wp:docPr id="256" name="Picture 256" descr="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878705" cy="5021080"/>
                    </a:xfrm>
                    <a:prstGeom prst="rect">
                      <a:avLst/>
                    </a:prstGeom>
                    <a:noFill/>
                    <a:ln>
                      <a:noFill/>
                    </a:ln>
                  </pic:spPr>
                </pic:pic>
              </a:graphicData>
            </a:graphic>
          </wp:inline>
        </w:drawing>
      </w:r>
    </w:p>
    <w:p w:rsidR="00737E8F" w:rsidRDefault="00737E8F" w:rsidP="00737E8F">
      <w:pPr>
        <w:pStyle w:val="TableHeading"/>
      </w:pPr>
      <w:r>
        <w:rPr>
          <w:highlight w:val="yellow"/>
        </w:rPr>
        <w:br w:type="page"/>
      </w:r>
      <w:r w:rsidRPr="009402BE">
        <w:lastRenderedPageBreak/>
        <w:t>Table 3.2.3: Departmental statement of changes in equity</w:t>
      </w:r>
      <w:r w:rsidR="00CC6014">
        <w:t xml:space="preserve"> – </w:t>
      </w:r>
      <w:r w:rsidRPr="009402BE">
        <w:t>summary of movement (</w:t>
      </w:r>
      <w:r>
        <w:t>b</w:t>
      </w:r>
      <w:r w:rsidRPr="009402BE">
        <w:t xml:space="preserve">udget year </w:t>
      </w:r>
      <w:r w:rsidRPr="00892823">
        <w:t>201</w:t>
      </w:r>
      <w:r>
        <w:t>3–</w:t>
      </w:r>
      <w:r w:rsidRPr="00892823">
        <w:t>1</w:t>
      </w:r>
      <w:r>
        <w:t>4</w:t>
      </w:r>
      <w:r w:rsidRPr="009402BE">
        <w:t>)</w:t>
      </w:r>
    </w:p>
    <w:p w:rsidR="00737E8F" w:rsidRPr="00AF7454" w:rsidRDefault="0054626E" w:rsidP="00737E8F">
      <w:pPr>
        <w:pStyle w:val="TableGraphic"/>
      </w:pPr>
      <w:r>
        <w:rPr>
          <w:noProof/>
        </w:rPr>
        <w:drawing>
          <wp:inline distT="0" distB="0" distL="0" distR="0" wp14:anchorId="1F3E738C" wp14:editId="39E37809">
            <wp:extent cx="4878705" cy="2372911"/>
            <wp:effectExtent l="0" t="0" r="0" b="8890"/>
            <wp:docPr id="257" name="Picture 257" descr="Table 3.2.3: Departmental statement of changes in equity – summary of movement (budget yea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878705" cy="2372911"/>
                    </a:xfrm>
                    <a:prstGeom prst="rect">
                      <a:avLst/>
                    </a:prstGeom>
                    <a:noFill/>
                    <a:ln>
                      <a:noFill/>
                    </a:ln>
                  </pic:spPr>
                </pic:pic>
              </a:graphicData>
            </a:graphic>
          </wp:inline>
        </w:drawing>
      </w:r>
    </w:p>
    <w:p w:rsidR="00737E8F" w:rsidRDefault="00737E8F" w:rsidP="00737E8F">
      <w:pPr>
        <w:pStyle w:val="TableHeading"/>
      </w:pPr>
      <w:r>
        <w:br w:type="page"/>
      </w:r>
      <w:r w:rsidRPr="009402BE">
        <w:lastRenderedPageBreak/>
        <w:t>Table 3.2.4: Budgeted departmental statement of cash flows (</w:t>
      </w:r>
      <w:r>
        <w:t xml:space="preserve">for the period ended </w:t>
      </w:r>
      <w:r w:rsidRPr="009402BE">
        <w:t>30 June)</w:t>
      </w:r>
    </w:p>
    <w:p w:rsidR="00737E8F" w:rsidRDefault="0054626E" w:rsidP="00737E8F">
      <w:pPr>
        <w:pStyle w:val="TableGraphic"/>
        <w:rPr>
          <w:snapToGrid w:val="0"/>
        </w:rPr>
      </w:pPr>
      <w:r>
        <w:rPr>
          <w:noProof/>
        </w:rPr>
        <w:drawing>
          <wp:inline distT="0" distB="0" distL="0" distR="0" wp14:anchorId="6680B142" wp14:editId="721D0F75">
            <wp:extent cx="4878705" cy="5304173"/>
            <wp:effectExtent l="0" t="0" r="0" b="0"/>
            <wp:docPr id="258" name="Picture 258" descr="Table 3.2.4: Budgeted departmental statement of cash flow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878705" cy="5304173"/>
                    </a:xfrm>
                    <a:prstGeom prst="rect">
                      <a:avLst/>
                    </a:prstGeom>
                    <a:noFill/>
                    <a:ln>
                      <a:noFill/>
                    </a:ln>
                  </pic:spPr>
                </pic:pic>
              </a:graphicData>
            </a:graphic>
          </wp:inline>
        </w:drawing>
      </w:r>
    </w:p>
    <w:p w:rsidR="00737E8F" w:rsidRDefault="00737E8F" w:rsidP="00737E8F">
      <w:pPr>
        <w:pStyle w:val="TableHeading"/>
      </w:pPr>
      <w:r>
        <w:rPr>
          <w:snapToGrid w:val="0"/>
        </w:rPr>
        <w:br w:type="page"/>
      </w:r>
      <w:r w:rsidRPr="0033343C">
        <w:lastRenderedPageBreak/>
        <w:t>Table 3.2.5</w:t>
      </w:r>
      <w:r>
        <w:t>:</w:t>
      </w:r>
      <w:r w:rsidRPr="0033343C">
        <w:t xml:space="preserve"> Departmental </w:t>
      </w:r>
      <w:r>
        <w:t>c</w:t>
      </w:r>
      <w:r w:rsidRPr="0033343C">
        <w:t xml:space="preserve">apital </w:t>
      </w:r>
      <w:r>
        <w:t>b</w:t>
      </w:r>
      <w:r w:rsidRPr="0033343C">
        <w:t xml:space="preserve">udget </w:t>
      </w:r>
      <w:r>
        <w:t>s</w:t>
      </w:r>
      <w:r w:rsidRPr="0033343C">
        <w:t>tatement</w:t>
      </w:r>
    </w:p>
    <w:p w:rsidR="00737E8F" w:rsidRPr="0061699A" w:rsidRDefault="0054626E" w:rsidP="00737E8F">
      <w:pPr>
        <w:pStyle w:val="TableGraphic"/>
      </w:pPr>
      <w:r>
        <w:rPr>
          <w:noProof/>
        </w:rPr>
        <w:drawing>
          <wp:inline distT="0" distB="0" distL="0" distR="0" wp14:anchorId="5FE6FD94" wp14:editId="3B9AFD31">
            <wp:extent cx="4878705" cy="4022792"/>
            <wp:effectExtent l="0" t="0" r="0" b="0"/>
            <wp:docPr id="260" name="Picture 260" descr="Table 3.2.5: Departmental capital budge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878705" cy="4022792"/>
                    </a:xfrm>
                    <a:prstGeom prst="rect">
                      <a:avLst/>
                    </a:prstGeom>
                    <a:noFill/>
                    <a:ln>
                      <a:noFill/>
                    </a:ln>
                  </pic:spPr>
                </pic:pic>
              </a:graphicData>
            </a:graphic>
          </wp:inline>
        </w:drawing>
      </w:r>
    </w:p>
    <w:p w:rsidR="00737E8F" w:rsidRDefault="00737E8F" w:rsidP="00737E8F">
      <w:pPr>
        <w:pStyle w:val="TableHeading"/>
        <w:rPr>
          <w:snapToGrid w:val="0"/>
        </w:rPr>
      </w:pPr>
      <w:r>
        <w:rPr>
          <w:snapToGrid w:val="0"/>
        </w:rPr>
        <w:br w:type="page"/>
      </w:r>
      <w:r w:rsidRPr="0033343C">
        <w:rPr>
          <w:snapToGrid w:val="0"/>
        </w:rPr>
        <w:lastRenderedPageBreak/>
        <w:t>Table 3.2.6:</w:t>
      </w:r>
      <w:r>
        <w:rPr>
          <w:snapToGrid w:val="0"/>
        </w:rPr>
        <w:t xml:space="preserve"> </w:t>
      </w:r>
      <w:r w:rsidRPr="0033343C">
        <w:rPr>
          <w:snapToGrid w:val="0"/>
        </w:rPr>
        <w:t xml:space="preserve">Statement of </w:t>
      </w:r>
      <w:r>
        <w:rPr>
          <w:snapToGrid w:val="0"/>
        </w:rPr>
        <w:t>a</w:t>
      </w:r>
      <w:r w:rsidRPr="0033343C">
        <w:rPr>
          <w:snapToGrid w:val="0"/>
        </w:rPr>
        <w:t xml:space="preserve">sset </w:t>
      </w:r>
      <w:r>
        <w:rPr>
          <w:snapToGrid w:val="0"/>
        </w:rPr>
        <w:t>m</w:t>
      </w:r>
      <w:r w:rsidRPr="0033343C">
        <w:rPr>
          <w:snapToGrid w:val="0"/>
        </w:rPr>
        <w:t>ovements (</w:t>
      </w:r>
      <w:r>
        <w:rPr>
          <w:snapToGrid w:val="0"/>
        </w:rPr>
        <w:t>2013–</w:t>
      </w:r>
      <w:r w:rsidRPr="00892823">
        <w:rPr>
          <w:snapToGrid w:val="0"/>
        </w:rPr>
        <w:t>1</w:t>
      </w:r>
      <w:r>
        <w:rPr>
          <w:snapToGrid w:val="0"/>
        </w:rPr>
        <w:t>4</w:t>
      </w:r>
      <w:r w:rsidRPr="0033343C">
        <w:rPr>
          <w:snapToGrid w:val="0"/>
        </w:rPr>
        <w:t>)</w:t>
      </w:r>
    </w:p>
    <w:p w:rsidR="00737E8F" w:rsidRPr="00935871" w:rsidRDefault="0054626E" w:rsidP="00737E8F">
      <w:pPr>
        <w:pStyle w:val="TableGraphic"/>
        <w:rPr>
          <w:highlight w:val="yellow"/>
        </w:rPr>
      </w:pPr>
      <w:r>
        <w:rPr>
          <w:noProof/>
        </w:rPr>
        <w:drawing>
          <wp:inline distT="0" distB="0" distL="0" distR="0" wp14:anchorId="43F02641" wp14:editId="6EF86334">
            <wp:extent cx="4878705" cy="3442673"/>
            <wp:effectExtent l="0" t="0" r="0" b="5715"/>
            <wp:docPr id="261" name="Picture 261" descr="Table 3.2.6: Statement of asset movements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878705" cy="3442673"/>
                    </a:xfrm>
                    <a:prstGeom prst="rect">
                      <a:avLst/>
                    </a:prstGeom>
                    <a:noFill/>
                    <a:ln>
                      <a:noFill/>
                    </a:ln>
                  </pic:spPr>
                </pic:pic>
              </a:graphicData>
            </a:graphic>
          </wp:inline>
        </w:drawing>
      </w:r>
    </w:p>
    <w:p w:rsidR="00737E8F" w:rsidRPr="00710FF0" w:rsidRDefault="00737E8F" w:rsidP="00737E8F">
      <w:pPr>
        <w:pStyle w:val="SinglePara"/>
        <w:rPr>
          <w:snapToGrid w:val="0"/>
        </w:rPr>
      </w:pPr>
    </w:p>
    <w:p w:rsidR="00737E8F" w:rsidRDefault="00737E8F" w:rsidP="00737E8F">
      <w:pPr>
        <w:pStyle w:val="Heading4"/>
        <w:spacing w:before="360"/>
      </w:pPr>
      <w:r>
        <w:br w:type="page"/>
      </w:r>
      <w:r>
        <w:lastRenderedPageBreak/>
        <w:t>3.2.3</w:t>
      </w:r>
      <w:r>
        <w:tab/>
      </w:r>
      <w:r w:rsidRPr="00AD1D92">
        <w:t xml:space="preserve">Notes to the financial statements </w:t>
      </w:r>
    </w:p>
    <w:p w:rsidR="00737E8F" w:rsidRDefault="00737E8F" w:rsidP="007C6B28">
      <w:pPr>
        <w:pStyle w:val="Heading5"/>
      </w:pPr>
      <w:r>
        <w:t>Accounting policies</w:t>
      </w:r>
    </w:p>
    <w:p w:rsidR="003B01E7" w:rsidRDefault="003B01E7" w:rsidP="003B01E7">
      <w:pPr>
        <w:pStyle w:val="BulletIntro"/>
      </w:pPr>
      <w:r>
        <w:t>The agency budget statements have been prepared on an accrual accounting basis, having regard to the Statement of Accounting Concepts, and in accordance with:</w:t>
      </w:r>
    </w:p>
    <w:p w:rsidR="003B01E7" w:rsidRDefault="003B01E7" w:rsidP="003B01E7">
      <w:pPr>
        <w:pStyle w:val="Bullet"/>
      </w:pPr>
      <w:r>
        <w:t>The Finance Minister’s Orders</w:t>
      </w:r>
    </w:p>
    <w:p w:rsidR="00737E8F" w:rsidRPr="00CF29B7" w:rsidRDefault="003B01E7" w:rsidP="003B01E7">
      <w:pPr>
        <w:pStyle w:val="BulletLast"/>
      </w:pPr>
      <w:r>
        <w:t>Australian Accounting Standards and Interpretations issued by the Australian Accounting Standards Board.</w:t>
      </w:r>
    </w:p>
    <w:p w:rsidR="00737E8F" w:rsidRDefault="00737E8F" w:rsidP="007C6B28">
      <w:pPr>
        <w:pStyle w:val="Heading5"/>
      </w:pPr>
      <w:r>
        <w:t>Asset valuation</w:t>
      </w:r>
    </w:p>
    <w:p w:rsidR="00737E8F" w:rsidRDefault="003B01E7" w:rsidP="00737E8F">
      <w:r w:rsidRPr="003B01E7">
        <w:t xml:space="preserve">All assets are initially recorded at cost. Property, plant and equipment and other infrastructure assets are periodically </w:t>
      </w:r>
      <w:proofErr w:type="spellStart"/>
      <w:r w:rsidRPr="003B01E7">
        <w:t>revalued</w:t>
      </w:r>
      <w:proofErr w:type="spellEnd"/>
      <w:r w:rsidRPr="003B01E7">
        <w:t xml:space="preserve"> at their fair value.</w:t>
      </w:r>
    </w:p>
    <w:p w:rsidR="00F3759F" w:rsidRPr="00554D3E" w:rsidRDefault="00F3759F" w:rsidP="00554D3E"/>
    <w:p w:rsidR="00B44518" w:rsidRDefault="00B44518" w:rsidP="004E2ADB">
      <w:pPr>
        <w:pStyle w:val="Heading1"/>
        <w:sectPr w:rsidR="00B44518" w:rsidSect="00D7542D">
          <w:headerReference w:type="even" r:id="rId215"/>
          <w:headerReference w:type="default" r:id="rId216"/>
          <w:type w:val="oddPage"/>
          <w:pgSz w:w="11907" w:h="16840" w:code="9"/>
          <w:pgMar w:top="2466" w:right="2126" w:bottom="2466" w:left="2098" w:header="1899" w:footer="1899" w:gutter="0"/>
          <w:cols w:space="708"/>
          <w:titlePg/>
          <w:docGrid w:linePitch="360"/>
        </w:sectPr>
      </w:pPr>
    </w:p>
    <w:p w:rsidR="007452AA" w:rsidRPr="00D2550C" w:rsidRDefault="007452AA" w:rsidP="00484CB3">
      <w:pPr>
        <w:pStyle w:val="Heading1"/>
      </w:pPr>
      <w:r w:rsidRPr="00D2550C">
        <w:lastRenderedPageBreak/>
        <w:t>Glossary</w:t>
      </w:r>
    </w:p>
    <w:tbl>
      <w:tblPr>
        <w:tblW w:w="0" w:type="auto"/>
        <w:tblInd w:w="108" w:type="dxa"/>
        <w:tblLook w:val="01E0" w:firstRow="1" w:lastRow="1" w:firstColumn="1" w:lastColumn="1" w:noHBand="0" w:noVBand="0"/>
      </w:tblPr>
      <w:tblGrid>
        <w:gridCol w:w="2700"/>
        <w:gridCol w:w="5011"/>
      </w:tblGrid>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a</w:t>
            </w:r>
            <w:r w:rsidR="007452AA" w:rsidRPr="00D2550C">
              <w:rPr>
                <w:sz w:val="20"/>
                <w:szCs w:val="20"/>
              </w:rPr>
              <w:t>ccrual accounting</w:t>
            </w:r>
          </w:p>
        </w:tc>
        <w:tc>
          <w:tcPr>
            <w:tcW w:w="5011" w:type="dxa"/>
          </w:tcPr>
          <w:p w:rsidR="007452AA" w:rsidRPr="00D2550C" w:rsidRDefault="007452AA">
            <w:pPr>
              <w:pStyle w:val="TableTextNormal"/>
              <w:jc w:val="left"/>
              <w:rPr>
                <w:sz w:val="20"/>
                <w:szCs w:val="20"/>
              </w:rPr>
            </w:pPr>
            <w:r w:rsidRPr="00D2550C">
              <w:rPr>
                <w:sz w:val="20"/>
                <w:szCs w:val="20"/>
              </w:rPr>
              <w:t>System of accounting in which items are brought to account and included in the financial statements as they are earned or incurred, rather than as they are received or paid.</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a</w:t>
            </w:r>
            <w:r w:rsidR="007452AA" w:rsidRPr="00D2550C">
              <w:rPr>
                <w:sz w:val="20"/>
                <w:szCs w:val="20"/>
              </w:rPr>
              <w:t xml:space="preserve">dditional </w:t>
            </w:r>
            <w:r>
              <w:rPr>
                <w:sz w:val="20"/>
                <w:szCs w:val="20"/>
              </w:rPr>
              <w:t>e</w:t>
            </w:r>
            <w:r w:rsidR="007452AA" w:rsidRPr="00D2550C">
              <w:rPr>
                <w:sz w:val="20"/>
                <w:szCs w:val="20"/>
              </w:rPr>
              <w:t xml:space="preserve">stimates </w:t>
            </w:r>
          </w:p>
        </w:tc>
        <w:tc>
          <w:tcPr>
            <w:tcW w:w="5011" w:type="dxa"/>
          </w:tcPr>
          <w:p w:rsidR="007452AA" w:rsidRPr="00D2550C" w:rsidRDefault="007452AA">
            <w:pPr>
              <w:pStyle w:val="TableTextNormal"/>
              <w:jc w:val="left"/>
              <w:rPr>
                <w:sz w:val="20"/>
                <w:szCs w:val="20"/>
              </w:rPr>
            </w:pPr>
            <w:r w:rsidRPr="00D2550C">
              <w:rPr>
                <w:sz w:val="20"/>
                <w:szCs w:val="20"/>
              </w:rPr>
              <w:t xml:space="preserve">Where amounts appropriated at </w:t>
            </w:r>
            <w:r w:rsidR="00EF43B1">
              <w:rPr>
                <w:sz w:val="20"/>
                <w:szCs w:val="20"/>
              </w:rPr>
              <w:t>b</w:t>
            </w:r>
            <w:r w:rsidRPr="00D2550C">
              <w:rPr>
                <w:sz w:val="20"/>
                <w:szCs w:val="20"/>
              </w:rPr>
              <w:t xml:space="preserve">udget time are insufficient, Parliament may appropriate more funds to portfolios through the Additional Estimates Acts. </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a</w:t>
            </w:r>
            <w:r w:rsidR="007452AA" w:rsidRPr="00D2550C">
              <w:rPr>
                <w:sz w:val="20"/>
                <w:szCs w:val="20"/>
              </w:rPr>
              <w:t>dministered funds</w:t>
            </w:r>
          </w:p>
        </w:tc>
        <w:tc>
          <w:tcPr>
            <w:tcW w:w="5011" w:type="dxa"/>
          </w:tcPr>
          <w:p w:rsidR="007452AA" w:rsidRPr="00D2550C" w:rsidRDefault="007452AA">
            <w:pPr>
              <w:pStyle w:val="TableTextNormal"/>
              <w:jc w:val="left"/>
              <w:rPr>
                <w:sz w:val="20"/>
                <w:szCs w:val="20"/>
              </w:rPr>
            </w:pPr>
            <w:r w:rsidRPr="00D2550C">
              <w:rPr>
                <w:sz w:val="20"/>
                <w:szCs w:val="20"/>
              </w:rPr>
              <w:t>Usually, the funds or expenses an agency manages on behalf of the Government.</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a</w:t>
            </w:r>
            <w:r w:rsidR="007452AA" w:rsidRPr="00D2550C">
              <w:rPr>
                <w:sz w:val="20"/>
                <w:szCs w:val="20"/>
              </w:rPr>
              <w:t>dministered items</w:t>
            </w:r>
          </w:p>
        </w:tc>
        <w:tc>
          <w:tcPr>
            <w:tcW w:w="5011" w:type="dxa"/>
          </w:tcPr>
          <w:p w:rsidR="007452AA" w:rsidRPr="00D2550C" w:rsidRDefault="007452AA">
            <w:pPr>
              <w:pStyle w:val="TableTextNormal"/>
              <w:jc w:val="left"/>
              <w:rPr>
                <w:sz w:val="20"/>
                <w:szCs w:val="20"/>
              </w:rPr>
            </w:pPr>
            <w:r w:rsidRPr="00D2550C">
              <w:rPr>
                <w:sz w:val="20"/>
                <w:szCs w:val="20"/>
              </w:rPr>
              <w:t>Appropriation that consists of funding managed on behalf of the Commonwealth. This funding is not at the discretion of the agency, and any unspent appropriation is returned to the Consolidated Revenue Fund (CRF) at the end of the financial year. An administered item is a component of an administered program. It may be a measure but will not constitute a program in its own right.</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a</w:t>
            </w:r>
            <w:r w:rsidR="007452AA" w:rsidRPr="00D2550C">
              <w:rPr>
                <w:sz w:val="20"/>
                <w:szCs w:val="20"/>
              </w:rPr>
              <w:t>nnual appropriation</w:t>
            </w:r>
          </w:p>
        </w:tc>
        <w:tc>
          <w:tcPr>
            <w:tcW w:w="5011" w:type="dxa"/>
          </w:tcPr>
          <w:p w:rsidR="007452AA" w:rsidRPr="00D2550C" w:rsidRDefault="007452AA">
            <w:pPr>
              <w:pStyle w:val="TableTextNormal"/>
              <w:jc w:val="left"/>
              <w:rPr>
                <w:sz w:val="20"/>
                <w:szCs w:val="20"/>
              </w:rPr>
            </w:pPr>
            <w:r w:rsidRPr="00D2550C">
              <w:rPr>
                <w:sz w:val="20"/>
                <w:szCs w:val="20"/>
              </w:rPr>
              <w:t>Two appropriation Bills are introduced into Parliament in May and comprise the Budget. Further Bills are introduced later in the financial year as part of the additional estimates. Parliamentary departments have their own appropriations.</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a</w:t>
            </w:r>
            <w:r w:rsidR="007452AA" w:rsidRPr="00D2550C">
              <w:rPr>
                <w:sz w:val="20"/>
                <w:szCs w:val="20"/>
              </w:rPr>
              <w:t>ppropriation</w:t>
            </w:r>
          </w:p>
        </w:tc>
        <w:tc>
          <w:tcPr>
            <w:tcW w:w="5011" w:type="dxa"/>
          </w:tcPr>
          <w:p w:rsidR="007452AA" w:rsidRPr="00D2550C" w:rsidRDefault="007452AA">
            <w:pPr>
              <w:pStyle w:val="TableTextNormal"/>
              <w:jc w:val="left"/>
              <w:rPr>
                <w:sz w:val="20"/>
                <w:szCs w:val="20"/>
              </w:rPr>
            </w:pPr>
            <w:r w:rsidRPr="00D2550C">
              <w:rPr>
                <w:sz w:val="20"/>
                <w:szCs w:val="20"/>
              </w:rPr>
              <w:t xml:space="preserve">An amount of public money parliament authorises for spending (i.e. funds to be withdrawn from the CRF). Parliament makes laws for appropriating money under the Annual Appropriation Acts and under special appropriations, with spending restricted to the purposes specified in the Appropriation Acts. </w:t>
            </w:r>
          </w:p>
        </w:tc>
      </w:tr>
      <w:tr w:rsidR="007452AA" w:rsidRPr="00D2550C" w:rsidTr="008A3A4E">
        <w:trPr>
          <w:cantSplit/>
        </w:trPr>
        <w:tc>
          <w:tcPr>
            <w:tcW w:w="2700" w:type="dxa"/>
          </w:tcPr>
          <w:p w:rsidR="007452AA" w:rsidRPr="00D2550C" w:rsidRDefault="007452AA">
            <w:pPr>
              <w:pStyle w:val="TableTextNormal"/>
              <w:jc w:val="left"/>
              <w:rPr>
                <w:sz w:val="20"/>
                <w:szCs w:val="20"/>
              </w:rPr>
            </w:pPr>
            <w:r w:rsidRPr="00D2550C">
              <w:rPr>
                <w:sz w:val="20"/>
                <w:szCs w:val="20"/>
              </w:rPr>
              <w:t>Appropriation Bill (No. 1)</w:t>
            </w:r>
          </w:p>
        </w:tc>
        <w:tc>
          <w:tcPr>
            <w:tcW w:w="5011" w:type="dxa"/>
          </w:tcPr>
          <w:p w:rsidR="007452AA" w:rsidRPr="00D2550C" w:rsidRDefault="007452AA">
            <w:pPr>
              <w:pStyle w:val="TableTextNormal"/>
              <w:jc w:val="left"/>
              <w:rPr>
                <w:sz w:val="20"/>
                <w:szCs w:val="20"/>
              </w:rPr>
            </w:pPr>
            <w:r w:rsidRPr="00D2550C">
              <w:rPr>
                <w:sz w:val="20"/>
                <w:szCs w:val="20"/>
              </w:rPr>
              <w:t>This Bill proposes spending from the CRF for the ordinary annual services of Government. Once the Bill is passed by Parliament and given Royal Assent, it becomes the Appropriation Act (No. 1).</w:t>
            </w:r>
          </w:p>
        </w:tc>
      </w:tr>
      <w:tr w:rsidR="007452AA" w:rsidRPr="00D2550C" w:rsidTr="008A3A4E">
        <w:trPr>
          <w:cantSplit/>
        </w:trPr>
        <w:tc>
          <w:tcPr>
            <w:tcW w:w="2700" w:type="dxa"/>
          </w:tcPr>
          <w:p w:rsidR="007452AA" w:rsidRPr="00D2550C" w:rsidRDefault="007452AA">
            <w:pPr>
              <w:pStyle w:val="TableTextNormal"/>
              <w:jc w:val="left"/>
              <w:rPr>
                <w:sz w:val="20"/>
                <w:szCs w:val="20"/>
              </w:rPr>
            </w:pPr>
            <w:r w:rsidRPr="00D2550C">
              <w:rPr>
                <w:sz w:val="20"/>
                <w:szCs w:val="20"/>
              </w:rPr>
              <w:lastRenderedPageBreak/>
              <w:t>Appropriation Bill (No. 2)</w:t>
            </w:r>
          </w:p>
        </w:tc>
        <w:tc>
          <w:tcPr>
            <w:tcW w:w="5011" w:type="dxa"/>
          </w:tcPr>
          <w:p w:rsidR="007452AA" w:rsidRPr="00D2550C" w:rsidRDefault="007452AA">
            <w:pPr>
              <w:pStyle w:val="TableTextNormal"/>
              <w:jc w:val="left"/>
              <w:rPr>
                <w:sz w:val="20"/>
                <w:szCs w:val="20"/>
              </w:rPr>
            </w:pPr>
            <w:r w:rsidRPr="00D2550C">
              <w:rPr>
                <w:sz w:val="20"/>
                <w:szCs w:val="20"/>
              </w:rPr>
              <w:t xml:space="preserve">This Bill proposes spending from the CRF for purposes other than the ordinary annual services of Government. Under existing arrangements between the two Houses of Parliament (the ‘Compact’), this Bill includes appropriation funding of administered expenses for new outcomes, for payments to the states and territories, and for departmental or administered capital. Funding for extensions to existing programs can be included in Appropriation Bill (No. 1). Once the Bill is passed by Parliament and given Royal Assent, it becomes the Appropriation Act (No. 2). </w:t>
            </w:r>
          </w:p>
        </w:tc>
      </w:tr>
      <w:tr w:rsidR="007452AA" w:rsidRPr="00D2550C" w:rsidTr="008A3A4E">
        <w:trPr>
          <w:cantSplit/>
        </w:trPr>
        <w:tc>
          <w:tcPr>
            <w:tcW w:w="2700" w:type="dxa"/>
          </w:tcPr>
          <w:p w:rsidR="007452AA" w:rsidRPr="00D2550C" w:rsidRDefault="007452AA">
            <w:pPr>
              <w:pStyle w:val="TableTextNormal"/>
              <w:jc w:val="left"/>
              <w:rPr>
                <w:sz w:val="20"/>
                <w:szCs w:val="20"/>
              </w:rPr>
            </w:pPr>
            <w:r w:rsidRPr="00D2550C">
              <w:rPr>
                <w:sz w:val="20"/>
                <w:szCs w:val="20"/>
              </w:rPr>
              <w:t xml:space="preserve">Appropriation Bills (No. 3 and </w:t>
            </w:r>
            <w:r w:rsidR="00EF43B1">
              <w:rPr>
                <w:sz w:val="20"/>
                <w:szCs w:val="20"/>
              </w:rPr>
              <w:t xml:space="preserve">No. </w:t>
            </w:r>
            <w:r w:rsidRPr="00D2550C">
              <w:rPr>
                <w:sz w:val="20"/>
                <w:szCs w:val="20"/>
              </w:rPr>
              <w:t>4)</w:t>
            </w:r>
          </w:p>
        </w:tc>
        <w:tc>
          <w:tcPr>
            <w:tcW w:w="5011" w:type="dxa"/>
          </w:tcPr>
          <w:p w:rsidR="007452AA" w:rsidRPr="00D2550C" w:rsidRDefault="007452AA">
            <w:pPr>
              <w:pStyle w:val="TableTextNormal"/>
              <w:jc w:val="left"/>
              <w:rPr>
                <w:sz w:val="20"/>
                <w:szCs w:val="20"/>
              </w:rPr>
            </w:pPr>
            <w:r w:rsidRPr="00D2550C">
              <w:rPr>
                <w:sz w:val="20"/>
                <w:szCs w:val="20"/>
              </w:rPr>
              <w:t xml:space="preserve">If an amount provided in Appropriation Acts (No. 1 or </w:t>
            </w:r>
            <w:r w:rsidR="007B6625">
              <w:rPr>
                <w:sz w:val="20"/>
                <w:szCs w:val="20"/>
              </w:rPr>
              <w:t xml:space="preserve">No. </w:t>
            </w:r>
            <w:r w:rsidRPr="00D2550C">
              <w:rPr>
                <w:sz w:val="20"/>
                <w:szCs w:val="20"/>
              </w:rPr>
              <w:t xml:space="preserve">2) is not enough to meet approved expenditure to be paid in a financial year, supplementary appropriation may be sought in Appropriation Bills (No. 3 or </w:t>
            </w:r>
            <w:r w:rsidR="007B6625">
              <w:rPr>
                <w:sz w:val="20"/>
                <w:szCs w:val="20"/>
              </w:rPr>
              <w:t xml:space="preserve">No. </w:t>
            </w:r>
            <w:r w:rsidRPr="00D2550C">
              <w:rPr>
                <w:sz w:val="20"/>
                <w:szCs w:val="20"/>
              </w:rPr>
              <w:t>4). Once these Bills are passed by Parliament and given Royal Assent, they become the Appropriation Acts (No</w:t>
            </w:r>
            <w:r w:rsidR="007B6625">
              <w:rPr>
                <w:sz w:val="20"/>
                <w:szCs w:val="20"/>
              </w:rPr>
              <w:t>.</w:t>
            </w:r>
            <w:r w:rsidRPr="00D2550C">
              <w:rPr>
                <w:sz w:val="20"/>
                <w:szCs w:val="20"/>
              </w:rPr>
              <w:t xml:space="preserve"> 3 and </w:t>
            </w:r>
            <w:r w:rsidR="007B6625">
              <w:rPr>
                <w:sz w:val="20"/>
                <w:szCs w:val="20"/>
              </w:rPr>
              <w:t xml:space="preserve">No. </w:t>
            </w:r>
            <w:r w:rsidRPr="00D2550C">
              <w:rPr>
                <w:sz w:val="20"/>
                <w:szCs w:val="20"/>
              </w:rPr>
              <w:t>4). However, they are also commonly referred to as the Additional Estimates Bills.</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a</w:t>
            </w:r>
            <w:r w:rsidR="007452AA" w:rsidRPr="00D2550C">
              <w:rPr>
                <w:sz w:val="20"/>
                <w:szCs w:val="20"/>
              </w:rPr>
              <w:t xml:space="preserve">ssets </w:t>
            </w:r>
          </w:p>
        </w:tc>
        <w:tc>
          <w:tcPr>
            <w:tcW w:w="5011" w:type="dxa"/>
          </w:tcPr>
          <w:p w:rsidR="007452AA" w:rsidRPr="00D2550C" w:rsidRDefault="007452AA">
            <w:pPr>
              <w:pStyle w:val="TableTextNormal"/>
              <w:jc w:val="left"/>
              <w:rPr>
                <w:sz w:val="20"/>
                <w:szCs w:val="20"/>
              </w:rPr>
            </w:pPr>
            <w:r w:rsidRPr="00D2550C">
              <w:rPr>
                <w:sz w:val="20"/>
                <w:szCs w:val="20"/>
              </w:rPr>
              <w:t xml:space="preserve">Future economic benefits controlled by an entity as a result of past transactions or other past events. </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a</w:t>
            </w:r>
            <w:r w:rsidR="007452AA" w:rsidRPr="00D2550C">
              <w:rPr>
                <w:sz w:val="20"/>
                <w:szCs w:val="20"/>
              </w:rPr>
              <w:t xml:space="preserve">verage staffing level </w:t>
            </w:r>
          </w:p>
        </w:tc>
        <w:tc>
          <w:tcPr>
            <w:tcW w:w="5011" w:type="dxa"/>
          </w:tcPr>
          <w:p w:rsidR="007452AA" w:rsidRPr="00D2550C" w:rsidRDefault="007452AA">
            <w:pPr>
              <w:pStyle w:val="TableTextNormal"/>
              <w:jc w:val="left"/>
              <w:rPr>
                <w:sz w:val="20"/>
                <w:szCs w:val="20"/>
              </w:rPr>
            </w:pPr>
            <w:r w:rsidRPr="00D2550C">
              <w:rPr>
                <w:sz w:val="20"/>
                <w:szCs w:val="20"/>
              </w:rPr>
              <w:t>The average number of employees receiving salary/wages (or compensation in lieu of salary/wages) over a financial year, with adjustments for casual and part-time employees to show the full-time equivalent.</w:t>
            </w:r>
          </w:p>
        </w:tc>
      </w:tr>
      <w:tr w:rsidR="007452AA" w:rsidRPr="00D2550C" w:rsidTr="008A3A4E">
        <w:trPr>
          <w:cantSplit/>
        </w:trPr>
        <w:tc>
          <w:tcPr>
            <w:tcW w:w="2700" w:type="dxa"/>
          </w:tcPr>
          <w:p w:rsidR="007452AA" w:rsidRPr="00D2550C" w:rsidRDefault="007452AA">
            <w:pPr>
              <w:pStyle w:val="TableTextNormal"/>
              <w:jc w:val="left"/>
              <w:rPr>
                <w:i/>
                <w:iCs/>
                <w:sz w:val="20"/>
                <w:szCs w:val="20"/>
              </w:rPr>
            </w:pPr>
            <w:r w:rsidRPr="00D2550C">
              <w:rPr>
                <w:i/>
                <w:iCs/>
                <w:sz w:val="20"/>
                <w:szCs w:val="20"/>
              </w:rPr>
              <w:t>Commonwealth Authorities and Companies Act 1997</w:t>
            </w:r>
          </w:p>
        </w:tc>
        <w:tc>
          <w:tcPr>
            <w:tcW w:w="5011" w:type="dxa"/>
          </w:tcPr>
          <w:p w:rsidR="007452AA" w:rsidRPr="00D2550C" w:rsidRDefault="007452AA">
            <w:pPr>
              <w:pStyle w:val="TableTextNormal"/>
              <w:jc w:val="left"/>
              <w:rPr>
                <w:sz w:val="20"/>
                <w:szCs w:val="20"/>
              </w:rPr>
            </w:pPr>
            <w:r w:rsidRPr="00D2550C">
              <w:rPr>
                <w:iCs/>
                <w:sz w:val="20"/>
                <w:szCs w:val="20"/>
              </w:rPr>
              <w:t>S</w:t>
            </w:r>
            <w:r w:rsidRPr="00D2550C">
              <w:rPr>
                <w:sz w:val="20"/>
                <w:szCs w:val="20"/>
              </w:rPr>
              <w:t>ets out the financial management, accountability and audit obligations on Commonwealth statutory authorities and companies in which the Commonwealth has at least a direct controlling interest.</w:t>
            </w:r>
          </w:p>
        </w:tc>
      </w:tr>
      <w:tr w:rsidR="007452AA" w:rsidRPr="00D2550C" w:rsidTr="008A3A4E">
        <w:trPr>
          <w:cantSplit/>
        </w:trPr>
        <w:tc>
          <w:tcPr>
            <w:tcW w:w="2700" w:type="dxa"/>
          </w:tcPr>
          <w:p w:rsidR="007452AA" w:rsidRPr="00D2550C" w:rsidRDefault="007452AA">
            <w:pPr>
              <w:pStyle w:val="TableTextNormal"/>
              <w:jc w:val="left"/>
              <w:rPr>
                <w:sz w:val="20"/>
                <w:szCs w:val="20"/>
              </w:rPr>
            </w:pPr>
            <w:r w:rsidRPr="00D2550C">
              <w:rPr>
                <w:sz w:val="20"/>
                <w:szCs w:val="20"/>
              </w:rPr>
              <w:t>Consolidated Revenue Fund</w:t>
            </w:r>
          </w:p>
        </w:tc>
        <w:tc>
          <w:tcPr>
            <w:tcW w:w="5011" w:type="dxa"/>
          </w:tcPr>
          <w:p w:rsidR="007452AA" w:rsidRPr="00D2550C" w:rsidRDefault="007452AA">
            <w:pPr>
              <w:pStyle w:val="TableTextNormal"/>
              <w:jc w:val="left"/>
              <w:rPr>
                <w:sz w:val="20"/>
                <w:szCs w:val="20"/>
              </w:rPr>
            </w:pPr>
            <w:r w:rsidRPr="00D2550C">
              <w:rPr>
                <w:sz w:val="20"/>
                <w:szCs w:val="20"/>
              </w:rPr>
              <w:t xml:space="preserve">The principal operating fund from which money is drawn to pay for the activities of the Government. Section 81 of the Australian Constitution provides that all revenue raised or monies received by the Executive Government form one consolidated revenue fund from which appropriations are made for the purposes of the Australian Government. </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c</w:t>
            </w:r>
            <w:r w:rsidR="007452AA" w:rsidRPr="00D2550C">
              <w:rPr>
                <w:sz w:val="20"/>
                <w:szCs w:val="20"/>
              </w:rPr>
              <w:t>ross</w:t>
            </w:r>
            <w:r>
              <w:rPr>
                <w:sz w:val="20"/>
                <w:szCs w:val="20"/>
              </w:rPr>
              <w:t>-p</w:t>
            </w:r>
            <w:r w:rsidR="007452AA" w:rsidRPr="00D2550C">
              <w:rPr>
                <w:sz w:val="20"/>
                <w:szCs w:val="20"/>
              </w:rPr>
              <w:t xml:space="preserve">ortfolio </w:t>
            </w:r>
            <w:r>
              <w:rPr>
                <w:sz w:val="20"/>
                <w:szCs w:val="20"/>
              </w:rPr>
              <w:t>b</w:t>
            </w:r>
            <w:r w:rsidR="007452AA" w:rsidRPr="00D2550C">
              <w:rPr>
                <w:sz w:val="20"/>
                <w:szCs w:val="20"/>
              </w:rPr>
              <w:t xml:space="preserve">udget </w:t>
            </w:r>
            <w:r>
              <w:rPr>
                <w:sz w:val="20"/>
                <w:szCs w:val="20"/>
              </w:rPr>
              <w:t>m</w:t>
            </w:r>
            <w:r w:rsidR="007452AA" w:rsidRPr="00D2550C">
              <w:rPr>
                <w:sz w:val="20"/>
                <w:szCs w:val="20"/>
              </w:rPr>
              <w:t>easure</w:t>
            </w:r>
          </w:p>
        </w:tc>
        <w:tc>
          <w:tcPr>
            <w:tcW w:w="5011" w:type="dxa"/>
          </w:tcPr>
          <w:p w:rsidR="007452AA" w:rsidRPr="00D2550C" w:rsidRDefault="007452AA">
            <w:pPr>
              <w:pStyle w:val="TableTextNormal"/>
              <w:jc w:val="left"/>
              <w:rPr>
                <w:sz w:val="20"/>
                <w:szCs w:val="20"/>
              </w:rPr>
            </w:pPr>
            <w:r w:rsidRPr="00D2550C">
              <w:rPr>
                <w:sz w:val="20"/>
                <w:szCs w:val="20"/>
              </w:rPr>
              <w:t xml:space="preserve">A </w:t>
            </w:r>
            <w:r w:rsidR="007B6625">
              <w:rPr>
                <w:sz w:val="20"/>
                <w:szCs w:val="20"/>
              </w:rPr>
              <w:t>b</w:t>
            </w:r>
            <w:r w:rsidRPr="00D2550C">
              <w:rPr>
                <w:sz w:val="20"/>
                <w:szCs w:val="20"/>
              </w:rPr>
              <w:t>udget measure that affects programs administered in a number of portfolios.</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lastRenderedPageBreak/>
              <w:t>d</w:t>
            </w:r>
            <w:r w:rsidR="007452AA" w:rsidRPr="00D2550C">
              <w:rPr>
                <w:sz w:val="20"/>
                <w:szCs w:val="20"/>
              </w:rPr>
              <w:t>epartmental items</w:t>
            </w:r>
          </w:p>
        </w:tc>
        <w:tc>
          <w:tcPr>
            <w:tcW w:w="5011" w:type="dxa"/>
          </w:tcPr>
          <w:p w:rsidR="007452AA" w:rsidRPr="00D2550C" w:rsidRDefault="007452AA">
            <w:pPr>
              <w:pStyle w:val="TableTextNormal"/>
              <w:jc w:val="left"/>
              <w:rPr>
                <w:sz w:val="20"/>
                <w:szCs w:val="20"/>
              </w:rPr>
            </w:pPr>
            <w:r w:rsidRPr="00D2550C">
              <w:rPr>
                <w:sz w:val="20"/>
                <w:szCs w:val="20"/>
              </w:rPr>
              <w:t xml:space="preserve">Resources (assets, liabilities, revenues and expenses) that agency </w:t>
            </w:r>
            <w:r w:rsidR="007B6625">
              <w:rPr>
                <w:sz w:val="20"/>
                <w:szCs w:val="20"/>
              </w:rPr>
              <w:t>c</w:t>
            </w:r>
            <w:r w:rsidRPr="00D2550C">
              <w:rPr>
                <w:sz w:val="20"/>
                <w:szCs w:val="20"/>
              </w:rPr>
              <w:t xml:space="preserve">hief </w:t>
            </w:r>
            <w:r w:rsidR="007B6625">
              <w:rPr>
                <w:sz w:val="20"/>
                <w:szCs w:val="20"/>
              </w:rPr>
              <w:t>e</w:t>
            </w:r>
            <w:r w:rsidRPr="00D2550C">
              <w:rPr>
                <w:sz w:val="20"/>
                <w:szCs w:val="20"/>
              </w:rPr>
              <w:t xml:space="preserve">xecutive </w:t>
            </w:r>
            <w:r w:rsidR="007B6625">
              <w:rPr>
                <w:sz w:val="20"/>
                <w:szCs w:val="20"/>
              </w:rPr>
              <w:t>o</w:t>
            </w:r>
            <w:r w:rsidRPr="00D2550C">
              <w:rPr>
                <w:sz w:val="20"/>
                <w:szCs w:val="20"/>
              </w:rPr>
              <w:t>fficers control directly. This includes outsourced activities funded and controlled by the agency. Examples of departmental items include agency running costs, accrued employee entitlements and net appropriations. A departmental item is a component of a departmental program.</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d</w:t>
            </w:r>
            <w:r w:rsidR="007452AA" w:rsidRPr="00D2550C">
              <w:rPr>
                <w:sz w:val="20"/>
                <w:szCs w:val="20"/>
              </w:rPr>
              <w:t>epreciation</w:t>
            </w:r>
          </w:p>
        </w:tc>
        <w:tc>
          <w:tcPr>
            <w:tcW w:w="5011" w:type="dxa"/>
          </w:tcPr>
          <w:p w:rsidR="007452AA" w:rsidRPr="00D2550C" w:rsidRDefault="007452AA">
            <w:pPr>
              <w:pStyle w:val="TableTextNormal"/>
              <w:jc w:val="left"/>
              <w:rPr>
                <w:sz w:val="20"/>
                <w:szCs w:val="20"/>
              </w:rPr>
            </w:pPr>
            <w:r w:rsidRPr="00D2550C">
              <w:rPr>
                <w:sz w:val="20"/>
                <w:szCs w:val="20"/>
              </w:rPr>
              <w:t>Apportionment of an asset’s capital value as an expense over its estimated useful life to take account of normal usage, obsolescence or the passage of time.</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e</w:t>
            </w:r>
            <w:r w:rsidR="007452AA" w:rsidRPr="00D2550C">
              <w:rPr>
                <w:sz w:val="20"/>
                <w:szCs w:val="20"/>
              </w:rPr>
              <w:t xml:space="preserve">quity or </w:t>
            </w:r>
            <w:r>
              <w:rPr>
                <w:sz w:val="20"/>
                <w:szCs w:val="20"/>
              </w:rPr>
              <w:t>n</w:t>
            </w:r>
            <w:r w:rsidR="007452AA" w:rsidRPr="00D2550C">
              <w:rPr>
                <w:sz w:val="20"/>
                <w:szCs w:val="20"/>
              </w:rPr>
              <w:t>et assets</w:t>
            </w:r>
          </w:p>
        </w:tc>
        <w:tc>
          <w:tcPr>
            <w:tcW w:w="5011" w:type="dxa"/>
          </w:tcPr>
          <w:p w:rsidR="007452AA" w:rsidRPr="00D2550C" w:rsidRDefault="007452AA">
            <w:pPr>
              <w:pStyle w:val="TableTextNormal"/>
              <w:jc w:val="left"/>
              <w:rPr>
                <w:sz w:val="20"/>
                <w:szCs w:val="20"/>
              </w:rPr>
            </w:pPr>
            <w:r w:rsidRPr="00D2550C">
              <w:rPr>
                <w:sz w:val="20"/>
                <w:szCs w:val="20"/>
              </w:rPr>
              <w:t>Residual interest in the assets of an entity after deduction of its liabilities.</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e</w:t>
            </w:r>
            <w:r w:rsidR="007452AA" w:rsidRPr="00D2550C">
              <w:rPr>
                <w:sz w:val="20"/>
                <w:szCs w:val="20"/>
              </w:rPr>
              <w:t xml:space="preserve">stimates </w:t>
            </w:r>
          </w:p>
        </w:tc>
        <w:tc>
          <w:tcPr>
            <w:tcW w:w="5011" w:type="dxa"/>
          </w:tcPr>
          <w:p w:rsidR="007452AA" w:rsidRPr="00D2550C" w:rsidRDefault="007452AA" w:rsidP="002A5130">
            <w:pPr>
              <w:pStyle w:val="TableTextNormal"/>
              <w:jc w:val="left"/>
              <w:rPr>
                <w:sz w:val="20"/>
                <w:szCs w:val="20"/>
              </w:rPr>
            </w:pPr>
            <w:r w:rsidRPr="00D2550C">
              <w:rPr>
                <w:sz w:val="20"/>
                <w:szCs w:val="20"/>
              </w:rPr>
              <w:t xml:space="preserve">An agency’s expected revenues, expenses, assets, liabilities and cash flows. They are prepared for each </w:t>
            </w:r>
            <w:r w:rsidR="002A5130">
              <w:rPr>
                <w:sz w:val="20"/>
                <w:szCs w:val="20"/>
              </w:rPr>
              <w:t>program</w:t>
            </w:r>
            <w:r w:rsidRPr="00D2550C">
              <w:rPr>
                <w:sz w:val="20"/>
                <w:szCs w:val="20"/>
              </w:rPr>
              <w:t xml:space="preserve"> in the Budget, in consultation with the Department of Finance and Deregulation. (See also </w:t>
            </w:r>
            <w:r w:rsidR="007B6625" w:rsidRPr="00AD68B8">
              <w:rPr>
                <w:i/>
                <w:sz w:val="20"/>
                <w:szCs w:val="20"/>
              </w:rPr>
              <w:t>f</w:t>
            </w:r>
            <w:r w:rsidRPr="00AD68B8">
              <w:rPr>
                <w:i/>
                <w:sz w:val="20"/>
                <w:szCs w:val="20"/>
              </w:rPr>
              <w:t xml:space="preserve">orward </w:t>
            </w:r>
            <w:r w:rsidR="007B6625" w:rsidRPr="00AD68B8">
              <w:rPr>
                <w:i/>
                <w:sz w:val="20"/>
                <w:szCs w:val="20"/>
              </w:rPr>
              <w:t>e</w:t>
            </w:r>
            <w:r w:rsidRPr="00AD68B8">
              <w:rPr>
                <w:i/>
                <w:sz w:val="20"/>
                <w:szCs w:val="20"/>
              </w:rPr>
              <w:t>stimates</w:t>
            </w:r>
            <w:r w:rsidRPr="00D2550C">
              <w:rPr>
                <w:sz w:val="20"/>
                <w:szCs w:val="20"/>
              </w:rPr>
              <w:t xml:space="preserve"> and </w:t>
            </w:r>
            <w:r w:rsidR="007B6625" w:rsidRPr="00AD68B8">
              <w:rPr>
                <w:i/>
                <w:sz w:val="20"/>
                <w:szCs w:val="20"/>
              </w:rPr>
              <w:t>a</w:t>
            </w:r>
            <w:r w:rsidRPr="00AD68B8">
              <w:rPr>
                <w:i/>
                <w:sz w:val="20"/>
                <w:szCs w:val="20"/>
              </w:rPr>
              <w:t xml:space="preserve">dditional </w:t>
            </w:r>
            <w:r w:rsidR="007B6625" w:rsidRPr="00AD68B8">
              <w:rPr>
                <w:i/>
                <w:sz w:val="20"/>
                <w:szCs w:val="20"/>
              </w:rPr>
              <w:t>e</w:t>
            </w:r>
            <w:r w:rsidRPr="00AD68B8">
              <w:rPr>
                <w:i/>
                <w:sz w:val="20"/>
                <w:szCs w:val="20"/>
              </w:rPr>
              <w:t>stimates</w:t>
            </w:r>
            <w:r w:rsidR="007C6D65">
              <w:rPr>
                <w:sz w:val="20"/>
                <w:szCs w:val="20"/>
              </w:rPr>
              <w:t>.)</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e</w:t>
            </w:r>
            <w:r w:rsidR="007452AA" w:rsidRPr="00D2550C">
              <w:rPr>
                <w:sz w:val="20"/>
                <w:szCs w:val="20"/>
              </w:rPr>
              <w:t>xpenses</w:t>
            </w:r>
          </w:p>
        </w:tc>
        <w:tc>
          <w:tcPr>
            <w:tcW w:w="5011" w:type="dxa"/>
          </w:tcPr>
          <w:p w:rsidR="007452AA" w:rsidRPr="00D2550C" w:rsidRDefault="007452AA">
            <w:pPr>
              <w:pStyle w:val="TableTextNormal"/>
              <w:jc w:val="left"/>
              <w:rPr>
                <w:sz w:val="20"/>
                <w:szCs w:val="20"/>
              </w:rPr>
            </w:pPr>
            <w:r w:rsidRPr="00D2550C">
              <w:rPr>
                <w:sz w:val="20"/>
                <w:szCs w:val="20"/>
              </w:rPr>
              <w:t>Total value of all of the resources consumed in producing goods and services or the loss of future economic benefits in the form of reductions in assets or increases in liabilities of an entity.</w:t>
            </w:r>
          </w:p>
        </w:tc>
      </w:tr>
      <w:tr w:rsidR="007452AA" w:rsidRPr="00D2550C" w:rsidTr="008A3A4E">
        <w:trPr>
          <w:cantSplit/>
        </w:trPr>
        <w:tc>
          <w:tcPr>
            <w:tcW w:w="2700" w:type="dxa"/>
          </w:tcPr>
          <w:p w:rsidR="007452AA" w:rsidRPr="00D2550C" w:rsidRDefault="007452AA">
            <w:pPr>
              <w:pStyle w:val="TableTextNormal"/>
              <w:jc w:val="left"/>
              <w:rPr>
                <w:i/>
                <w:iCs/>
                <w:sz w:val="20"/>
                <w:szCs w:val="20"/>
              </w:rPr>
            </w:pPr>
            <w:r w:rsidRPr="00D2550C">
              <w:rPr>
                <w:i/>
                <w:iCs/>
                <w:sz w:val="20"/>
                <w:szCs w:val="20"/>
              </w:rPr>
              <w:t>Financial Management and Accountability Act 1997</w:t>
            </w:r>
          </w:p>
        </w:tc>
        <w:tc>
          <w:tcPr>
            <w:tcW w:w="5011" w:type="dxa"/>
          </w:tcPr>
          <w:p w:rsidR="007452AA" w:rsidRPr="00D2550C" w:rsidRDefault="007452AA">
            <w:pPr>
              <w:pStyle w:val="TableTextNormal"/>
              <w:jc w:val="left"/>
              <w:rPr>
                <w:sz w:val="20"/>
                <w:szCs w:val="20"/>
              </w:rPr>
            </w:pPr>
            <w:r w:rsidRPr="00D2550C">
              <w:rPr>
                <w:iCs/>
                <w:sz w:val="20"/>
                <w:szCs w:val="20"/>
              </w:rPr>
              <w:t>T</w:t>
            </w:r>
            <w:r w:rsidRPr="00D2550C">
              <w:rPr>
                <w:sz w:val="20"/>
                <w:szCs w:val="20"/>
              </w:rPr>
              <w:t>he principal legislation governing the proper use and management of public money and public property, and ot</w:t>
            </w:r>
            <w:r w:rsidR="007C6D65">
              <w:rPr>
                <w:sz w:val="20"/>
                <w:szCs w:val="20"/>
              </w:rPr>
              <w:t>her Commonwealth resources. FMA </w:t>
            </w:r>
            <w:r w:rsidRPr="00D2550C">
              <w:rPr>
                <w:sz w:val="20"/>
                <w:szCs w:val="20"/>
              </w:rPr>
              <w:t>Regulations and FMA Orders are made pursuant to the Act.</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f</w:t>
            </w:r>
            <w:r w:rsidR="007452AA" w:rsidRPr="00D2550C">
              <w:rPr>
                <w:sz w:val="20"/>
                <w:szCs w:val="20"/>
              </w:rPr>
              <w:t xml:space="preserve">orward </w:t>
            </w:r>
            <w:r>
              <w:rPr>
                <w:sz w:val="20"/>
                <w:szCs w:val="20"/>
              </w:rPr>
              <w:t>e</w:t>
            </w:r>
            <w:r w:rsidR="007452AA" w:rsidRPr="00D2550C">
              <w:rPr>
                <w:sz w:val="20"/>
                <w:szCs w:val="20"/>
              </w:rPr>
              <w:t>stimates</w:t>
            </w:r>
          </w:p>
        </w:tc>
        <w:tc>
          <w:tcPr>
            <w:tcW w:w="5011" w:type="dxa"/>
          </w:tcPr>
          <w:p w:rsidR="007452AA" w:rsidRPr="00D2550C" w:rsidRDefault="007452AA">
            <w:pPr>
              <w:pStyle w:val="TableTextNormal"/>
              <w:jc w:val="left"/>
              <w:rPr>
                <w:sz w:val="20"/>
                <w:szCs w:val="20"/>
              </w:rPr>
            </w:pPr>
            <w:r w:rsidRPr="00D2550C">
              <w:rPr>
                <w:sz w:val="20"/>
                <w:szCs w:val="20"/>
              </w:rPr>
              <w:t>The financial statement estimate for the three out years after the budget year.</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g</w:t>
            </w:r>
            <w:r w:rsidR="007452AA" w:rsidRPr="00D2550C">
              <w:rPr>
                <w:sz w:val="20"/>
                <w:szCs w:val="20"/>
              </w:rPr>
              <w:t>rants</w:t>
            </w:r>
          </w:p>
        </w:tc>
        <w:tc>
          <w:tcPr>
            <w:tcW w:w="5011" w:type="dxa"/>
          </w:tcPr>
          <w:p w:rsidR="007452AA" w:rsidRPr="00D2550C" w:rsidRDefault="007452AA">
            <w:pPr>
              <w:pStyle w:val="TableTextNormal"/>
              <w:jc w:val="left"/>
              <w:rPr>
                <w:sz w:val="20"/>
                <w:szCs w:val="20"/>
              </w:rPr>
            </w:pPr>
            <w:r w:rsidRPr="00D2550C">
              <w:rPr>
                <w:sz w:val="20"/>
                <w:szCs w:val="20"/>
              </w:rPr>
              <w:t xml:space="preserve">Non-reciprocal transfers of economic resources, in which the payer agency does not receive approximately equal value in return. </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k</w:t>
            </w:r>
            <w:r w:rsidR="007452AA" w:rsidRPr="00D2550C">
              <w:rPr>
                <w:sz w:val="20"/>
                <w:szCs w:val="20"/>
              </w:rPr>
              <w:t>ey performance</w:t>
            </w:r>
            <w:r w:rsidR="007452AA" w:rsidRPr="00D2550C">
              <w:rPr>
                <w:sz w:val="20"/>
                <w:szCs w:val="20"/>
              </w:rPr>
              <w:br/>
              <w:t>indicators</w:t>
            </w:r>
          </w:p>
        </w:tc>
        <w:tc>
          <w:tcPr>
            <w:tcW w:w="5011" w:type="dxa"/>
          </w:tcPr>
          <w:p w:rsidR="007452AA" w:rsidRPr="00D2550C" w:rsidRDefault="007452AA" w:rsidP="007B6625">
            <w:pPr>
              <w:pStyle w:val="TableTextNormal"/>
              <w:jc w:val="left"/>
              <w:rPr>
                <w:sz w:val="20"/>
                <w:szCs w:val="20"/>
              </w:rPr>
            </w:pPr>
            <w:r w:rsidRPr="00D2550C">
              <w:rPr>
                <w:sz w:val="20"/>
                <w:szCs w:val="20"/>
              </w:rPr>
              <w:t xml:space="preserve">Qualitative and quantitative measures of </w:t>
            </w:r>
            <w:r w:rsidR="007B6625">
              <w:rPr>
                <w:sz w:val="20"/>
                <w:szCs w:val="20"/>
              </w:rPr>
              <w:t>a program</w:t>
            </w:r>
            <w:r w:rsidRPr="00D2550C">
              <w:rPr>
                <w:sz w:val="20"/>
                <w:szCs w:val="20"/>
              </w:rPr>
              <w:t xml:space="preserve"> that provide a guide on performance where direct causal links are not obvious and changes in performance are difficult to measure directly.</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m</w:t>
            </w:r>
            <w:r w:rsidR="007452AA" w:rsidRPr="00D2550C">
              <w:rPr>
                <w:sz w:val="20"/>
                <w:szCs w:val="20"/>
              </w:rPr>
              <w:t>easure</w:t>
            </w:r>
          </w:p>
        </w:tc>
        <w:tc>
          <w:tcPr>
            <w:tcW w:w="5011" w:type="dxa"/>
          </w:tcPr>
          <w:p w:rsidR="007452AA" w:rsidRPr="00D2550C" w:rsidRDefault="007452AA">
            <w:pPr>
              <w:pStyle w:val="TableTextNormal"/>
              <w:jc w:val="left"/>
              <w:rPr>
                <w:sz w:val="20"/>
                <w:szCs w:val="20"/>
              </w:rPr>
            </w:pPr>
            <w:r w:rsidRPr="00D2550C">
              <w:rPr>
                <w:sz w:val="20"/>
                <w:szCs w:val="20"/>
              </w:rPr>
              <w:t>A new policy or savings decision of the Government with financial impacts on the Government’s underlying cash balance, fiscal balance, operating balance, headline cash balance, net debt or net worth.</w:t>
            </w:r>
          </w:p>
        </w:tc>
      </w:tr>
      <w:tr w:rsidR="007452AA" w:rsidRPr="00D2550C" w:rsidTr="008A3A4E">
        <w:trPr>
          <w:cantSplit/>
        </w:trPr>
        <w:tc>
          <w:tcPr>
            <w:tcW w:w="2700" w:type="dxa"/>
          </w:tcPr>
          <w:p w:rsidR="007452AA" w:rsidRPr="00D2550C" w:rsidRDefault="007452AA">
            <w:pPr>
              <w:pStyle w:val="TableTextNormal"/>
              <w:jc w:val="left"/>
              <w:rPr>
                <w:sz w:val="20"/>
                <w:szCs w:val="20"/>
              </w:rPr>
            </w:pPr>
            <w:r w:rsidRPr="00D2550C">
              <w:rPr>
                <w:sz w:val="20"/>
                <w:szCs w:val="20"/>
              </w:rPr>
              <w:lastRenderedPageBreak/>
              <w:t>Mid</w:t>
            </w:r>
            <w:r w:rsidR="00EF43B1">
              <w:rPr>
                <w:sz w:val="20"/>
                <w:szCs w:val="20"/>
              </w:rPr>
              <w:t>-</w:t>
            </w:r>
            <w:r w:rsidRPr="00D2550C">
              <w:rPr>
                <w:sz w:val="20"/>
                <w:szCs w:val="20"/>
              </w:rPr>
              <w:t xml:space="preserve">Year Economic and Fiscal Outlook </w:t>
            </w:r>
          </w:p>
        </w:tc>
        <w:tc>
          <w:tcPr>
            <w:tcW w:w="5011" w:type="dxa"/>
          </w:tcPr>
          <w:p w:rsidR="007452AA" w:rsidRPr="00D2550C" w:rsidRDefault="007452AA" w:rsidP="007B6625">
            <w:pPr>
              <w:pStyle w:val="TableTextNormal"/>
              <w:jc w:val="left"/>
              <w:rPr>
                <w:sz w:val="20"/>
                <w:szCs w:val="20"/>
              </w:rPr>
            </w:pPr>
            <w:r w:rsidRPr="00D2550C">
              <w:rPr>
                <w:sz w:val="20"/>
                <w:szCs w:val="20"/>
              </w:rPr>
              <w:t>Provides an update of the Government’s budget estimates by examining expenses and revenues year to date, as well as provisions for new decisions that have been taken since the Budget. The report provides updated information to allow assessment of the Government’s fiscal performance against the fiscal strategy set out in its current fiscal strategy statement.</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o</w:t>
            </w:r>
            <w:r w:rsidR="007452AA" w:rsidRPr="00D2550C">
              <w:rPr>
                <w:sz w:val="20"/>
                <w:szCs w:val="20"/>
              </w:rPr>
              <w:t>perating result</w:t>
            </w:r>
          </w:p>
        </w:tc>
        <w:tc>
          <w:tcPr>
            <w:tcW w:w="5011" w:type="dxa"/>
          </w:tcPr>
          <w:p w:rsidR="007452AA" w:rsidRPr="00D2550C" w:rsidRDefault="007452AA">
            <w:pPr>
              <w:pStyle w:val="TableTextNormal"/>
              <w:jc w:val="left"/>
              <w:rPr>
                <w:sz w:val="20"/>
                <w:szCs w:val="20"/>
              </w:rPr>
            </w:pPr>
            <w:r w:rsidRPr="00D2550C">
              <w:rPr>
                <w:sz w:val="20"/>
                <w:szCs w:val="20"/>
              </w:rPr>
              <w:t>Equals revenue less expenses.</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o</w:t>
            </w:r>
            <w:r w:rsidR="007452AA" w:rsidRPr="00D2550C">
              <w:rPr>
                <w:sz w:val="20"/>
                <w:szCs w:val="20"/>
              </w:rPr>
              <w:t>utcome</w:t>
            </w:r>
          </w:p>
        </w:tc>
        <w:tc>
          <w:tcPr>
            <w:tcW w:w="5011" w:type="dxa"/>
          </w:tcPr>
          <w:p w:rsidR="007452AA" w:rsidRPr="00D2550C" w:rsidRDefault="007452AA">
            <w:pPr>
              <w:pStyle w:val="TableTextNormal"/>
              <w:jc w:val="left"/>
              <w:rPr>
                <w:sz w:val="20"/>
                <w:szCs w:val="20"/>
              </w:rPr>
            </w:pPr>
            <w:r w:rsidRPr="00D2550C">
              <w:rPr>
                <w:sz w:val="20"/>
                <w:szCs w:val="20"/>
              </w:rPr>
              <w:t>The intended result, consequence or impact of government actions on the Australian community.</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o</w:t>
            </w:r>
            <w:r w:rsidR="007452AA" w:rsidRPr="00D2550C">
              <w:rPr>
                <w:sz w:val="20"/>
                <w:szCs w:val="20"/>
              </w:rPr>
              <w:t>utcome statement</w:t>
            </w:r>
          </w:p>
        </w:tc>
        <w:tc>
          <w:tcPr>
            <w:tcW w:w="5011" w:type="dxa"/>
          </w:tcPr>
          <w:p w:rsidR="007452AA" w:rsidRPr="00D2550C" w:rsidRDefault="007452AA">
            <w:pPr>
              <w:pStyle w:val="TableTextNormal"/>
              <w:jc w:val="left"/>
              <w:rPr>
                <w:sz w:val="20"/>
                <w:szCs w:val="20"/>
              </w:rPr>
            </w:pPr>
            <w:r w:rsidRPr="00D2550C">
              <w:rPr>
                <w:sz w:val="20"/>
                <w:szCs w:val="20"/>
              </w:rPr>
              <w:t>Articulates the intended results, activities and target group of an Australian Government agency. An outcome statement serves three main purposes within the financial framework:</w:t>
            </w:r>
          </w:p>
          <w:p w:rsidR="007452AA" w:rsidRPr="00D2550C" w:rsidRDefault="007452AA" w:rsidP="00984352">
            <w:pPr>
              <w:pStyle w:val="Bullet"/>
              <w:jc w:val="left"/>
            </w:pPr>
            <w:r w:rsidRPr="00D2550C">
              <w:t>to explain and control the purposes for which annual appropriations are approved by the Parliament for use by agencies</w:t>
            </w:r>
          </w:p>
          <w:p w:rsidR="007452AA" w:rsidRPr="00D2550C" w:rsidRDefault="007452AA" w:rsidP="00984352">
            <w:pPr>
              <w:pStyle w:val="Bullet"/>
              <w:jc w:val="left"/>
            </w:pPr>
            <w:r w:rsidRPr="00D2550C">
              <w:t>to provide a basis for annual budgeting, including (financial) reporting against the use of appropriated funds</w:t>
            </w:r>
          </w:p>
          <w:p w:rsidR="007452AA" w:rsidRPr="00D2550C" w:rsidRDefault="007452AA" w:rsidP="00984352">
            <w:pPr>
              <w:pStyle w:val="Bullet"/>
              <w:jc w:val="left"/>
            </w:pPr>
            <w:proofErr w:type="gramStart"/>
            <w:r w:rsidRPr="00D2550C">
              <w:t>to</w:t>
            </w:r>
            <w:proofErr w:type="gramEnd"/>
            <w:r w:rsidRPr="00D2550C">
              <w:t xml:space="preserve"> measure and assess agency and program (non-financial) performance in contributing to government policy objectives.</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p</w:t>
            </w:r>
            <w:r w:rsidR="007452AA" w:rsidRPr="00D2550C">
              <w:rPr>
                <w:sz w:val="20"/>
                <w:szCs w:val="20"/>
              </w:rPr>
              <w:t>erformance information</w:t>
            </w:r>
          </w:p>
        </w:tc>
        <w:tc>
          <w:tcPr>
            <w:tcW w:w="5011" w:type="dxa"/>
          </w:tcPr>
          <w:p w:rsidR="007452AA" w:rsidRPr="00D2550C" w:rsidRDefault="007452AA">
            <w:pPr>
              <w:pStyle w:val="TableTextNormal"/>
              <w:jc w:val="left"/>
              <w:rPr>
                <w:sz w:val="20"/>
                <w:szCs w:val="20"/>
              </w:rPr>
            </w:pPr>
            <w:r w:rsidRPr="00D2550C">
              <w:rPr>
                <w:sz w:val="20"/>
                <w:szCs w:val="20"/>
              </w:rPr>
              <w:t>Evidence about performance that is collected and used systematically. Evidence may relate to appropriateness, effectiveness and efficiency. It may be about outcomes, factors that affect outcomes, and what can be done to improve them.</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p</w:t>
            </w:r>
            <w:r w:rsidR="007452AA" w:rsidRPr="00D2550C">
              <w:rPr>
                <w:sz w:val="20"/>
                <w:szCs w:val="20"/>
              </w:rPr>
              <w:t>ortfolio</w:t>
            </w:r>
          </w:p>
        </w:tc>
        <w:tc>
          <w:tcPr>
            <w:tcW w:w="5011" w:type="dxa"/>
          </w:tcPr>
          <w:p w:rsidR="007452AA" w:rsidRPr="00D2550C" w:rsidRDefault="007452AA">
            <w:pPr>
              <w:pStyle w:val="TableTextNormal"/>
              <w:jc w:val="left"/>
              <w:rPr>
                <w:sz w:val="20"/>
                <w:szCs w:val="20"/>
              </w:rPr>
            </w:pPr>
            <w:r w:rsidRPr="00D2550C">
              <w:rPr>
                <w:sz w:val="20"/>
                <w:szCs w:val="20"/>
              </w:rPr>
              <w:t xml:space="preserve">A </w:t>
            </w:r>
            <w:r w:rsidR="007B6625">
              <w:rPr>
                <w:sz w:val="20"/>
                <w:szCs w:val="20"/>
              </w:rPr>
              <w:t>m</w:t>
            </w:r>
            <w:r w:rsidRPr="00D2550C">
              <w:rPr>
                <w:sz w:val="20"/>
                <w:szCs w:val="20"/>
              </w:rPr>
              <w:t>inister’s area of responsibility as a member of Cabinet. A portfolio consists of one or more Departments of State (</w:t>
            </w:r>
            <w:r w:rsidR="007B6625">
              <w:rPr>
                <w:sz w:val="20"/>
                <w:szCs w:val="20"/>
              </w:rPr>
              <w:t>p</w:t>
            </w:r>
            <w:r w:rsidRPr="00D2550C">
              <w:rPr>
                <w:sz w:val="20"/>
                <w:szCs w:val="20"/>
              </w:rPr>
              <w:t xml:space="preserve">ortfolio </w:t>
            </w:r>
            <w:r w:rsidR="007B6625">
              <w:rPr>
                <w:sz w:val="20"/>
                <w:szCs w:val="20"/>
              </w:rPr>
              <w:t>d</w:t>
            </w:r>
            <w:r w:rsidRPr="00D2550C">
              <w:rPr>
                <w:sz w:val="20"/>
                <w:szCs w:val="20"/>
              </w:rPr>
              <w:t>epartments) and agencies with similar general objectives and outcomes.</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p</w:t>
            </w:r>
            <w:r w:rsidR="007452AA" w:rsidRPr="00D2550C">
              <w:rPr>
                <w:sz w:val="20"/>
                <w:szCs w:val="20"/>
              </w:rPr>
              <w:t>rogram</w:t>
            </w:r>
          </w:p>
        </w:tc>
        <w:tc>
          <w:tcPr>
            <w:tcW w:w="5011" w:type="dxa"/>
          </w:tcPr>
          <w:p w:rsidR="007452AA" w:rsidRPr="00D2550C" w:rsidRDefault="007452AA">
            <w:pPr>
              <w:pStyle w:val="TableTextNormal"/>
              <w:jc w:val="left"/>
              <w:rPr>
                <w:sz w:val="20"/>
                <w:szCs w:val="20"/>
              </w:rPr>
            </w:pPr>
            <w:r w:rsidRPr="00D2550C">
              <w:rPr>
                <w:sz w:val="20"/>
                <w:szCs w:val="20"/>
              </w:rPr>
              <w:t>An activity that delivers benefits, services or transfer payments to individuals, industry and/or the community as a whole, with the aim of achieving the intended result specified in an outcome statement.</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lastRenderedPageBreak/>
              <w:t>r</w:t>
            </w:r>
            <w:r w:rsidR="007452AA" w:rsidRPr="00D2550C">
              <w:rPr>
                <w:sz w:val="20"/>
                <w:szCs w:val="20"/>
              </w:rPr>
              <w:t>eceipts</w:t>
            </w:r>
          </w:p>
        </w:tc>
        <w:tc>
          <w:tcPr>
            <w:tcW w:w="5011" w:type="dxa"/>
          </w:tcPr>
          <w:p w:rsidR="007452AA" w:rsidRPr="00D2550C" w:rsidRDefault="007452AA">
            <w:pPr>
              <w:pStyle w:val="TableTextNormal"/>
              <w:jc w:val="left"/>
              <w:rPr>
                <w:sz w:val="20"/>
                <w:szCs w:val="20"/>
              </w:rPr>
            </w:pPr>
            <w:r w:rsidRPr="00D2550C">
              <w:rPr>
                <w:sz w:val="20"/>
                <w:szCs w:val="20"/>
              </w:rPr>
              <w:t xml:space="preserve">The total or gross amount received by the Commonwealth. Each receipt item is either revenue, an offset within outlays, or financing transactions. Receipts include taxes, interest, charges for goods and services, borrowings and </w:t>
            </w:r>
            <w:r w:rsidR="00555033">
              <w:rPr>
                <w:sz w:val="20"/>
                <w:szCs w:val="20"/>
              </w:rPr>
              <w:t>g</w:t>
            </w:r>
            <w:r w:rsidRPr="00D2550C">
              <w:rPr>
                <w:sz w:val="20"/>
                <w:szCs w:val="20"/>
              </w:rPr>
              <w:t xml:space="preserve">overnment </w:t>
            </w:r>
            <w:r w:rsidR="00555033">
              <w:rPr>
                <w:sz w:val="20"/>
                <w:szCs w:val="20"/>
              </w:rPr>
              <w:t>b</w:t>
            </w:r>
            <w:r w:rsidRPr="00D2550C">
              <w:rPr>
                <w:sz w:val="20"/>
                <w:szCs w:val="20"/>
              </w:rPr>
              <w:t xml:space="preserve">usiness </w:t>
            </w:r>
            <w:r w:rsidR="00555033">
              <w:rPr>
                <w:sz w:val="20"/>
                <w:szCs w:val="20"/>
              </w:rPr>
              <w:t>e</w:t>
            </w:r>
            <w:r w:rsidRPr="00D2550C">
              <w:rPr>
                <w:sz w:val="20"/>
                <w:szCs w:val="20"/>
              </w:rPr>
              <w:t>nterprise dividends received.</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r</w:t>
            </w:r>
            <w:r w:rsidR="007452AA" w:rsidRPr="00D2550C">
              <w:rPr>
                <w:sz w:val="20"/>
                <w:szCs w:val="20"/>
              </w:rPr>
              <w:t>evenue</w:t>
            </w:r>
          </w:p>
        </w:tc>
        <w:tc>
          <w:tcPr>
            <w:tcW w:w="5011" w:type="dxa"/>
          </w:tcPr>
          <w:p w:rsidR="007452AA" w:rsidRPr="00D2550C" w:rsidRDefault="007452AA">
            <w:pPr>
              <w:pStyle w:val="TableTextNormal"/>
              <w:jc w:val="left"/>
              <w:rPr>
                <w:sz w:val="20"/>
                <w:szCs w:val="20"/>
              </w:rPr>
            </w:pPr>
            <w:r w:rsidRPr="00D2550C">
              <w:rPr>
                <w:sz w:val="20"/>
                <w:szCs w:val="20"/>
              </w:rPr>
              <w:t>Total value of resources earned or received to cover the production of goods and services, or increases in future economic benefits in the form of increases in assets or reductions in liabilities of an entity.</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s</w:t>
            </w:r>
            <w:r w:rsidR="007452AA" w:rsidRPr="00D2550C">
              <w:rPr>
                <w:sz w:val="20"/>
                <w:szCs w:val="20"/>
              </w:rPr>
              <w:t xml:space="preserve">pecial </w:t>
            </w:r>
            <w:r>
              <w:rPr>
                <w:sz w:val="20"/>
                <w:szCs w:val="20"/>
              </w:rPr>
              <w:t>a</w:t>
            </w:r>
            <w:r w:rsidR="007452AA" w:rsidRPr="00D2550C">
              <w:rPr>
                <w:sz w:val="20"/>
                <w:szCs w:val="20"/>
              </w:rPr>
              <w:t>ccounts</w:t>
            </w:r>
          </w:p>
        </w:tc>
        <w:tc>
          <w:tcPr>
            <w:tcW w:w="5011" w:type="dxa"/>
          </w:tcPr>
          <w:p w:rsidR="007452AA" w:rsidRPr="00D2550C" w:rsidRDefault="007452AA" w:rsidP="007C6D65">
            <w:pPr>
              <w:pStyle w:val="TableTextNormal"/>
              <w:jc w:val="left"/>
              <w:rPr>
                <w:sz w:val="20"/>
                <w:szCs w:val="20"/>
              </w:rPr>
            </w:pPr>
            <w:r w:rsidRPr="00D2550C">
              <w:rPr>
                <w:sz w:val="20"/>
                <w:szCs w:val="20"/>
              </w:rPr>
              <w:t>Balances existing within the CRF that are supported by standing appropriations (FMA Act s</w:t>
            </w:r>
            <w:r w:rsidR="007B6625">
              <w:rPr>
                <w:sz w:val="20"/>
                <w:szCs w:val="20"/>
              </w:rPr>
              <w:t>ections</w:t>
            </w:r>
            <w:r w:rsidRPr="00D2550C">
              <w:rPr>
                <w:sz w:val="20"/>
                <w:szCs w:val="20"/>
              </w:rPr>
              <w:t xml:space="preserve"> 20 and 21). Special </w:t>
            </w:r>
            <w:r w:rsidR="007B6625">
              <w:rPr>
                <w:sz w:val="20"/>
                <w:szCs w:val="20"/>
              </w:rPr>
              <w:t>a</w:t>
            </w:r>
            <w:r w:rsidRPr="00D2550C">
              <w:rPr>
                <w:sz w:val="20"/>
                <w:szCs w:val="20"/>
              </w:rPr>
              <w:t xml:space="preserve">ccounts allow money in the CRF to be acknowledged as set aside (hypothecated) for a particular purpose. Amounts credited to a </w:t>
            </w:r>
            <w:r w:rsidR="007B6625">
              <w:rPr>
                <w:sz w:val="20"/>
                <w:szCs w:val="20"/>
              </w:rPr>
              <w:t>s</w:t>
            </w:r>
            <w:r w:rsidRPr="00D2550C">
              <w:rPr>
                <w:sz w:val="20"/>
                <w:szCs w:val="20"/>
              </w:rPr>
              <w:t xml:space="preserve">pecial </w:t>
            </w:r>
            <w:r w:rsidR="007B6625">
              <w:rPr>
                <w:sz w:val="20"/>
                <w:szCs w:val="20"/>
              </w:rPr>
              <w:t>a</w:t>
            </w:r>
            <w:r w:rsidRPr="00D2550C">
              <w:rPr>
                <w:sz w:val="20"/>
                <w:szCs w:val="20"/>
              </w:rPr>
              <w:t xml:space="preserve">ccount may only be spent for the purposes of the </w:t>
            </w:r>
            <w:r w:rsidR="007B6625">
              <w:rPr>
                <w:sz w:val="20"/>
                <w:szCs w:val="20"/>
              </w:rPr>
              <w:t>s</w:t>
            </w:r>
            <w:r w:rsidRPr="00D2550C">
              <w:rPr>
                <w:sz w:val="20"/>
                <w:szCs w:val="20"/>
              </w:rPr>
              <w:t xml:space="preserve">pecial </w:t>
            </w:r>
            <w:r w:rsidR="007B6625">
              <w:rPr>
                <w:sz w:val="20"/>
                <w:szCs w:val="20"/>
              </w:rPr>
              <w:t>a</w:t>
            </w:r>
            <w:r w:rsidRPr="00D2550C">
              <w:rPr>
                <w:sz w:val="20"/>
                <w:szCs w:val="20"/>
              </w:rPr>
              <w:t xml:space="preserve">ccount. Special </w:t>
            </w:r>
            <w:r w:rsidR="007B6625">
              <w:rPr>
                <w:sz w:val="20"/>
                <w:szCs w:val="20"/>
              </w:rPr>
              <w:t>a</w:t>
            </w:r>
            <w:r w:rsidRPr="00D2550C">
              <w:rPr>
                <w:sz w:val="20"/>
                <w:szCs w:val="20"/>
              </w:rPr>
              <w:t>ccounts can only be established by a written determination of the Finance Minister (FMA Act, s</w:t>
            </w:r>
            <w:r w:rsidR="007B6625">
              <w:rPr>
                <w:sz w:val="20"/>
                <w:szCs w:val="20"/>
              </w:rPr>
              <w:t>ection</w:t>
            </w:r>
            <w:r w:rsidRPr="00D2550C">
              <w:rPr>
                <w:sz w:val="20"/>
                <w:szCs w:val="20"/>
              </w:rPr>
              <w:t> 20) or through an Act of Parliament (referred to in s</w:t>
            </w:r>
            <w:r w:rsidR="007B6625">
              <w:rPr>
                <w:sz w:val="20"/>
                <w:szCs w:val="20"/>
              </w:rPr>
              <w:t>ection</w:t>
            </w:r>
            <w:r w:rsidRPr="00D2550C">
              <w:rPr>
                <w:sz w:val="20"/>
                <w:szCs w:val="20"/>
              </w:rPr>
              <w:t> 21 of the FMA Act).</w:t>
            </w:r>
          </w:p>
        </w:tc>
      </w:tr>
      <w:tr w:rsidR="007452AA" w:rsidRPr="00D2550C" w:rsidTr="008A3A4E">
        <w:trPr>
          <w:cantSplit/>
        </w:trPr>
        <w:tc>
          <w:tcPr>
            <w:tcW w:w="2700" w:type="dxa"/>
          </w:tcPr>
          <w:p w:rsidR="007452AA" w:rsidRPr="00D2550C" w:rsidRDefault="00EF43B1">
            <w:pPr>
              <w:pStyle w:val="TableTextNormal"/>
              <w:jc w:val="left"/>
              <w:rPr>
                <w:sz w:val="20"/>
                <w:szCs w:val="20"/>
              </w:rPr>
            </w:pPr>
            <w:r>
              <w:rPr>
                <w:sz w:val="20"/>
                <w:szCs w:val="20"/>
              </w:rPr>
              <w:t>s</w:t>
            </w:r>
            <w:r w:rsidR="007452AA" w:rsidRPr="00D2550C">
              <w:rPr>
                <w:sz w:val="20"/>
                <w:szCs w:val="20"/>
              </w:rPr>
              <w:t>pecial appropriation (including standing appropriations)</w:t>
            </w:r>
          </w:p>
        </w:tc>
        <w:tc>
          <w:tcPr>
            <w:tcW w:w="5011" w:type="dxa"/>
          </w:tcPr>
          <w:p w:rsidR="007452AA" w:rsidRPr="00D2550C" w:rsidRDefault="007452AA">
            <w:pPr>
              <w:pStyle w:val="TableTextNormal"/>
              <w:jc w:val="left"/>
              <w:rPr>
                <w:sz w:val="20"/>
                <w:szCs w:val="20"/>
              </w:rPr>
            </w:pPr>
            <w:r w:rsidRPr="00D2550C">
              <w:rPr>
                <w:sz w:val="20"/>
                <w:szCs w:val="20"/>
              </w:rPr>
              <w:t>An amount of money appropriated by a particular Act of Parliament for a specific purpose and number of years. For special appropriations, the authority to withdraw funds from the CRF does not generally cease at the end of the financial year.</w:t>
            </w:r>
          </w:p>
          <w:p w:rsidR="007452AA" w:rsidRPr="00D2550C" w:rsidRDefault="007452AA">
            <w:pPr>
              <w:pStyle w:val="TableTextNormal"/>
              <w:jc w:val="left"/>
              <w:rPr>
                <w:sz w:val="20"/>
                <w:szCs w:val="20"/>
              </w:rPr>
            </w:pPr>
            <w:r w:rsidRPr="00D2550C">
              <w:rPr>
                <w:sz w:val="20"/>
                <w:szCs w:val="20"/>
              </w:rPr>
              <w:t>Standing appropriations are a subcategory consisting of ongoing special appropriations; the amount appropriated will depend on circumstances specified in the legislation.</w:t>
            </w:r>
          </w:p>
        </w:tc>
      </w:tr>
    </w:tbl>
    <w:p w:rsidR="00D31999" w:rsidRDefault="00D31999" w:rsidP="00484CB3"/>
    <w:p w:rsidR="00D31999" w:rsidRDefault="00D31999" w:rsidP="00484CB3"/>
    <w:p w:rsidR="00D31999" w:rsidRDefault="00D31999" w:rsidP="00484CB3">
      <w:pPr>
        <w:sectPr w:rsidR="00D31999" w:rsidSect="00B44518">
          <w:headerReference w:type="even" r:id="rId217"/>
          <w:headerReference w:type="default" r:id="rId218"/>
          <w:footerReference w:type="even" r:id="rId219"/>
          <w:footerReference w:type="default" r:id="rId220"/>
          <w:headerReference w:type="first" r:id="rId221"/>
          <w:footerReference w:type="first" r:id="rId222"/>
          <w:type w:val="oddPage"/>
          <w:pgSz w:w="11907" w:h="16840" w:code="9"/>
          <w:pgMar w:top="2466" w:right="2098" w:bottom="2466" w:left="2098" w:header="1899" w:footer="1899" w:gutter="0"/>
          <w:cols w:space="708"/>
          <w:titlePg/>
          <w:docGrid w:linePitch="360"/>
        </w:sectPr>
      </w:pPr>
    </w:p>
    <w:p w:rsidR="00D31999" w:rsidRPr="00D2550C" w:rsidRDefault="00D31999" w:rsidP="00D31999">
      <w:pPr>
        <w:pStyle w:val="Heading1"/>
      </w:pPr>
      <w:r>
        <w:lastRenderedPageBreak/>
        <w:t>Abbreviations</w:t>
      </w:r>
    </w:p>
    <w:tbl>
      <w:tblPr>
        <w:tblW w:w="0" w:type="auto"/>
        <w:tblInd w:w="108" w:type="dxa"/>
        <w:tblLook w:val="01E0" w:firstRow="1" w:lastRow="1" w:firstColumn="1" w:lastColumn="1" w:noHBand="0" w:noVBand="0"/>
      </w:tblPr>
      <w:tblGrid>
        <w:gridCol w:w="2700"/>
        <w:gridCol w:w="5011"/>
      </w:tblGrid>
      <w:tr w:rsidR="00685215" w:rsidRPr="00D2550C" w:rsidTr="00D31999">
        <w:trPr>
          <w:cantSplit/>
        </w:trPr>
        <w:tc>
          <w:tcPr>
            <w:tcW w:w="2700" w:type="dxa"/>
          </w:tcPr>
          <w:p w:rsidR="00685215" w:rsidRPr="00A7210F" w:rsidRDefault="00685215" w:rsidP="001D5043">
            <w:pPr>
              <w:spacing w:before="60" w:after="60" w:line="240" w:lineRule="auto"/>
            </w:pPr>
            <w:r w:rsidRPr="00A7210F">
              <w:t>ABA</w:t>
            </w:r>
          </w:p>
        </w:tc>
        <w:tc>
          <w:tcPr>
            <w:tcW w:w="5011" w:type="dxa"/>
          </w:tcPr>
          <w:p w:rsidR="00685215" w:rsidRPr="00A7210F" w:rsidRDefault="00685215" w:rsidP="001D5043">
            <w:pPr>
              <w:spacing w:before="60" w:after="60" w:line="240" w:lineRule="auto"/>
            </w:pPr>
            <w:r w:rsidRPr="00A7210F">
              <w:t>Aboriginals Benefit Account</w:t>
            </w:r>
          </w:p>
        </w:tc>
      </w:tr>
      <w:tr w:rsidR="00685215" w:rsidRPr="00D2550C" w:rsidTr="00D31999">
        <w:trPr>
          <w:cantSplit/>
        </w:trPr>
        <w:tc>
          <w:tcPr>
            <w:tcW w:w="2700" w:type="dxa"/>
          </w:tcPr>
          <w:p w:rsidR="00685215" w:rsidRPr="00A7210F" w:rsidRDefault="00685215" w:rsidP="001D5043">
            <w:pPr>
              <w:spacing w:before="60" w:after="60" w:line="240" w:lineRule="auto"/>
            </w:pPr>
            <w:r>
              <w:t>AGD</w:t>
            </w:r>
          </w:p>
        </w:tc>
        <w:tc>
          <w:tcPr>
            <w:tcW w:w="5011" w:type="dxa"/>
          </w:tcPr>
          <w:p w:rsidR="00685215" w:rsidRPr="00A7210F" w:rsidRDefault="00685215" w:rsidP="001D5043">
            <w:pPr>
              <w:spacing w:before="60" w:after="60" w:line="240" w:lineRule="auto"/>
            </w:pPr>
            <w:r>
              <w:t>Attorney-General’s Department</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AGIE</w:t>
            </w:r>
          </w:p>
        </w:tc>
        <w:tc>
          <w:tcPr>
            <w:tcW w:w="5011" w:type="dxa"/>
          </w:tcPr>
          <w:p w:rsidR="00685215" w:rsidRPr="00A7210F" w:rsidRDefault="00685215" w:rsidP="001D5043">
            <w:pPr>
              <w:spacing w:before="60" w:after="60" w:line="240" w:lineRule="auto"/>
            </w:pPr>
            <w:r w:rsidRPr="00A7210F">
              <w:t>Australian Government Indigenous expenditure</w:t>
            </w:r>
          </w:p>
        </w:tc>
      </w:tr>
      <w:tr w:rsidR="00754DDF" w:rsidRPr="00D2550C" w:rsidTr="00D31999">
        <w:trPr>
          <w:cantSplit/>
        </w:trPr>
        <w:tc>
          <w:tcPr>
            <w:tcW w:w="2700" w:type="dxa"/>
          </w:tcPr>
          <w:p w:rsidR="00754DDF" w:rsidRPr="00A7210F" w:rsidRDefault="00754DDF" w:rsidP="001D5043">
            <w:pPr>
              <w:spacing w:before="60" w:after="60" w:line="240" w:lineRule="auto"/>
            </w:pPr>
            <w:r>
              <w:t>AGRC</w:t>
            </w:r>
          </w:p>
        </w:tc>
        <w:tc>
          <w:tcPr>
            <w:tcW w:w="5011" w:type="dxa"/>
          </w:tcPr>
          <w:p w:rsidR="00754DDF" w:rsidRPr="00A7210F" w:rsidRDefault="00754DDF" w:rsidP="001D5043">
            <w:pPr>
              <w:spacing w:before="60" w:after="60" w:line="240" w:lineRule="auto"/>
            </w:pPr>
            <w:r>
              <w:t>Australian Gambling Research Centre</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AHL</w:t>
            </w:r>
          </w:p>
        </w:tc>
        <w:tc>
          <w:tcPr>
            <w:tcW w:w="5011" w:type="dxa"/>
          </w:tcPr>
          <w:p w:rsidR="00685215" w:rsidRPr="00A7210F" w:rsidRDefault="00685215" w:rsidP="001D5043">
            <w:pPr>
              <w:spacing w:before="60" w:after="60" w:line="240" w:lineRule="auto"/>
            </w:pPr>
            <w:r w:rsidRPr="00A7210F">
              <w:t>Aboriginal Hostels Limited</w:t>
            </w:r>
          </w:p>
        </w:tc>
      </w:tr>
      <w:tr w:rsidR="00685215" w:rsidRPr="00D2550C" w:rsidTr="00D31999">
        <w:trPr>
          <w:cantSplit/>
        </w:trPr>
        <w:tc>
          <w:tcPr>
            <w:tcW w:w="2700" w:type="dxa"/>
          </w:tcPr>
          <w:p w:rsidR="00685215" w:rsidRPr="00A7210F" w:rsidRDefault="00685215" w:rsidP="001D5043">
            <w:pPr>
              <w:spacing w:before="60" w:after="60" w:line="240" w:lineRule="auto"/>
            </w:pPr>
            <w:r>
              <w:t>AIFS</w:t>
            </w:r>
          </w:p>
        </w:tc>
        <w:tc>
          <w:tcPr>
            <w:tcW w:w="5011" w:type="dxa"/>
          </w:tcPr>
          <w:p w:rsidR="00685215" w:rsidRPr="00B35516" w:rsidRDefault="00685215" w:rsidP="001D5043">
            <w:pPr>
              <w:spacing w:before="60" w:after="60" w:line="240" w:lineRule="auto"/>
              <w:rPr>
                <w:iCs/>
              </w:rPr>
            </w:pPr>
            <w:r w:rsidRPr="00B35516">
              <w:rPr>
                <w:iCs/>
              </w:rPr>
              <w:t>Australian Institute of Family Studies</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ALRA Act</w:t>
            </w:r>
          </w:p>
        </w:tc>
        <w:tc>
          <w:tcPr>
            <w:tcW w:w="5011" w:type="dxa"/>
          </w:tcPr>
          <w:p w:rsidR="00685215" w:rsidRPr="00A7210F" w:rsidRDefault="00685215" w:rsidP="001D5043">
            <w:pPr>
              <w:spacing w:before="60" w:after="60" w:line="240" w:lineRule="auto"/>
              <w:rPr>
                <w:i/>
                <w:iCs/>
              </w:rPr>
            </w:pPr>
            <w:r w:rsidRPr="00A7210F">
              <w:rPr>
                <w:i/>
                <w:iCs/>
              </w:rPr>
              <w:t>Aboriginal Land Rights (Northern Territory) Act 1976</w:t>
            </w:r>
          </w:p>
        </w:tc>
      </w:tr>
      <w:tr w:rsidR="00685215" w:rsidRPr="00D2550C" w:rsidTr="00D31999">
        <w:trPr>
          <w:cantSplit/>
        </w:trPr>
        <w:tc>
          <w:tcPr>
            <w:tcW w:w="2700" w:type="dxa"/>
          </w:tcPr>
          <w:p w:rsidR="00685215" w:rsidRPr="00A7210F" w:rsidRDefault="00685215" w:rsidP="001D5043">
            <w:pPr>
              <w:spacing w:before="60" w:after="60" w:line="240" w:lineRule="auto"/>
            </w:pPr>
            <w:r>
              <w:t>ATSI Act</w:t>
            </w:r>
          </w:p>
        </w:tc>
        <w:tc>
          <w:tcPr>
            <w:tcW w:w="5011" w:type="dxa"/>
          </w:tcPr>
          <w:p w:rsidR="00685215" w:rsidRPr="00A7210F" w:rsidRDefault="00685215" w:rsidP="001D5043">
            <w:pPr>
              <w:spacing w:before="60" w:after="60" w:line="240" w:lineRule="auto"/>
              <w:rPr>
                <w:i/>
                <w:iCs/>
              </w:rPr>
            </w:pPr>
            <w:r>
              <w:rPr>
                <w:i/>
                <w:iCs/>
              </w:rPr>
              <w:t>Aboriginal and Torres Strait Islander Act 2005</w:t>
            </w:r>
          </w:p>
        </w:tc>
      </w:tr>
      <w:tr w:rsidR="00685215" w:rsidRPr="00D2550C" w:rsidTr="00D31999">
        <w:trPr>
          <w:cantSplit/>
        </w:trPr>
        <w:tc>
          <w:tcPr>
            <w:tcW w:w="2700" w:type="dxa"/>
          </w:tcPr>
          <w:p w:rsidR="00685215" w:rsidRPr="00A7210F" w:rsidRDefault="00685215" w:rsidP="001D5043">
            <w:pPr>
              <w:spacing w:before="60" w:after="60" w:line="240" w:lineRule="auto"/>
            </w:pPr>
            <w:r>
              <w:t>BBR</w:t>
            </w:r>
            <w:r w:rsidR="00861D5C">
              <w:t>C</w:t>
            </w:r>
          </w:p>
        </w:tc>
        <w:tc>
          <w:tcPr>
            <w:tcW w:w="5011" w:type="dxa"/>
          </w:tcPr>
          <w:p w:rsidR="00685215" w:rsidRPr="000525A4" w:rsidRDefault="00685215" w:rsidP="001D5043">
            <w:pPr>
              <w:spacing w:before="60" w:after="60" w:line="240" w:lineRule="auto"/>
              <w:rPr>
                <w:iCs/>
              </w:rPr>
            </w:pPr>
            <w:r w:rsidRPr="000525A4">
              <w:rPr>
                <w:iCs/>
              </w:rPr>
              <w:t>Building Better Regional Cities</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CAC Act</w:t>
            </w:r>
          </w:p>
        </w:tc>
        <w:tc>
          <w:tcPr>
            <w:tcW w:w="5011" w:type="dxa"/>
          </w:tcPr>
          <w:p w:rsidR="00685215" w:rsidRPr="00A7210F" w:rsidRDefault="00685215" w:rsidP="001D5043">
            <w:pPr>
              <w:spacing w:before="60" w:after="60" w:line="240" w:lineRule="auto"/>
              <w:rPr>
                <w:i/>
                <w:iCs/>
              </w:rPr>
            </w:pPr>
            <w:r w:rsidRPr="00A7210F">
              <w:rPr>
                <w:i/>
                <w:iCs/>
              </w:rPr>
              <w:t>Commonwealth Authorities and Companies Act 1997</w:t>
            </w:r>
          </w:p>
        </w:tc>
      </w:tr>
      <w:tr w:rsidR="00555033" w:rsidRPr="00D2550C" w:rsidTr="00D31999">
        <w:trPr>
          <w:cantSplit/>
        </w:trPr>
        <w:tc>
          <w:tcPr>
            <w:tcW w:w="2700" w:type="dxa"/>
          </w:tcPr>
          <w:p w:rsidR="00555033" w:rsidRPr="00A7210F" w:rsidRDefault="00555033" w:rsidP="001D5043">
            <w:pPr>
              <w:spacing w:before="60" w:after="60" w:line="240" w:lineRule="auto"/>
            </w:pPr>
            <w:r>
              <w:t>CALD</w:t>
            </w:r>
          </w:p>
        </w:tc>
        <w:tc>
          <w:tcPr>
            <w:tcW w:w="5011" w:type="dxa"/>
          </w:tcPr>
          <w:p w:rsidR="00555033" w:rsidRPr="00555033" w:rsidRDefault="00555033" w:rsidP="001D5043">
            <w:pPr>
              <w:spacing w:before="60" w:after="60" w:line="240" w:lineRule="auto"/>
              <w:rPr>
                <w:iCs/>
              </w:rPr>
            </w:pPr>
            <w:r w:rsidRPr="00555033">
              <w:rPr>
                <w:iCs/>
              </w:rPr>
              <w:t>culturally and linguistically diverse</w:t>
            </w:r>
          </w:p>
        </w:tc>
      </w:tr>
      <w:tr w:rsidR="0010399E" w:rsidRPr="00D2550C" w:rsidTr="00D31999">
        <w:trPr>
          <w:cantSplit/>
        </w:trPr>
        <w:tc>
          <w:tcPr>
            <w:tcW w:w="2700" w:type="dxa"/>
          </w:tcPr>
          <w:p w:rsidR="0010399E" w:rsidRDefault="0010399E" w:rsidP="001D5043">
            <w:pPr>
              <w:spacing w:before="60" w:after="60" w:line="240" w:lineRule="auto"/>
            </w:pPr>
            <w:r>
              <w:t>CDF</w:t>
            </w:r>
          </w:p>
        </w:tc>
        <w:tc>
          <w:tcPr>
            <w:tcW w:w="5011" w:type="dxa"/>
          </w:tcPr>
          <w:p w:rsidR="0010399E" w:rsidRPr="00555033" w:rsidRDefault="0010399E" w:rsidP="001D5043">
            <w:pPr>
              <w:spacing w:before="60" w:after="60" w:line="240" w:lineRule="auto"/>
              <w:rPr>
                <w:iCs/>
              </w:rPr>
            </w:pPr>
            <w:r>
              <w:rPr>
                <w:iCs/>
              </w:rPr>
              <w:t>Community Development Fund</w:t>
            </w:r>
          </w:p>
        </w:tc>
      </w:tr>
      <w:tr w:rsidR="00685215" w:rsidRPr="00D2550C" w:rsidTr="00D31999">
        <w:trPr>
          <w:cantSplit/>
        </w:trPr>
        <w:tc>
          <w:tcPr>
            <w:tcW w:w="2700" w:type="dxa"/>
          </w:tcPr>
          <w:p w:rsidR="00685215" w:rsidRPr="00A7210F" w:rsidRDefault="00685215" w:rsidP="001D5043">
            <w:pPr>
              <w:spacing w:before="60" w:after="60" w:line="240" w:lineRule="auto"/>
            </w:pPr>
            <w:r>
              <w:t xml:space="preserve">CEO </w:t>
            </w:r>
          </w:p>
        </w:tc>
        <w:tc>
          <w:tcPr>
            <w:tcW w:w="5011" w:type="dxa"/>
          </w:tcPr>
          <w:p w:rsidR="00685215" w:rsidRPr="00A7210F" w:rsidRDefault="00685215" w:rsidP="001D5043">
            <w:pPr>
              <w:spacing w:before="60" w:after="60" w:line="240" w:lineRule="auto"/>
            </w:pPr>
            <w:r>
              <w:t>Chief Executive Officer</w:t>
            </w:r>
          </w:p>
        </w:tc>
      </w:tr>
      <w:tr w:rsidR="00555033" w:rsidRPr="00D2550C" w:rsidTr="00D31999">
        <w:trPr>
          <w:cantSplit/>
        </w:trPr>
        <w:tc>
          <w:tcPr>
            <w:tcW w:w="2700" w:type="dxa"/>
          </w:tcPr>
          <w:p w:rsidR="00555033" w:rsidRDefault="00555033" w:rsidP="001D5043">
            <w:pPr>
              <w:spacing w:before="60" w:after="60" w:line="240" w:lineRule="auto"/>
            </w:pPr>
            <w:r>
              <w:t>CFC</w:t>
            </w:r>
          </w:p>
        </w:tc>
        <w:tc>
          <w:tcPr>
            <w:tcW w:w="5011" w:type="dxa"/>
          </w:tcPr>
          <w:p w:rsidR="00555033" w:rsidRDefault="00555033" w:rsidP="001D5043">
            <w:pPr>
              <w:spacing w:before="60" w:after="60" w:line="240" w:lineRule="auto"/>
            </w:pPr>
            <w:r w:rsidRPr="00555033">
              <w:t>Commonwealth Financial Counselling</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CDEP</w:t>
            </w:r>
          </w:p>
        </w:tc>
        <w:tc>
          <w:tcPr>
            <w:tcW w:w="5011" w:type="dxa"/>
          </w:tcPr>
          <w:p w:rsidR="00685215" w:rsidRPr="00A7210F" w:rsidRDefault="00685215" w:rsidP="001D5043">
            <w:pPr>
              <w:spacing w:before="60" w:after="60" w:line="240" w:lineRule="auto"/>
            </w:pPr>
            <w:r w:rsidRPr="00A7210F">
              <w:t>Community Development Employment Projects</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COAG</w:t>
            </w:r>
          </w:p>
        </w:tc>
        <w:tc>
          <w:tcPr>
            <w:tcW w:w="5011" w:type="dxa"/>
          </w:tcPr>
          <w:p w:rsidR="00685215" w:rsidRPr="00A7210F" w:rsidRDefault="00685215" w:rsidP="001D5043">
            <w:pPr>
              <w:spacing w:before="60" w:after="60" w:line="240" w:lineRule="auto"/>
            </w:pPr>
            <w:r w:rsidRPr="00A7210F">
              <w:t>Council of Australian Governments</w:t>
            </w:r>
          </w:p>
        </w:tc>
      </w:tr>
      <w:tr w:rsidR="00555033" w:rsidRPr="00D2550C" w:rsidTr="00D31999">
        <w:trPr>
          <w:cantSplit/>
        </w:trPr>
        <w:tc>
          <w:tcPr>
            <w:tcW w:w="2700" w:type="dxa"/>
          </w:tcPr>
          <w:p w:rsidR="00555033" w:rsidRPr="00A7210F" w:rsidRDefault="00555033" w:rsidP="001D5043">
            <w:pPr>
              <w:spacing w:before="60" w:after="60" w:line="240" w:lineRule="auto"/>
            </w:pPr>
            <w:r>
              <w:t>CRF</w:t>
            </w:r>
          </w:p>
        </w:tc>
        <w:tc>
          <w:tcPr>
            <w:tcW w:w="5011" w:type="dxa"/>
          </w:tcPr>
          <w:p w:rsidR="00555033" w:rsidRPr="00A7210F" w:rsidRDefault="00555033" w:rsidP="001D5043">
            <w:pPr>
              <w:spacing w:before="60" w:after="60" w:line="240" w:lineRule="auto"/>
            </w:pPr>
            <w:r>
              <w:t>Consolidated Revenue Fund</w:t>
            </w:r>
          </w:p>
        </w:tc>
      </w:tr>
      <w:tr w:rsidR="00685215" w:rsidRPr="00D2550C" w:rsidTr="00D31999">
        <w:trPr>
          <w:cantSplit/>
        </w:trPr>
        <w:tc>
          <w:tcPr>
            <w:tcW w:w="2700" w:type="dxa"/>
          </w:tcPr>
          <w:p w:rsidR="00685215" w:rsidRPr="00A7210F" w:rsidRDefault="00685215" w:rsidP="001D5043">
            <w:pPr>
              <w:spacing w:before="60" w:after="60" w:line="240" w:lineRule="auto"/>
            </w:pPr>
            <w:r>
              <w:t>DAPP</w:t>
            </w:r>
          </w:p>
        </w:tc>
        <w:tc>
          <w:tcPr>
            <w:tcW w:w="5011" w:type="dxa"/>
          </w:tcPr>
          <w:p w:rsidR="00685215" w:rsidRPr="00A7210F" w:rsidRDefault="00685215" w:rsidP="001D5043">
            <w:pPr>
              <w:spacing w:before="60" w:after="60" w:line="240" w:lineRule="auto"/>
            </w:pPr>
            <w:r>
              <w:t>Dad and Partner Pay</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DEEWR</w:t>
            </w:r>
          </w:p>
        </w:tc>
        <w:tc>
          <w:tcPr>
            <w:tcW w:w="5011" w:type="dxa"/>
          </w:tcPr>
          <w:p w:rsidR="00685215" w:rsidRPr="00A7210F" w:rsidRDefault="00685215" w:rsidP="001D5043">
            <w:pPr>
              <w:spacing w:before="60" w:after="60" w:line="240" w:lineRule="auto"/>
            </w:pPr>
            <w:r w:rsidRPr="00A7210F">
              <w:t>Department of Education, Employment and Workplace Relations</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DHA</w:t>
            </w:r>
          </w:p>
        </w:tc>
        <w:tc>
          <w:tcPr>
            <w:tcW w:w="5011" w:type="dxa"/>
          </w:tcPr>
          <w:p w:rsidR="00685215" w:rsidRPr="00A7210F" w:rsidRDefault="00685215" w:rsidP="001D5043">
            <w:pPr>
              <w:spacing w:before="60" w:after="60" w:line="240" w:lineRule="auto"/>
            </w:pPr>
            <w:r w:rsidRPr="00A7210F">
              <w:t>Department of Health and Ageing</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DHS</w:t>
            </w:r>
          </w:p>
        </w:tc>
        <w:tc>
          <w:tcPr>
            <w:tcW w:w="5011" w:type="dxa"/>
          </w:tcPr>
          <w:p w:rsidR="00685215" w:rsidRPr="00A7210F" w:rsidRDefault="00685215" w:rsidP="001D5043">
            <w:pPr>
              <w:spacing w:before="60" w:after="60" w:line="240" w:lineRule="auto"/>
            </w:pPr>
            <w:r w:rsidRPr="00A7210F">
              <w:t>Department of Human Services</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DSP</w:t>
            </w:r>
          </w:p>
        </w:tc>
        <w:tc>
          <w:tcPr>
            <w:tcW w:w="5011" w:type="dxa"/>
          </w:tcPr>
          <w:p w:rsidR="00685215" w:rsidRPr="00A7210F" w:rsidRDefault="00685215" w:rsidP="001D5043">
            <w:pPr>
              <w:spacing w:before="60" w:after="60" w:line="240" w:lineRule="auto"/>
            </w:pPr>
            <w:r w:rsidRPr="00A7210F">
              <w:t>Disability Support Pension</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DVA</w:t>
            </w:r>
          </w:p>
        </w:tc>
        <w:tc>
          <w:tcPr>
            <w:tcW w:w="5011" w:type="dxa"/>
          </w:tcPr>
          <w:p w:rsidR="00685215" w:rsidRPr="00A7210F" w:rsidRDefault="00685215" w:rsidP="001D5043">
            <w:pPr>
              <w:spacing w:before="60" w:after="60" w:line="240" w:lineRule="auto"/>
            </w:pPr>
            <w:r w:rsidRPr="00A7210F">
              <w:t>Department of Veterans’ Affairs</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FaHCSIA</w:t>
            </w:r>
          </w:p>
        </w:tc>
        <w:tc>
          <w:tcPr>
            <w:tcW w:w="5011" w:type="dxa"/>
          </w:tcPr>
          <w:p w:rsidR="00685215" w:rsidRPr="00A7210F" w:rsidRDefault="00685215" w:rsidP="001D5043">
            <w:pPr>
              <w:spacing w:before="60" w:after="60" w:line="240" w:lineRule="auto"/>
            </w:pPr>
            <w:r w:rsidRPr="00A7210F">
              <w:t>Department of Families, Housing, Community Services and Indigenous Affairs</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FMA Act</w:t>
            </w:r>
          </w:p>
        </w:tc>
        <w:tc>
          <w:tcPr>
            <w:tcW w:w="5011" w:type="dxa"/>
          </w:tcPr>
          <w:p w:rsidR="00685215" w:rsidRPr="00A7210F" w:rsidRDefault="00685215" w:rsidP="001D5043">
            <w:pPr>
              <w:spacing w:before="60" w:after="60" w:line="240" w:lineRule="auto"/>
              <w:rPr>
                <w:i/>
                <w:iCs/>
              </w:rPr>
            </w:pPr>
            <w:r w:rsidRPr="00A7210F">
              <w:rPr>
                <w:i/>
                <w:iCs/>
              </w:rPr>
              <w:t>Financial Management and Accountability Act 1997</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FTB</w:t>
            </w:r>
          </w:p>
        </w:tc>
        <w:tc>
          <w:tcPr>
            <w:tcW w:w="5011" w:type="dxa"/>
          </w:tcPr>
          <w:p w:rsidR="00685215" w:rsidRPr="00A7210F" w:rsidRDefault="00685215" w:rsidP="001D5043">
            <w:pPr>
              <w:spacing w:before="60" w:after="60" w:line="240" w:lineRule="auto"/>
            </w:pPr>
            <w:r w:rsidRPr="00A7210F">
              <w:t>Family Tax Benefit</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IBA</w:t>
            </w:r>
          </w:p>
        </w:tc>
        <w:tc>
          <w:tcPr>
            <w:tcW w:w="5011" w:type="dxa"/>
          </w:tcPr>
          <w:p w:rsidR="00685215" w:rsidRPr="00A7210F" w:rsidRDefault="00685215" w:rsidP="001D5043">
            <w:pPr>
              <w:spacing w:before="60" w:after="60" w:line="240" w:lineRule="auto"/>
            </w:pPr>
            <w:r w:rsidRPr="00A7210F">
              <w:t>Indigenous Business Australia</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ILC</w:t>
            </w:r>
          </w:p>
        </w:tc>
        <w:tc>
          <w:tcPr>
            <w:tcW w:w="5011" w:type="dxa"/>
          </w:tcPr>
          <w:p w:rsidR="00685215" w:rsidRPr="00A7210F" w:rsidRDefault="00685215" w:rsidP="001D5043">
            <w:pPr>
              <w:spacing w:before="60" w:after="60" w:line="240" w:lineRule="auto"/>
            </w:pPr>
            <w:r w:rsidRPr="00A7210F">
              <w:t>Indigenous Land Corporation</w:t>
            </w:r>
          </w:p>
        </w:tc>
      </w:tr>
      <w:tr w:rsidR="00555033" w:rsidRPr="00D2550C" w:rsidTr="00D31999">
        <w:trPr>
          <w:cantSplit/>
        </w:trPr>
        <w:tc>
          <w:tcPr>
            <w:tcW w:w="2700" w:type="dxa"/>
          </w:tcPr>
          <w:p w:rsidR="00555033" w:rsidRPr="00A7210F" w:rsidRDefault="00555033" w:rsidP="001D5043">
            <w:pPr>
              <w:spacing w:before="60" w:after="60" w:line="240" w:lineRule="auto"/>
            </w:pPr>
            <w:r>
              <w:t>KPI</w:t>
            </w:r>
          </w:p>
        </w:tc>
        <w:tc>
          <w:tcPr>
            <w:tcW w:w="5011" w:type="dxa"/>
          </w:tcPr>
          <w:p w:rsidR="00555033" w:rsidRPr="00A7210F" w:rsidRDefault="00555033" w:rsidP="001D5043">
            <w:pPr>
              <w:spacing w:before="60" w:after="60" w:line="240" w:lineRule="auto"/>
            </w:pPr>
            <w:r>
              <w:t>key performance indicator</w:t>
            </w:r>
          </w:p>
        </w:tc>
      </w:tr>
      <w:tr w:rsidR="004701D0" w:rsidRPr="00D2550C" w:rsidTr="00D31999">
        <w:trPr>
          <w:cantSplit/>
        </w:trPr>
        <w:tc>
          <w:tcPr>
            <w:tcW w:w="2700" w:type="dxa"/>
          </w:tcPr>
          <w:p w:rsidR="004701D0" w:rsidRPr="00A7210F" w:rsidRDefault="004701D0" w:rsidP="001D5043">
            <w:pPr>
              <w:spacing w:before="60" w:after="60" w:line="240" w:lineRule="auto"/>
            </w:pPr>
            <w:r>
              <w:lastRenderedPageBreak/>
              <w:t>MYEFO</w:t>
            </w:r>
          </w:p>
        </w:tc>
        <w:tc>
          <w:tcPr>
            <w:tcW w:w="5011" w:type="dxa"/>
          </w:tcPr>
          <w:p w:rsidR="004701D0" w:rsidRPr="00A7210F" w:rsidRDefault="00555033" w:rsidP="001D5043">
            <w:pPr>
              <w:spacing w:before="60" w:after="60" w:line="240" w:lineRule="auto"/>
            </w:pPr>
            <w:r>
              <w:t>Mid-Y</w:t>
            </w:r>
            <w:r w:rsidR="004701D0">
              <w:t>ear Economic and Fiscal Outlook</w:t>
            </w:r>
          </w:p>
        </w:tc>
      </w:tr>
      <w:tr w:rsidR="00685215" w:rsidRPr="00D2550C" w:rsidTr="00D31999">
        <w:trPr>
          <w:cantSplit/>
        </w:trPr>
        <w:tc>
          <w:tcPr>
            <w:tcW w:w="2700" w:type="dxa"/>
          </w:tcPr>
          <w:p w:rsidR="00685215" w:rsidRPr="00A7210F" w:rsidRDefault="00685215" w:rsidP="001D5043">
            <w:pPr>
              <w:spacing w:before="60" w:after="60" w:line="240" w:lineRule="auto"/>
            </w:pPr>
            <w:r>
              <w:t>NDIS</w:t>
            </w:r>
          </w:p>
        </w:tc>
        <w:tc>
          <w:tcPr>
            <w:tcW w:w="5011" w:type="dxa"/>
          </w:tcPr>
          <w:p w:rsidR="00685215" w:rsidRPr="00A7210F" w:rsidRDefault="00685215" w:rsidP="001D5043">
            <w:pPr>
              <w:spacing w:before="60" w:after="60" w:line="240" w:lineRule="auto"/>
            </w:pPr>
            <w:r>
              <w:t>National Disability Insurance Scheme</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NRAS</w:t>
            </w:r>
          </w:p>
        </w:tc>
        <w:tc>
          <w:tcPr>
            <w:tcW w:w="5011" w:type="dxa"/>
          </w:tcPr>
          <w:p w:rsidR="00685215" w:rsidRPr="00A7210F" w:rsidRDefault="00685215" w:rsidP="001D5043">
            <w:pPr>
              <w:spacing w:before="60" w:after="60" w:line="240" w:lineRule="auto"/>
            </w:pPr>
            <w:r w:rsidRPr="00A7210F">
              <w:t>National Rental Affordability Scheme</w:t>
            </w:r>
          </w:p>
        </w:tc>
      </w:tr>
      <w:tr w:rsidR="00685215" w:rsidRPr="00D2550C" w:rsidTr="00D31999">
        <w:trPr>
          <w:cantSplit/>
        </w:trPr>
        <w:tc>
          <w:tcPr>
            <w:tcW w:w="2700" w:type="dxa"/>
          </w:tcPr>
          <w:p w:rsidR="00685215" w:rsidRPr="00A7210F" w:rsidRDefault="00685215" w:rsidP="001D5043">
            <w:pPr>
              <w:spacing w:before="60" w:after="60" w:line="240" w:lineRule="auto"/>
            </w:pPr>
            <w:r>
              <w:t>OBS</w:t>
            </w:r>
          </w:p>
        </w:tc>
        <w:tc>
          <w:tcPr>
            <w:tcW w:w="5011" w:type="dxa"/>
          </w:tcPr>
          <w:p w:rsidR="00685215" w:rsidRPr="00A7210F" w:rsidRDefault="00685215" w:rsidP="001D5043">
            <w:pPr>
              <w:spacing w:before="60" w:after="60" w:line="240" w:lineRule="auto"/>
            </w:pPr>
            <w:r>
              <w:t>Outback Stores Pty Ltd</w:t>
            </w:r>
          </w:p>
        </w:tc>
      </w:tr>
      <w:tr w:rsidR="00685215" w:rsidRPr="00D2550C" w:rsidTr="00D31999">
        <w:trPr>
          <w:cantSplit/>
        </w:trPr>
        <w:tc>
          <w:tcPr>
            <w:tcW w:w="2700" w:type="dxa"/>
          </w:tcPr>
          <w:p w:rsidR="00685215" w:rsidRPr="00A7210F" w:rsidRDefault="00685215" w:rsidP="001D5043">
            <w:pPr>
              <w:spacing w:before="60" w:after="60" w:line="240" w:lineRule="auto"/>
            </w:pPr>
            <w:r>
              <w:t>OECD</w:t>
            </w:r>
          </w:p>
        </w:tc>
        <w:tc>
          <w:tcPr>
            <w:tcW w:w="5011" w:type="dxa"/>
          </w:tcPr>
          <w:p w:rsidR="00685215" w:rsidRPr="00A7210F" w:rsidRDefault="00685215" w:rsidP="001D5043">
            <w:pPr>
              <w:spacing w:before="60" w:after="60" w:line="240" w:lineRule="auto"/>
            </w:pPr>
            <w:r>
              <w:t>Organisation for Economic Cooperation and Development</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PPL</w:t>
            </w:r>
          </w:p>
        </w:tc>
        <w:tc>
          <w:tcPr>
            <w:tcW w:w="5011" w:type="dxa"/>
          </w:tcPr>
          <w:p w:rsidR="00685215" w:rsidRPr="00A7210F" w:rsidRDefault="00685215" w:rsidP="001D5043">
            <w:pPr>
              <w:spacing w:before="60" w:after="60" w:line="240" w:lineRule="auto"/>
            </w:pPr>
            <w:r w:rsidRPr="00A7210F">
              <w:t>Paid Parental Leave</w:t>
            </w:r>
          </w:p>
        </w:tc>
      </w:tr>
      <w:tr w:rsidR="0010399E" w:rsidRPr="00D2550C" w:rsidTr="00D31999">
        <w:trPr>
          <w:cantSplit/>
        </w:trPr>
        <w:tc>
          <w:tcPr>
            <w:tcW w:w="2700" w:type="dxa"/>
          </w:tcPr>
          <w:p w:rsidR="0010399E" w:rsidRPr="00A7210F" w:rsidRDefault="0010399E" w:rsidP="001D5043">
            <w:pPr>
              <w:spacing w:before="60" w:after="60" w:line="240" w:lineRule="auto"/>
            </w:pPr>
            <w:r>
              <w:t>RJCP</w:t>
            </w:r>
          </w:p>
        </w:tc>
        <w:tc>
          <w:tcPr>
            <w:tcW w:w="5011" w:type="dxa"/>
          </w:tcPr>
          <w:p w:rsidR="0010399E" w:rsidRPr="00A7210F" w:rsidRDefault="0010399E" w:rsidP="001D5043">
            <w:pPr>
              <w:spacing w:before="60" w:after="60" w:line="240" w:lineRule="auto"/>
            </w:pPr>
            <w:r>
              <w:t>Remote Jobs and Communities Program</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SSAT</w:t>
            </w:r>
          </w:p>
        </w:tc>
        <w:tc>
          <w:tcPr>
            <w:tcW w:w="5011" w:type="dxa"/>
          </w:tcPr>
          <w:p w:rsidR="00685215" w:rsidRPr="00A7210F" w:rsidRDefault="00685215" w:rsidP="001D5043">
            <w:pPr>
              <w:spacing w:before="60" w:after="60" w:line="240" w:lineRule="auto"/>
            </w:pPr>
            <w:r w:rsidRPr="00A7210F">
              <w:t>Social Security Appeals Tribunal</w:t>
            </w:r>
          </w:p>
        </w:tc>
      </w:tr>
      <w:tr w:rsidR="00685215" w:rsidRPr="00D2550C" w:rsidTr="00D31999">
        <w:trPr>
          <w:cantSplit/>
        </w:trPr>
        <w:tc>
          <w:tcPr>
            <w:tcW w:w="2700" w:type="dxa"/>
          </w:tcPr>
          <w:p w:rsidR="00685215" w:rsidRPr="00A7210F" w:rsidRDefault="00685215" w:rsidP="001D5043">
            <w:pPr>
              <w:spacing w:before="60" w:after="60" w:line="240" w:lineRule="auto"/>
            </w:pPr>
            <w:r w:rsidRPr="00A7210F">
              <w:t>TSRA</w:t>
            </w:r>
          </w:p>
        </w:tc>
        <w:tc>
          <w:tcPr>
            <w:tcW w:w="5011" w:type="dxa"/>
          </w:tcPr>
          <w:p w:rsidR="00685215" w:rsidRPr="00A7210F" w:rsidRDefault="00685215" w:rsidP="001D5043">
            <w:pPr>
              <w:spacing w:before="60" w:after="60" w:line="240" w:lineRule="auto"/>
            </w:pPr>
            <w:r w:rsidRPr="00A7210F">
              <w:t>Torres Strait Regional Authority</w:t>
            </w:r>
          </w:p>
        </w:tc>
      </w:tr>
      <w:tr w:rsidR="00685215" w:rsidRPr="00D2550C" w:rsidTr="00D31999">
        <w:trPr>
          <w:cantSplit/>
        </w:trPr>
        <w:tc>
          <w:tcPr>
            <w:tcW w:w="2700" w:type="dxa"/>
          </w:tcPr>
          <w:p w:rsidR="00685215" w:rsidRPr="00A7210F" w:rsidRDefault="00685215" w:rsidP="001D5043">
            <w:pPr>
              <w:spacing w:before="60" w:after="60" w:line="240" w:lineRule="auto"/>
            </w:pPr>
            <w:r>
              <w:t>WGE Act</w:t>
            </w:r>
          </w:p>
        </w:tc>
        <w:tc>
          <w:tcPr>
            <w:tcW w:w="5011" w:type="dxa"/>
          </w:tcPr>
          <w:p w:rsidR="00685215" w:rsidRPr="001B16B6" w:rsidRDefault="00685215" w:rsidP="001D5043">
            <w:pPr>
              <w:spacing w:before="60" w:after="60" w:line="240" w:lineRule="auto"/>
              <w:rPr>
                <w:i/>
              </w:rPr>
            </w:pPr>
            <w:r w:rsidRPr="001B16B6">
              <w:rPr>
                <w:i/>
              </w:rPr>
              <w:t>Workplace Gender Equality Act 2012</w:t>
            </w:r>
          </w:p>
        </w:tc>
      </w:tr>
      <w:tr w:rsidR="00BD7AE8" w:rsidRPr="00D2550C" w:rsidTr="00D31999">
        <w:trPr>
          <w:cantSplit/>
        </w:trPr>
        <w:tc>
          <w:tcPr>
            <w:tcW w:w="2700" w:type="dxa"/>
          </w:tcPr>
          <w:p w:rsidR="00BD7AE8" w:rsidRDefault="00BD7AE8" w:rsidP="001D5043">
            <w:pPr>
              <w:spacing w:before="60" w:after="60" w:line="240" w:lineRule="auto"/>
            </w:pPr>
            <w:r>
              <w:t>WGEA</w:t>
            </w:r>
          </w:p>
        </w:tc>
        <w:tc>
          <w:tcPr>
            <w:tcW w:w="5011" w:type="dxa"/>
          </w:tcPr>
          <w:p w:rsidR="00BD7AE8" w:rsidRPr="00CE6400" w:rsidRDefault="00BD7AE8" w:rsidP="001D5043">
            <w:pPr>
              <w:spacing w:before="60" w:after="60" w:line="240" w:lineRule="auto"/>
            </w:pPr>
            <w:r w:rsidRPr="00CE6400">
              <w:t>Workplace Gender Equality Agency</w:t>
            </w:r>
          </w:p>
        </w:tc>
      </w:tr>
    </w:tbl>
    <w:p w:rsidR="00A87D8E" w:rsidRDefault="00A87D8E" w:rsidP="00484CB3"/>
    <w:p w:rsidR="00D31999" w:rsidRDefault="00D31999" w:rsidP="00484CB3">
      <w:pPr>
        <w:sectPr w:rsidR="00D31999" w:rsidSect="00D31999">
          <w:headerReference w:type="even" r:id="rId223"/>
          <w:headerReference w:type="default" r:id="rId224"/>
          <w:pgSz w:w="11907" w:h="16840" w:code="9"/>
          <w:pgMar w:top="2466" w:right="2098" w:bottom="2466" w:left="2098" w:header="1899" w:footer="1899" w:gutter="0"/>
          <w:cols w:space="708"/>
          <w:titlePg/>
          <w:docGrid w:linePitch="360"/>
        </w:sectPr>
      </w:pPr>
    </w:p>
    <w:p w:rsidR="008A1840" w:rsidRPr="008A1840" w:rsidRDefault="008A1840" w:rsidP="00D31999">
      <w:pPr>
        <w:spacing w:after="120" w:line="240" w:lineRule="auto"/>
        <w:rPr>
          <w:rFonts w:ascii="Arial" w:hAnsi="Arial" w:cs="Arial"/>
        </w:rPr>
      </w:pPr>
    </w:p>
    <w:sectPr w:rsidR="008A1840" w:rsidRPr="008A1840" w:rsidSect="00BC7ECE">
      <w:headerReference w:type="even" r:id="rId225"/>
      <w:headerReference w:type="default" r:id="rId226"/>
      <w:headerReference w:type="first" r:id="rId227"/>
      <w:type w:val="continuous"/>
      <w:pgSz w:w="11907" w:h="16840" w:code="9"/>
      <w:pgMar w:top="2466" w:right="2098" w:bottom="2466" w:left="2098" w:header="1899" w:footer="1899" w:gutter="0"/>
      <w:cols w:num="2" w:space="800" w:equalWidth="0">
        <w:col w:w="3302" w:space="800"/>
        <w:col w:w="3609"/>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30C" w:rsidRDefault="00F7530C" w:rsidP="00F51DAC">
      <w:pPr>
        <w:spacing w:after="0" w:line="240" w:lineRule="auto"/>
      </w:pPr>
      <w:r>
        <w:separator/>
      </w:r>
    </w:p>
  </w:endnote>
  <w:endnote w:type="continuationSeparator" w:id="0">
    <w:p w:rsidR="00F7530C" w:rsidRDefault="00F7530C" w:rsidP="00F5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C0ED47E-CD13-4808-B743-FD24129A7942}"/>
    <w:embedBold r:id="rId2" w:fontKey="{62E97012-F88C-4315-80A8-1758B5D63DD2}"/>
    <w:embedItalic r:id="rId3" w:fontKey="{BED1CE49-1ABF-4AAE-A977-26CB2B46CCD2}"/>
    <w:embedBoldItalic r:id="rId4" w:fontKey="{3137B511-8356-4163-99FE-255A48B324B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5" w:fontKey="{884CA500-0464-436B-AA95-F4486E2CB398}"/>
    <w:embedBold r:id="rId6" w:fontKey="{C0AFC9AF-32C5-4C07-A27C-05713F3324F4}"/>
    <w:embedItalic r:id="rId7" w:fontKey="{88CD0929-284C-468C-BFB9-61F40F953582}"/>
    <w:embedBoldItalic r:id="rId8" w:fontKey="{B94B29FC-238D-4E34-88DF-1B1715224437}"/>
  </w:font>
  <w:font w:name="Book Antiqua">
    <w:panose1 w:val="02040602050305030304"/>
    <w:charset w:val="00"/>
    <w:family w:val="roman"/>
    <w:pitch w:val="variable"/>
    <w:sig w:usb0="00000287" w:usb1="00000000" w:usb2="00000000" w:usb3="00000000" w:csb0="0000009F" w:csb1="00000000"/>
    <w:embedRegular r:id="rId9" w:fontKey="{78B9562B-61E5-44E2-89DD-C6123C34FD9F}"/>
    <w:embedBold r:id="rId10" w:fontKey="{6F43F34D-AA11-46B9-A94E-77E469DB6627}"/>
    <w:embedItalic r:id="rId11" w:fontKey="{28066EB1-9CCC-4F8F-B5FD-2C0C8239BEED}"/>
  </w:font>
  <w:font w:name="Calibri">
    <w:panose1 w:val="020F0502020204030204"/>
    <w:charset w:val="00"/>
    <w:family w:val="swiss"/>
    <w:pitch w:val="variable"/>
    <w:sig w:usb0="E00002FF" w:usb1="4000ACFF" w:usb2="00000001" w:usb3="00000000" w:csb0="0000019F" w:csb1="00000000"/>
    <w:embedRegular r:id="rId12" w:subsetted="1" w:fontKey="{09A8DECF-54B1-458D-9749-9FFBA4737217}"/>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embedRegular r:id="rId13" w:subsetted="1" w:fontKey="{2BA5CD34-D10A-45D3-BBA4-E73A256B5B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107652">
    <w:pPr>
      <w:pStyle w:val="Footer"/>
    </w:pPr>
    <w:r>
      <w:fldChar w:fldCharType="begin"/>
    </w:r>
    <w:r>
      <w:instrText xml:space="preserve"> PAGE   \* MERGEFORMAT </w:instrText>
    </w:r>
    <w:r>
      <w:fldChar w:fldCharType="separate"/>
    </w:r>
    <w:r w:rsidR="00564409">
      <w:rPr>
        <w:noProof/>
      </w:rPr>
      <w:t>10</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107652">
    <w:pPr>
      <w:pStyle w:val="Footer"/>
    </w:pPr>
    <w:r>
      <w:fldChar w:fldCharType="begin"/>
    </w:r>
    <w:r>
      <w:instrText xml:space="preserve"> PAGE   \* MERGEFORMAT </w:instrText>
    </w:r>
    <w:r>
      <w:fldChar w:fldCharType="separate"/>
    </w:r>
    <w:r w:rsidR="00564409">
      <w:rPr>
        <w:noProof/>
      </w:rPr>
      <w:t>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r>
      <w:fldChar w:fldCharType="begin"/>
    </w:r>
    <w:r>
      <w:instrText xml:space="preserve"> PAGE   \* MERGEFORMAT </w:instrText>
    </w:r>
    <w:r>
      <w:fldChar w:fldCharType="separate"/>
    </w:r>
    <w:r w:rsidR="00564409">
      <w:rPr>
        <w:noProof/>
      </w:rPr>
      <w:t>13</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r>
      <w:fldChar w:fldCharType="begin"/>
    </w:r>
    <w:r>
      <w:instrText xml:space="preserve"> PAGE   \* MERGEFORMAT </w:instrText>
    </w:r>
    <w:r>
      <w:fldChar w:fldCharType="separate"/>
    </w:r>
    <w:r w:rsidR="00564409">
      <w:rPr>
        <w:noProof/>
      </w:rPr>
      <w:t>17</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107652">
    <w:pPr>
      <w:pStyle w:val="Footer"/>
    </w:pPr>
    <w:r>
      <w:fldChar w:fldCharType="begin"/>
    </w:r>
    <w:r>
      <w:instrText xml:space="preserve"> PAGE   \* MERGEFORMAT </w:instrText>
    </w:r>
    <w:r>
      <w:fldChar w:fldCharType="separate"/>
    </w:r>
    <w:r w:rsidR="00DF12C5">
      <w:rPr>
        <w:noProof/>
      </w:rPr>
      <w:t>318</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107652">
    <w:pPr>
      <w:pStyle w:val="Footer"/>
    </w:pPr>
    <w:r>
      <w:fldChar w:fldCharType="begin"/>
    </w:r>
    <w:r>
      <w:instrText xml:space="preserve"> PAGE   \* MERGEFORMAT </w:instrText>
    </w:r>
    <w:r>
      <w:fldChar w:fldCharType="separate"/>
    </w:r>
    <w:r w:rsidR="00DF12C5">
      <w:rPr>
        <w:noProof/>
      </w:rPr>
      <w:t>319</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r>
      <w:fldChar w:fldCharType="begin"/>
    </w:r>
    <w:r>
      <w:instrText xml:space="preserve"> PAGE   \* MERGEFORMAT </w:instrText>
    </w:r>
    <w:r>
      <w:fldChar w:fldCharType="separate"/>
    </w:r>
    <w:r w:rsidR="00564409">
      <w:rPr>
        <w:noProof/>
      </w:rPr>
      <w:t>19</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8E4CBB">
    <w:pPr>
      <w:pStyle w:val="Footer"/>
    </w:pPr>
    <w:r>
      <w:fldChar w:fldCharType="begin"/>
    </w:r>
    <w:r>
      <w:instrText xml:space="preserve"> PAGE   \* MERGEFORMAT </w:instrText>
    </w:r>
    <w:r>
      <w:fldChar w:fldCharType="separate"/>
    </w:r>
    <w:r w:rsidR="00564409">
      <w:rPr>
        <w:noProof/>
      </w:rPr>
      <w:t>177</w:t>
    </w:r>
    <w:r>
      <w:rPr>
        <w:noProof/>
      </w:rPr>
      <w:fldChar w:fldCharType="end"/>
    </w:r>
  </w:p>
  <w:p w:rsidR="00F7530C" w:rsidRDefault="00F7530C" w:rsidP="006321E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8E4CBB">
    <w:pPr>
      <w:pStyle w:val="Footer"/>
    </w:pPr>
    <w:r>
      <w:fldChar w:fldCharType="begin"/>
    </w:r>
    <w:r>
      <w:instrText xml:space="preserve"> PAGE   \* MERGEFORMAT </w:instrText>
    </w:r>
    <w:r>
      <w:fldChar w:fldCharType="separate"/>
    </w:r>
    <w:r w:rsidR="00564409">
      <w:rPr>
        <w:noProof/>
      </w:rPr>
      <w:t>179</w:t>
    </w:r>
    <w:r>
      <w:rPr>
        <w:noProof/>
      </w:rPr>
      <w:fldChar w:fldCharType="end"/>
    </w:r>
  </w:p>
  <w:p w:rsidR="00F7530C" w:rsidRDefault="00F7530C" w:rsidP="006321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107652">
    <w:pPr>
      <w:pStyle w:val="Footer"/>
    </w:pPr>
    <w:r>
      <w:fldChar w:fldCharType="begin"/>
    </w:r>
    <w:r>
      <w:instrText xml:space="preserve"> PAGE   \* MERGEFORMAT </w:instrText>
    </w:r>
    <w:r>
      <w:fldChar w:fldCharType="separate"/>
    </w:r>
    <w:r w:rsidR="00564409">
      <w:rPr>
        <w:noProof/>
      </w:rPr>
      <w:t>11</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8E4CBB">
    <w:pPr>
      <w:pStyle w:val="Footer"/>
    </w:pPr>
    <w:r>
      <w:fldChar w:fldCharType="begin"/>
    </w:r>
    <w:r>
      <w:instrText xml:space="preserve"> PAGE   \* MERGEFORMAT </w:instrText>
    </w:r>
    <w:r>
      <w:fldChar w:fldCharType="separate"/>
    </w:r>
    <w:r w:rsidR="00564409">
      <w:rPr>
        <w:noProof/>
      </w:rPr>
      <w:t>205</w:t>
    </w:r>
    <w:r>
      <w:rPr>
        <w:noProof/>
      </w:rPr>
      <w:fldChar w:fldCharType="end"/>
    </w:r>
  </w:p>
  <w:p w:rsidR="00F7530C" w:rsidRDefault="00F7530C" w:rsidP="006321E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8E4CBB">
    <w:pPr>
      <w:pStyle w:val="Footer"/>
    </w:pPr>
    <w:r>
      <w:fldChar w:fldCharType="begin"/>
    </w:r>
    <w:r>
      <w:instrText xml:space="preserve"> PAGE   \* MERGEFORMAT </w:instrText>
    </w:r>
    <w:r>
      <w:fldChar w:fldCharType="separate"/>
    </w:r>
    <w:r w:rsidR="00564409">
      <w:rPr>
        <w:noProof/>
      </w:rPr>
      <w:t>229</w:t>
    </w:r>
    <w:r>
      <w:rPr>
        <w:noProof/>
      </w:rPr>
      <w:fldChar w:fldCharType="end"/>
    </w:r>
  </w:p>
  <w:p w:rsidR="00F7530C" w:rsidRDefault="00F7530C" w:rsidP="006321E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8E4CBB">
    <w:pPr>
      <w:pStyle w:val="Footer"/>
    </w:pPr>
    <w:r>
      <w:fldChar w:fldCharType="begin"/>
    </w:r>
    <w:r>
      <w:instrText xml:space="preserve"> PAGE   \* MERGEFORMAT </w:instrText>
    </w:r>
    <w:r>
      <w:fldChar w:fldCharType="separate"/>
    </w:r>
    <w:r w:rsidR="00564409">
      <w:rPr>
        <w:noProof/>
      </w:rPr>
      <w:t>259</w:t>
    </w:r>
    <w:r>
      <w:rPr>
        <w:noProof/>
      </w:rPr>
      <w:fldChar w:fldCharType="end"/>
    </w:r>
  </w:p>
  <w:p w:rsidR="00F7530C" w:rsidRDefault="00F7530C" w:rsidP="006321E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8E4CBB">
    <w:pPr>
      <w:pStyle w:val="Footer"/>
    </w:pPr>
    <w:r>
      <w:fldChar w:fldCharType="begin"/>
    </w:r>
    <w:r>
      <w:instrText xml:space="preserve"> PAGE   \* MERGEFORMAT </w:instrText>
    </w:r>
    <w:r>
      <w:fldChar w:fldCharType="separate"/>
    </w:r>
    <w:r w:rsidR="00564409">
      <w:rPr>
        <w:noProof/>
      </w:rPr>
      <w:t>283</w:t>
    </w:r>
    <w:r>
      <w:rPr>
        <w:noProof/>
      </w:rPr>
      <w:fldChar w:fldCharType="end"/>
    </w:r>
  </w:p>
  <w:p w:rsidR="00F7530C" w:rsidRDefault="00F7530C" w:rsidP="006321E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8E4CBB">
    <w:pPr>
      <w:pStyle w:val="Footer"/>
    </w:pPr>
    <w:r>
      <w:fldChar w:fldCharType="begin"/>
    </w:r>
    <w:r>
      <w:instrText xml:space="preserve"> PAGE   \* MERGEFORMAT </w:instrText>
    </w:r>
    <w:r>
      <w:fldChar w:fldCharType="separate"/>
    </w:r>
    <w:r w:rsidR="00564409">
      <w:rPr>
        <w:noProof/>
      </w:rPr>
      <w:t>309</w:t>
    </w:r>
    <w:r>
      <w:rPr>
        <w:noProof/>
      </w:rPr>
      <w:fldChar w:fldCharType="end"/>
    </w:r>
  </w:p>
  <w:p w:rsidR="00F7530C" w:rsidRDefault="00F7530C" w:rsidP="006321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409" w:rsidRDefault="0056440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107652">
    <w:pPr>
      <w:pStyle w:val="Footer"/>
    </w:pPr>
    <w:r>
      <w:fldChar w:fldCharType="begin"/>
    </w:r>
    <w:r>
      <w:instrText xml:space="preserve"> PAGE   \* MERGEFORMAT </w:instrText>
    </w:r>
    <w:r>
      <w:fldChar w:fldCharType="separate"/>
    </w:r>
    <w:r w:rsidR="00DF12C5">
      <w:rPr>
        <w:noProof/>
      </w:rPr>
      <w:t>332</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107652">
    <w:pPr>
      <w:pStyle w:val="Footer"/>
    </w:pPr>
    <w:r>
      <w:fldChar w:fldCharType="begin"/>
    </w:r>
    <w:r>
      <w:instrText xml:space="preserve"> PAGE   \* MERGEFORMAT </w:instrText>
    </w:r>
    <w:r>
      <w:fldChar w:fldCharType="separate"/>
    </w:r>
    <w:r w:rsidR="00DF12C5">
      <w:rPr>
        <w:noProof/>
      </w:rPr>
      <w:t>335</w: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r>
      <w:fldChar w:fldCharType="begin"/>
    </w:r>
    <w:r>
      <w:instrText xml:space="preserve"> PAGE   \* MERGEFORMAT </w:instrText>
    </w:r>
    <w:r>
      <w:fldChar w:fldCharType="separate"/>
    </w:r>
    <w:r w:rsidR="00DF12C5">
      <w:rPr>
        <w:noProof/>
      </w:rPr>
      <w:t>334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D82BA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D82BA1">
    <w:pPr>
      <w:pStyle w:val="Footer"/>
    </w:pPr>
    <w:r>
      <w:fldChar w:fldCharType="begin"/>
    </w:r>
    <w:r>
      <w:instrText xml:space="preserve"> PAGE   \* MERGEFORMAT </w:instrText>
    </w:r>
    <w:r>
      <w:fldChar w:fldCharType="separate"/>
    </w:r>
    <w:r w:rsidR="00564409">
      <w:rPr>
        <w:noProof/>
      </w:rPr>
      <w:t>iv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Footer"/>
    </w:pPr>
    <w:r>
      <w:fldChar w:fldCharType="begin"/>
    </w:r>
    <w:r>
      <w:instrText xml:space="preserve"> PAGE   \* MERGEFORMAT </w:instrText>
    </w:r>
    <w:r>
      <w:fldChar w:fldCharType="separate"/>
    </w:r>
    <w:r w:rsidR="00564409">
      <w:rPr>
        <w:noProof/>
      </w:rPr>
      <w:t>ix</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1076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30C" w:rsidRDefault="00F7530C" w:rsidP="00F51DAC">
      <w:pPr>
        <w:spacing w:after="0" w:line="240" w:lineRule="auto"/>
      </w:pPr>
      <w:r>
        <w:separator/>
      </w:r>
    </w:p>
  </w:footnote>
  <w:footnote w:type="continuationSeparator" w:id="0">
    <w:p w:rsidR="00F7530C" w:rsidRDefault="00F7530C" w:rsidP="00F51DAC">
      <w:pPr>
        <w:spacing w:after="0" w:line="240" w:lineRule="auto"/>
      </w:pPr>
      <w:r>
        <w:continuationSeparator/>
      </w:r>
    </w:p>
  </w:footnote>
  <w:footnote w:id="1">
    <w:p w:rsidR="00F7530C" w:rsidRDefault="00F7530C" w:rsidP="00776C9A">
      <w:pPr>
        <w:pStyle w:val="FootnoteText"/>
      </w:pPr>
      <w:r>
        <w:rPr>
          <w:rStyle w:val="FootnoteReference"/>
        </w:rPr>
        <w:footnoteRef/>
      </w:r>
      <w:r>
        <w:t xml:space="preserve"> </w:t>
      </w:r>
      <w:r w:rsidRPr="004A182E">
        <w:t>Performance indicators in this table have been updated to align with the performance indicators described above, as revised in the 2012</w:t>
      </w:r>
      <w:r>
        <w:t>–</w:t>
      </w:r>
      <w:r w:rsidRPr="004A182E">
        <w:t>13 PB Statements. Updates to the performance descriptions advised in the 2012</w:t>
      </w:r>
      <w:r>
        <w:t>–</w:t>
      </w:r>
      <w:r w:rsidRPr="004A182E">
        <w:t>13 P</w:t>
      </w:r>
      <w:r>
        <w:t>B</w:t>
      </w:r>
      <w:r w:rsidRPr="004A182E">
        <w:t xml:space="preserve"> Statement</w:t>
      </w:r>
      <w:r>
        <w:t>s</w:t>
      </w:r>
      <w:r w:rsidRPr="004A182E">
        <w:t xml:space="preserve"> were inadvertently not reflected in the related 2012</w:t>
      </w:r>
      <w:r>
        <w:t>–</w:t>
      </w:r>
      <w:r w:rsidRPr="004A182E">
        <w:t>13 PB Statement</w:t>
      </w:r>
      <w:r>
        <w:t>s</w:t>
      </w:r>
      <w:r w:rsidRPr="004A182E">
        <w:t xml:space="preserve"> table ‘Program 1.1 </w:t>
      </w:r>
      <w:r>
        <w:t>k</w:t>
      </w:r>
      <w:r w:rsidRPr="004A182E">
        <w:t xml:space="preserve">ey </w:t>
      </w:r>
      <w:r>
        <w:t>p</w:t>
      </w:r>
      <w:r w:rsidRPr="004A182E">
        <w:t xml:space="preserve">erformance </w:t>
      </w:r>
      <w:r>
        <w:t>i</w:t>
      </w:r>
      <w:r w:rsidRPr="004A182E">
        <w:t>ndicators’.</w:t>
      </w:r>
    </w:p>
  </w:footnote>
  <w:footnote w:id="2">
    <w:p w:rsidR="00F7530C" w:rsidRDefault="00F7530C" w:rsidP="00776C9A">
      <w:pPr>
        <w:pStyle w:val="FootnoteText"/>
      </w:pPr>
      <w:r>
        <w:rPr>
          <w:rStyle w:val="FootnoteReference"/>
        </w:rPr>
        <w:footnoteRef/>
      </w:r>
      <w:r>
        <w:t xml:space="preserve"> This KPI</w:t>
      </w:r>
      <w:r w:rsidRPr="00131561">
        <w:t xml:space="preserve"> has been </w:t>
      </w:r>
      <w:r w:rsidRPr="005F28F1">
        <w:t>changed</w:t>
      </w:r>
      <w:r w:rsidRPr="00131561">
        <w:t xml:space="preserve"> to present instalment/lump</w:t>
      </w:r>
      <w:r>
        <w:t>-</w:t>
      </w:r>
      <w:r w:rsidRPr="00131561">
        <w:t>sum percentage splits</w:t>
      </w:r>
      <w:r>
        <w:t>.</w:t>
      </w:r>
      <w:r w:rsidRPr="00131561">
        <w:t xml:space="preserve"> These changes align the instalment/lump</w:t>
      </w:r>
      <w:r>
        <w:t>-</w:t>
      </w:r>
      <w:r w:rsidRPr="00131561">
        <w:t>sum proportions more appropriately with other F</w:t>
      </w:r>
      <w:r>
        <w:t xml:space="preserve">amily </w:t>
      </w:r>
      <w:r w:rsidRPr="00131561">
        <w:t>T</w:t>
      </w:r>
      <w:r>
        <w:t xml:space="preserve">ax </w:t>
      </w:r>
      <w:r w:rsidRPr="00131561">
        <w:t>B</w:t>
      </w:r>
      <w:r>
        <w:t>enefit</w:t>
      </w:r>
      <w:r w:rsidRPr="00131561">
        <w:t xml:space="preserve"> Part</w:t>
      </w:r>
      <w:r>
        <w:t xml:space="preserve"> </w:t>
      </w:r>
      <w:proofErr w:type="gramStart"/>
      <w:r w:rsidRPr="00131561">
        <w:t>A</w:t>
      </w:r>
      <w:proofErr w:type="gramEnd"/>
      <w:r w:rsidRPr="00131561">
        <w:t xml:space="preserve"> KPIs.</w:t>
      </w:r>
    </w:p>
  </w:footnote>
  <w:footnote w:id="3">
    <w:p w:rsidR="00F7530C" w:rsidRDefault="00F7530C" w:rsidP="00776C9A">
      <w:pPr>
        <w:pStyle w:val="FootnoteText"/>
      </w:pPr>
      <w:r>
        <w:rPr>
          <w:rStyle w:val="FootnoteReference"/>
        </w:rPr>
        <w:footnoteRef/>
      </w:r>
      <w:r>
        <w:t xml:space="preserve"> These KPIs have been </w:t>
      </w:r>
      <w:r w:rsidRPr="00131561">
        <w:t>change</w:t>
      </w:r>
      <w:r>
        <w:t>d</w:t>
      </w:r>
      <w:r w:rsidRPr="00131561">
        <w:t xml:space="preserve"> to </w:t>
      </w:r>
      <w:r>
        <w:t>introduce a consistent approach to debt reporting showing debt raised and debt outstanding</w:t>
      </w:r>
      <w:r w:rsidRPr="00131561">
        <w:t>.</w:t>
      </w:r>
    </w:p>
  </w:footnote>
  <w:footnote w:id="4">
    <w:p w:rsidR="00F7530C" w:rsidRDefault="00F7530C" w:rsidP="00776C9A">
      <w:pPr>
        <w:pStyle w:val="FootnoteText"/>
      </w:pPr>
      <w:r>
        <w:rPr>
          <w:rStyle w:val="FootnoteReference"/>
        </w:rPr>
        <w:footnoteRef/>
      </w:r>
      <w:r>
        <w:t xml:space="preserve"> </w:t>
      </w:r>
      <w:r w:rsidRPr="00131561">
        <w:t xml:space="preserve">Performance indicator added to ensure consistency with other programs under this </w:t>
      </w:r>
      <w:r>
        <w:t>o</w:t>
      </w:r>
      <w:r w:rsidRPr="00131561">
        <w:t>utcome.</w:t>
      </w:r>
    </w:p>
  </w:footnote>
  <w:footnote w:id="5">
    <w:p w:rsidR="00F7530C" w:rsidRDefault="00F7530C" w:rsidP="00776C9A">
      <w:pPr>
        <w:pStyle w:val="FootnoteText"/>
      </w:pPr>
      <w:r>
        <w:rPr>
          <w:rStyle w:val="FootnoteReference"/>
        </w:rPr>
        <w:footnoteRef/>
      </w:r>
      <w:r>
        <w:t xml:space="preserve"> </w:t>
      </w:r>
      <w:proofErr w:type="gramStart"/>
      <w:r>
        <w:t>As above.</w:t>
      </w:r>
      <w:proofErr w:type="gramEnd"/>
    </w:p>
  </w:footnote>
  <w:footnote w:id="6">
    <w:p w:rsidR="00F7530C" w:rsidRDefault="00F7530C" w:rsidP="00776C9A">
      <w:pPr>
        <w:pStyle w:val="FootnoteText"/>
      </w:pPr>
      <w:r>
        <w:rPr>
          <w:rStyle w:val="FootnoteReference"/>
        </w:rPr>
        <w:footnoteRef/>
      </w:r>
      <w:r>
        <w:t xml:space="preserve"> </w:t>
      </w:r>
      <w:r w:rsidRPr="00BB6A70">
        <w:t>Key performance indicators regarding service delivery agency agreements have been added for Parental Leave Pay and Dad and Partner Pay and amended for Baby Bonus to be consistent with the key performance indicators for Family Tax Benefit and Child Support Scheme.</w:t>
      </w:r>
    </w:p>
  </w:footnote>
  <w:footnote w:id="7">
    <w:p w:rsidR="00F7530C" w:rsidRDefault="00F7530C" w:rsidP="00776C9A">
      <w:pPr>
        <w:pStyle w:val="FootnoteText"/>
      </w:pPr>
      <w:r>
        <w:rPr>
          <w:rStyle w:val="FootnoteReference"/>
        </w:rPr>
        <w:footnoteRef/>
      </w:r>
      <w:r>
        <w:t xml:space="preserve"> </w:t>
      </w:r>
      <w:proofErr w:type="gramStart"/>
      <w:r>
        <w:t>As above.</w:t>
      </w:r>
      <w:proofErr w:type="gramEnd"/>
    </w:p>
  </w:footnote>
  <w:footnote w:id="8">
    <w:p w:rsidR="00F7530C" w:rsidRDefault="00F7530C" w:rsidP="00776C9A">
      <w:pPr>
        <w:pStyle w:val="FootnoteText"/>
      </w:pPr>
      <w:r>
        <w:rPr>
          <w:rStyle w:val="FootnoteReference"/>
        </w:rPr>
        <w:footnoteRef/>
      </w:r>
      <w:r>
        <w:t xml:space="preserve"> The key performance indicator for Baby Bonus payment accuracy has been removed to be consistent with the Paid Parental Leave scheme key performance indicators. These payments are not included in the random sample survey program.</w:t>
      </w:r>
    </w:p>
  </w:footnote>
  <w:footnote w:id="9">
    <w:p w:rsidR="00F7530C" w:rsidRDefault="00F7530C" w:rsidP="00776C9A">
      <w:pPr>
        <w:pStyle w:val="FootnoteText"/>
      </w:pPr>
      <w:r>
        <w:rPr>
          <w:rStyle w:val="FootnoteReference"/>
        </w:rPr>
        <w:footnoteRef/>
      </w:r>
      <w:r>
        <w:t xml:space="preserve"> </w:t>
      </w:r>
      <w:proofErr w:type="gramStart"/>
      <w:r>
        <w:t>As note 6.</w:t>
      </w:r>
      <w:proofErr w:type="gramEnd"/>
    </w:p>
  </w:footnote>
  <w:footnote w:id="10">
    <w:p w:rsidR="00F7530C" w:rsidRDefault="00F7530C" w:rsidP="00F0287D">
      <w:pPr>
        <w:pStyle w:val="FootnoteText"/>
      </w:pPr>
      <w:r>
        <w:rPr>
          <w:rStyle w:val="FootnoteReference"/>
        </w:rPr>
        <w:footnoteRef/>
      </w:r>
      <w:r>
        <w:t xml:space="preserve"> In 2014–15, the 35,000 interim </w:t>
      </w:r>
      <w:proofErr w:type="gramStart"/>
      <w:r>
        <w:t>target</w:t>
      </w:r>
      <w:proofErr w:type="gramEnd"/>
      <w:r>
        <w:t xml:space="preserve"> will be maintained.</w:t>
      </w:r>
    </w:p>
  </w:footnote>
  <w:footnote w:id="11">
    <w:p w:rsidR="00F7530C" w:rsidRDefault="00F7530C" w:rsidP="00776C9A">
      <w:pPr>
        <w:pStyle w:val="FootnoteText"/>
      </w:pPr>
      <w:r>
        <w:rPr>
          <w:rStyle w:val="FootnoteReference"/>
        </w:rPr>
        <w:footnoteRef/>
      </w:r>
      <w:r>
        <w:t xml:space="preserve"> This KPI pertains to Basics Card expenditure at stores according to their main business activity. For example, a store such as a supermarket primarily sells food as its main business and is categorised accordingly, however, the Basics Card can be used to purchase any goods supplied by the supermarket except for excluded goods.</w:t>
      </w:r>
    </w:p>
  </w:footnote>
  <w:footnote w:id="12">
    <w:p w:rsidR="00F7530C" w:rsidRDefault="00F7530C" w:rsidP="00776C9A">
      <w:pPr>
        <w:pStyle w:val="FootnoteText"/>
      </w:pPr>
      <w:r>
        <w:rPr>
          <w:rStyle w:val="FootnoteReference"/>
        </w:rPr>
        <w:footnoteRef/>
      </w:r>
      <w:r>
        <w:t xml:space="preserve"> This KPI comprises CFC including problem gambling and ER services.</w:t>
      </w:r>
    </w:p>
  </w:footnote>
  <w:footnote w:id="13">
    <w:p w:rsidR="00F7530C" w:rsidRDefault="00F7530C" w:rsidP="00776C9A">
      <w:pPr>
        <w:pStyle w:val="FootnoteText"/>
      </w:pPr>
      <w:r>
        <w:rPr>
          <w:rStyle w:val="FootnoteReference"/>
        </w:rPr>
        <w:footnoteRef/>
      </w:r>
      <w:r>
        <w:t xml:space="preserve"> This KPI comprises all Financial Management Program service strategies excluding ER.</w:t>
      </w:r>
    </w:p>
  </w:footnote>
  <w:footnote w:id="14">
    <w:p w:rsidR="00F7530C" w:rsidRDefault="00F7530C" w:rsidP="00776C9A">
      <w:pPr>
        <w:pStyle w:val="FootnoteText"/>
      </w:pPr>
      <w:r>
        <w:rPr>
          <w:rStyle w:val="FootnoteReference"/>
        </w:rPr>
        <w:footnoteRef/>
      </w:r>
      <w:r>
        <w:t xml:space="preserve"> This KPI comprises all microfinance service strategies.</w:t>
      </w:r>
    </w:p>
  </w:footnote>
  <w:footnote w:id="15">
    <w:p w:rsidR="00F7530C" w:rsidRDefault="00F7530C" w:rsidP="00776C9A">
      <w:pPr>
        <w:pStyle w:val="FootnoteText"/>
      </w:pPr>
      <w:r>
        <w:rPr>
          <w:rStyle w:val="FootnoteReference"/>
        </w:rPr>
        <w:footnoteRef/>
      </w:r>
      <w:r>
        <w:t xml:space="preserve"> The d</w:t>
      </w:r>
      <w:r w:rsidRPr="0035025C">
        <w:t xml:space="preserve">eliverable has been changed as information is now sought on the number of volunteers, rather than participants, members, clients or paid </w:t>
      </w:r>
      <w:proofErr w:type="gramStart"/>
      <w:r w:rsidRPr="0035025C">
        <w:t>staff</w:t>
      </w:r>
      <w:proofErr w:type="gramEnd"/>
      <w:r w:rsidRPr="0035025C">
        <w:t>, which provides a more accurate figure on the number of volunteers assisted from grant funding. The reduction from the 2012</w:t>
      </w:r>
      <w:r>
        <w:t>–</w:t>
      </w:r>
      <w:r w:rsidRPr="0035025C">
        <w:t>13 targets in the number of individuals assisted through Volunteer Grants is attributed to this intenti</w:t>
      </w:r>
      <w:r>
        <w:t>onal change of language in the a</w:t>
      </w:r>
      <w:r w:rsidRPr="0035025C">
        <w:t xml:space="preserve">pplication </w:t>
      </w:r>
      <w:r>
        <w:t>f</w:t>
      </w:r>
      <w:r w:rsidRPr="0035025C">
        <w:t>orm.</w:t>
      </w:r>
    </w:p>
  </w:footnote>
  <w:footnote w:id="16">
    <w:p w:rsidR="00F7530C" w:rsidRDefault="00F7530C" w:rsidP="00776C9A">
      <w:pPr>
        <w:pStyle w:val="FootnoteText"/>
      </w:pPr>
      <w:r>
        <w:rPr>
          <w:rStyle w:val="FootnoteReference"/>
        </w:rPr>
        <w:footnoteRef/>
      </w:r>
      <w:r>
        <w:t xml:space="preserve"> </w:t>
      </w:r>
      <w:r w:rsidRPr="0035025C">
        <w:t>Only includes Indigenous Community Links and the Community Capacity Building Projects.</w:t>
      </w:r>
    </w:p>
  </w:footnote>
  <w:footnote w:id="17">
    <w:p w:rsidR="00F7530C" w:rsidRDefault="00F7530C">
      <w:pPr>
        <w:pStyle w:val="FootnoteText"/>
      </w:pPr>
      <w:r>
        <w:rPr>
          <w:rStyle w:val="FootnoteReference"/>
        </w:rPr>
        <w:footnoteRef/>
      </w:r>
      <w:r>
        <w:t xml:space="preserve"> Targets will be adjusted in line with participant uptake in </w:t>
      </w:r>
      <w:proofErr w:type="spellStart"/>
      <w:r>
        <w:t>DisabilityCare</w:t>
      </w:r>
      <w:proofErr w:type="spellEnd"/>
      <w:r>
        <w:t xml:space="preserve"> Australia.</w:t>
      </w:r>
    </w:p>
  </w:footnote>
  <w:footnote w:id="18">
    <w:p w:rsidR="00F7530C" w:rsidRDefault="00F7530C" w:rsidP="00776C9A">
      <w:pPr>
        <w:pStyle w:val="FootnoteText"/>
      </w:pPr>
      <w:r>
        <w:rPr>
          <w:rStyle w:val="FootnoteReference"/>
        </w:rPr>
        <w:footnoteRef/>
      </w:r>
      <w:r>
        <w:t xml:space="preserve"> </w:t>
      </w:r>
      <w:r w:rsidRPr="00187839">
        <w:t>The result for this indicator is derived using the denominator from the Australian Bureau of Statistics Survey of Disability, Ageing, and Carers (cat. no. 4430) and is the number of people with disability. Not all people with disability have a work limitation or rely on DSP.</w:t>
      </w:r>
      <w:r>
        <w:t xml:space="preserve"> </w:t>
      </w:r>
    </w:p>
  </w:footnote>
  <w:footnote w:id="19">
    <w:p w:rsidR="00F7530C" w:rsidRDefault="00F7530C" w:rsidP="00776C9A">
      <w:pPr>
        <w:pStyle w:val="FootnoteText"/>
      </w:pPr>
      <w:r>
        <w:rPr>
          <w:rStyle w:val="FootnoteReference"/>
        </w:rPr>
        <w:footnoteRef/>
      </w:r>
      <w:r>
        <w:t xml:space="preserve"> </w:t>
      </w:r>
      <w:r w:rsidRPr="00187839">
        <w:t>This result is a point</w:t>
      </w:r>
      <w:r>
        <w:t>-</w:t>
      </w:r>
      <w:r w:rsidRPr="00187839">
        <w:t>in</w:t>
      </w:r>
      <w:r>
        <w:t>-</w:t>
      </w:r>
      <w:r w:rsidRPr="00187839">
        <w:t>time count of DSP recipients aged 15 to 64 years and a point</w:t>
      </w:r>
      <w:r>
        <w:t>-</w:t>
      </w:r>
      <w:r w:rsidRPr="00187839">
        <w:t>in</w:t>
      </w:r>
      <w:r>
        <w:t>-</w:t>
      </w:r>
      <w:r w:rsidRPr="00187839">
        <w:t>time count of the Australian Bureau of Statistics data on the working</w:t>
      </w:r>
      <w:r>
        <w:t>-</w:t>
      </w:r>
      <w:r w:rsidRPr="00187839">
        <w:t>age population aged 15 to 64 years.</w:t>
      </w:r>
    </w:p>
  </w:footnote>
  <w:footnote w:id="20">
    <w:p w:rsidR="00F7530C" w:rsidRDefault="00F7530C" w:rsidP="00776C9A">
      <w:pPr>
        <w:pStyle w:val="FootnoteText"/>
      </w:pPr>
      <w:r>
        <w:rPr>
          <w:rStyle w:val="FootnoteReference"/>
        </w:rPr>
        <w:footnoteRef/>
      </w:r>
      <w:r>
        <w:t xml:space="preserve"> </w:t>
      </w:r>
      <w:r w:rsidRPr="008A2397">
        <w:t xml:space="preserve">The result for this indicator relies on the definition of primary carer used by the Australian Bureau of Statistics </w:t>
      </w:r>
      <w:r w:rsidRPr="00C6620B">
        <w:rPr>
          <w:i/>
        </w:rPr>
        <w:t>Survey of Disability, Ageing and Carers</w:t>
      </w:r>
      <w:r w:rsidRPr="008A2397">
        <w:t xml:space="preserve"> (cat. </w:t>
      </w:r>
      <w:r>
        <w:t>n</w:t>
      </w:r>
      <w:r w:rsidRPr="008A2397">
        <w:t>o. 4430.0), and is the number of people who provided the most informal help needed by a person with disability. Eligibility for Carer Payment and Carer Allowance is not determined by the Australian Bureau of Statistics definition of a primary carer.</w:t>
      </w:r>
    </w:p>
  </w:footnote>
  <w:footnote w:id="21">
    <w:p w:rsidR="00F7530C" w:rsidRDefault="00F7530C" w:rsidP="00776C9A">
      <w:pPr>
        <w:pStyle w:val="FootnoteText"/>
      </w:pPr>
      <w:r>
        <w:rPr>
          <w:rStyle w:val="FootnoteReference"/>
        </w:rPr>
        <w:footnoteRef/>
      </w:r>
      <w:r>
        <w:t xml:space="preserve"> </w:t>
      </w:r>
      <w:proofErr w:type="gramStart"/>
      <w:r>
        <w:t>As above.</w:t>
      </w:r>
      <w:proofErr w:type="gramEnd"/>
    </w:p>
  </w:footnote>
  <w:footnote w:id="22">
    <w:p w:rsidR="00F7530C" w:rsidRDefault="00F7530C">
      <w:pPr>
        <w:pStyle w:val="FootnoteText"/>
      </w:pPr>
      <w:r>
        <w:rPr>
          <w:rStyle w:val="FootnoteReference"/>
        </w:rPr>
        <w:footnoteRef/>
      </w:r>
      <w:r>
        <w:t xml:space="preserve"> Targets will be adjusted in line with participant uptake in </w:t>
      </w:r>
      <w:proofErr w:type="spellStart"/>
      <w:r>
        <w:t>DisabilityCare</w:t>
      </w:r>
      <w:proofErr w:type="spellEnd"/>
      <w:r>
        <w:t xml:space="preserve"> Australia.</w:t>
      </w:r>
    </w:p>
  </w:footnote>
  <w:footnote w:id="23">
    <w:p w:rsidR="00F7530C" w:rsidRDefault="00F7530C" w:rsidP="00776C9A">
      <w:pPr>
        <w:pStyle w:val="FootnoteText"/>
      </w:pPr>
      <w:r>
        <w:rPr>
          <w:rStyle w:val="FootnoteReference"/>
        </w:rPr>
        <w:footnoteRef/>
      </w:r>
      <w:r>
        <w:t xml:space="preserve"> The targets for supported employees have been reduced to 21,000 (from 22,500) based on projected stabilisation of employment for people with disability, less labour market churn within the supported employment sector and a capped program.</w:t>
      </w:r>
    </w:p>
  </w:footnote>
  <w:footnote w:id="24">
    <w:p w:rsidR="00F7530C" w:rsidRDefault="00F7530C" w:rsidP="00776C9A">
      <w:pPr>
        <w:pStyle w:val="FootnoteText"/>
      </w:pPr>
      <w:r>
        <w:rPr>
          <w:rStyle w:val="FootnoteReference"/>
        </w:rPr>
        <w:footnoteRef/>
      </w:r>
      <w:r>
        <w:t xml:space="preserve"> </w:t>
      </w:r>
      <w:r w:rsidRPr="008A2397">
        <w:t>The increase in direct advocacy support reflects the inclusion of the anticipated number of people accessing support through</w:t>
      </w:r>
      <w:r>
        <w:t xml:space="preserve"> </w:t>
      </w:r>
      <w:proofErr w:type="spellStart"/>
      <w:r>
        <w:t>DisabilityCare</w:t>
      </w:r>
      <w:proofErr w:type="spellEnd"/>
      <w:r>
        <w:t xml:space="preserve"> Australia, the</w:t>
      </w:r>
      <w:r w:rsidRPr="008A2397">
        <w:t xml:space="preserve"> </w:t>
      </w:r>
      <w:r>
        <w:t xml:space="preserve">national disability insurance </w:t>
      </w:r>
      <w:proofErr w:type="gramStart"/>
      <w:r>
        <w:t>scheme,</w:t>
      </w:r>
      <w:proofErr w:type="gramEnd"/>
      <w:r w:rsidRPr="008A2397">
        <w:t xml:space="preserve"> external merits review process, based on </w:t>
      </w:r>
      <w:r>
        <w:t xml:space="preserve">the </w:t>
      </w:r>
      <w:r w:rsidRPr="008A2397">
        <w:t>current number of applications for the A</w:t>
      </w:r>
      <w:r>
        <w:t xml:space="preserve">dministrative </w:t>
      </w:r>
      <w:r w:rsidRPr="008A2397">
        <w:t>A</w:t>
      </w:r>
      <w:r>
        <w:t xml:space="preserve">ppeals </w:t>
      </w:r>
      <w:r w:rsidRPr="008A2397">
        <w:t>T</w:t>
      </w:r>
      <w:r>
        <w:t>ribunal</w:t>
      </w:r>
      <w:r w:rsidRPr="008A2397">
        <w:t>.</w:t>
      </w:r>
    </w:p>
  </w:footnote>
  <w:footnote w:id="25">
    <w:p w:rsidR="00F7530C" w:rsidRDefault="00F7530C" w:rsidP="00776C9A">
      <w:pPr>
        <w:pStyle w:val="FootnoteText"/>
      </w:pPr>
      <w:r>
        <w:rPr>
          <w:rStyle w:val="FootnoteReference"/>
        </w:rPr>
        <w:footnoteRef/>
      </w:r>
      <w:r>
        <w:t xml:space="preserve"> The </w:t>
      </w:r>
      <w:r w:rsidRPr="008A2397">
        <w:t>Supported Accommodation Innovation Fund concludes in June 2014.</w:t>
      </w:r>
    </w:p>
  </w:footnote>
  <w:footnote w:id="26">
    <w:p w:rsidR="00F7530C" w:rsidRDefault="00F7530C">
      <w:pPr>
        <w:pStyle w:val="FootnoteText"/>
      </w:pPr>
      <w:r>
        <w:rPr>
          <w:rStyle w:val="FootnoteReference"/>
        </w:rPr>
        <w:footnoteRef/>
      </w:r>
      <w:r>
        <w:t xml:space="preserve"> Targets will be adjusted in line with participant uptake in </w:t>
      </w:r>
      <w:proofErr w:type="spellStart"/>
      <w:r>
        <w:t>DisabilityCare</w:t>
      </w:r>
      <w:proofErr w:type="spellEnd"/>
      <w:r>
        <w:t xml:space="preserve"> Australia.</w:t>
      </w:r>
    </w:p>
  </w:footnote>
  <w:footnote w:id="27">
    <w:p w:rsidR="00F7530C" w:rsidRPr="00C13321" w:rsidRDefault="00F7530C" w:rsidP="0040773D">
      <w:pPr>
        <w:pStyle w:val="FootnoteText"/>
        <w:rPr>
          <w:rStyle w:val="FootnoteTextChar"/>
        </w:rPr>
      </w:pPr>
      <w:r>
        <w:rPr>
          <w:rStyle w:val="FootnoteReference"/>
        </w:rPr>
        <w:footnoteRef/>
      </w:r>
      <w:r>
        <w:t xml:space="preserve"> </w:t>
      </w:r>
      <w:r w:rsidRPr="00C13321">
        <w:rPr>
          <w:rStyle w:val="FootnoteTextChar"/>
        </w:rPr>
        <w:t xml:space="preserve">Deliverables have changed from </w:t>
      </w:r>
      <w:r>
        <w:rPr>
          <w:rStyle w:val="FootnoteTextChar"/>
        </w:rPr>
        <w:t xml:space="preserve">the </w:t>
      </w:r>
      <w:r w:rsidRPr="00C13321">
        <w:rPr>
          <w:rStyle w:val="FootnoteTextChar"/>
        </w:rPr>
        <w:t>2012</w:t>
      </w:r>
      <w:r>
        <w:rPr>
          <w:rStyle w:val="FootnoteTextChar"/>
        </w:rPr>
        <w:t>–</w:t>
      </w:r>
      <w:r w:rsidRPr="00C13321">
        <w:rPr>
          <w:rStyle w:val="FootnoteTextChar"/>
        </w:rPr>
        <w:t xml:space="preserve">13 Portfolio Additional Estimates Statements due to the </w:t>
      </w:r>
      <w:r w:rsidRPr="00C6620B">
        <w:rPr>
          <w:rStyle w:val="FootnoteTextChar"/>
        </w:rPr>
        <w:t xml:space="preserve">establishment of </w:t>
      </w:r>
      <w:proofErr w:type="spellStart"/>
      <w:r w:rsidRPr="00C6620B">
        <w:rPr>
          <w:rStyle w:val="FootnoteTextChar"/>
        </w:rPr>
        <w:t>DisabilityCare</w:t>
      </w:r>
      <w:proofErr w:type="spellEnd"/>
      <w:r w:rsidRPr="00C6620B">
        <w:rPr>
          <w:rStyle w:val="FootnoteTextChar"/>
        </w:rPr>
        <w:t xml:space="preserve"> Australia</w:t>
      </w:r>
      <w:r w:rsidRPr="00C13321">
        <w:rPr>
          <w:rStyle w:val="FootnoteTextChar"/>
        </w:rPr>
        <w:t>.</w:t>
      </w:r>
      <w:r>
        <w:rPr>
          <w:rStyle w:val="FootnoteTextChar"/>
        </w:rPr>
        <w:t xml:space="preserve"> From the date of financial separation, </w:t>
      </w:r>
      <w:proofErr w:type="spellStart"/>
      <w:r>
        <w:rPr>
          <w:rStyle w:val="FootnoteTextChar"/>
        </w:rPr>
        <w:t>DisabilityCare</w:t>
      </w:r>
      <w:proofErr w:type="spellEnd"/>
      <w:r>
        <w:rPr>
          <w:rStyle w:val="FootnoteTextChar"/>
        </w:rPr>
        <w:t xml:space="preserve"> Australia will assume responsibility for the first deliverable.</w:t>
      </w:r>
    </w:p>
  </w:footnote>
  <w:footnote w:id="28">
    <w:p w:rsidR="00F7530C" w:rsidRDefault="00F7530C" w:rsidP="00776C9A">
      <w:pPr>
        <w:pStyle w:val="FootnoteText"/>
      </w:pPr>
      <w:r>
        <w:rPr>
          <w:rStyle w:val="FootnoteReference"/>
        </w:rPr>
        <w:footnoteRef/>
      </w:r>
      <w:r>
        <w:t xml:space="preserve"> Rounded numbers provided for number of people provided with support, as currently these are only estimates.</w:t>
      </w:r>
    </w:p>
  </w:footnote>
  <w:footnote w:id="29">
    <w:p w:rsidR="00F7530C" w:rsidRDefault="00F7530C" w:rsidP="00776C9A">
      <w:pPr>
        <w:pStyle w:val="FootnoteText"/>
      </w:pPr>
      <w:r>
        <w:rPr>
          <w:rStyle w:val="FootnoteReference"/>
        </w:rPr>
        <w:footnoteRef/>
      </w:r>
      <w:r>
        <w:t xml:space="preserve"> These are Commonwealth estimates of potential path of roll-out to full scheme and have not been agreed with states. They also reflect preconditions for roll-out including state agreement and funding, agency capacity and gradual transition to support people with disability to move across to </w:t>
      </w:r>
      <w:proofErr w:type="spellStart"/>
      <w:r>
        <w:t>DisabilityCare</w:t>
      </w:r>
      <w:proofErr w:type="spellEnd"/>
      <w:r>
        <w:t xml:space="preserve"> Australia.</w:t>
      </w:r>
    </w:p>
  </w:footnote>
  <w:footnote w:id="30">
    <w:p w:rsidR="00F7530C" w:rsidRDefault="00F7530C" w:rsidP="00776C9A">
      <w:pPr>
        <w:pStyle w:val="FootnoteText"/>
      </w:pPr>
      <w:r>
        <w:rPr>
          <w:rStyle w:val="FootnoteReference"/>
        </w:rPr>
        <w:footnoteRef/>
      </w:r>
      <w:r>
        <w:t xml:space="preserve"> Includes planned launch offices and estimated offices for full-scheme transition; but the exact number of full-scheme offices will be based on operational needs.</w:t>
      </w:r>
    </w:p>
  </w:footnote>
  <w:footnote w:id="31">
    <w:p w:rsidR="00F7530C" w:rsidRDefault="00F7530C" w:rsidP="00BF326D">
      <w:pPr>
        <w:pStyle w:val="FootnoteText"/>
      </w:pPr>
      <w:r>
        <w:rPr>
          <w:rStyle w:val="FootnoteReference"/>
        </w:rPr>
        <w:footnoteRef/>
      </w:r>
      <w:r>
        <w:t xml:space="preserve"> The KPIs have changed from the 2012–13 Portfolio Additional Estimates Statements due to the </w:t>
      </w:r>
      <w:r w:rsidRPr="006D2B7E">
        <w:t xml:space="preserve">establishment of </w:t>
      </w:r>
      <w:proofErr w:type="spellStart"/>
      <w:r w:rsidRPr="006D2B7E">
        <w:t>DisabilityCare</w:t>
      </w:r>
      <w:proofErr w:type="spellEnd"/>
      <w:r w:rsidRPr="006D2B7E">
        <w:t xml:space="preserve"> Australia.</w:t>
      </w:r>
      <w:r>
        <w:t xml:space="preserve"> </w:t>
      </w:r>
      <w:proofErr w:type="spellStart"/>
      <w:r>
        <w:t>DisabilityCare</w:t>
      </w:r>
      <w:proofErr w:type="spellEnd"/>
      <w:r>
        <w:t xml:space="preserve"> Australia’s KPIs will be published in future budget documents.</w:t>
      </w:r>
    </w:p>
  </w:footnote>
  <w:footnote w:id="32">
    <w:p w:rsidR="00F7530C" w:rsidRDefault="00F7530C" w:rsidP="00BF326D">
      <w:pPr>
        <w:pStyle w:val="FootnoteText"/>
      </w:pPr>
      <w:r w:rsidRPr="00880638">
        <w:rPr>
          <w:rStyle w:val="FootnoteReference"/>
        </w:rPr>
        <w:footnoteRef/>
      </w:r>
      <w:r w:rsidRPr="00880638">
        <w:t xml:space="preserve"> </w:t>
      </w:r>
      <w:r>
        <w:t>Helping Children with Autism and Better Start for Children with Disability are demand-driven programs.</w:t>
      </w:r>
    </w:p>
  </w:footnote>
  <w:footnote w:id="33">
    <w:p w:rsidR="00F7530C" w:rsidRDefault="00F7530C">
      <w:pPr>
        <w:pStyle w:val="FootnoteText"/>
      </w:pPr>
      <w:r>
        <w:rPr>
          <w:rStyle w:val="FootnoteReference"/>
        </w:rPr>
        <w:footnoteRef/>
      </w:r>
      <w:r>
        <w:t xml:space="preserve"> Targets will be adjusted in line with participant uptake in </w:t>
      </w:r>
      <w:proofErr w:type="spellStart"/>
      <w:r>
        <w:t>DisabilityCare</w:t>
      </w:r>
      <w:proofErr w:type="spellEnd"/>
      <w:r>
        <w:t xml:space="preserve"> Australia.</w:t>
      </w:r>
    </w:p>
  </w:footnote>
  <w:footnote w:id="34">
    <w:p w:rsidR="00F7530C" w:rsidRDefault="00F7530C" w:rsidP="00BF326D">
      <w:pPr>
        <w:pStyle w:val="FootnoteText"/>
      </w:pPr>
      <w:r>
        <w:rPr>
          <w:rStyle w:val="FootnoteReference"/>
        </w:rPr>
        <w:footnoteRef/>
      </w:r>
      <w:r>
        <w:t xml:space="preserve"> </w:t>
      </w:r>
      <w:r w:rsidRPr="00E55215">
        <w:t>A percentage</w:t>
      </w:r>
      <w:r>
        <w:t>-</w:t>
      </w:r>
      <w:r w:rsidRPr="00E55215">
        <w:t xml:space="preserve">based KPI target is not possible at this time as there is not enough certainty </w:t>
      </w:r>
      <w:r>
        <w:t>about</w:t>
      </w:r>
      <w:r w:rsidRPr="00E55215">
        <w:t xml:space="preserve"> the total target population of children with specified conditions</w:t>
      </w:r>
      <w:r>
        <w:t>.</w:t>
      </w:r>
    </w:p>
  </w:footnote>
  <w:footnote w:id="35">
    <w:p w:rsidR="00F7530C" w:rsidRDefault="00F7530C">
      <w:pPr>
        <w:pStyle w:val="FootnoteText"/>
      </w:pPr>
      <w:r>
        <w:rPr>
          <w:rStyle w:val="FootnoteReference"/>
        </w:rPr>
        <w:footnoteRef/>
      </w:r>
      <w:r>
        <w:t xml:space="preserve"> </w:t>
      </w:r>
      <w:r w:rsidRPr="001B6AE2">
        <w:t>1800RESPECT counts ‘contacts’ rather than individual incoming telephone calls. Contacts include returned calls, emails responded to and interactive online counselling sessions</w:t>
      </w:r>
      <w:r>
        <w:t>.</w:t>
      </w:r>
    </w:p>
  </w:footnote>
  <w:footnote w:id="36">
    <w:p w:rsidR="00F7530C" w:rsidRDefault="00F7530C">
      <w:pPr>
        <w:pStyle w:val="FootnoteText"/>
      </w:pPr>
      <w:r>
        <w:rPr>
          <w:rStyle w:val="FootnoteReference"/>
        </w:rPr>
        <w:footnoteRef/>
      </w:r>
      <w:r>
        <w:t xml:space="preserve"> </w:t>
      </w:r>
      <w:proofErr w:type="gramStart"/>
      <w:r>
        <w:t>As above.</w:t>
      </w:r>
      <w:proofErr w:type="gramEnd"/>
    </w:p>
  </w:footnote>
  <w:footnote w:id="37">
    <w:p w:rsidR="00F7530C" w:rsidRDefault="00F7530C">
      <w:pPr>
        <w:pStyle w:val="FootnoteText"/>
      </w:pPr>
      <w:r>
        <w:rPr>
          <w:rStyle w:val="FootnoteReference"/>
        </w:rPr>
        <w:footnoteRef/>
      </w:r>
      <w:r>
        <w:t xml:space="preserve"> </w:t>
      </w:r>
      <w:r w:rsidRPr="00B8025A">
        <w:t>Aboriginal Army Community Assistance Program projects are run on a calendar year basis.</w:t>
      </w:r>
    </w:p>
  </w:footnote>
  <w:footnote w:id="38">
    <w:p w:rsidR="00F7530C" w:rsidRDefault="00F7530C">
      <w:pPr>
        <w:pStyle w:val="FootnoteText"/>
      </w:pPr>
      <w:r>
        <w:rPr>
          <w:rStyle w:val="FootnoteReference"/>
        </w:rPr>
        <w:footnoteRef/>
      </w:r>
      <w:r>
        <w:t xml:space="preserve"> </w:t>
      </w:r>
      <w:r w:rsidRPr="00802F4F">
        <w:t>The deliverable related to the number of library helpdesk inquiries has been discontinued, as people are increasingly able to source material directly through websites and require less helpdesk support.</w:t>
      </w:r>
    </w:p>
  </w:footnote>
  <w:footnote w:id="39">
    <w:p w:rsidR="00F7530C" w:rsidRDefault="00F7530C">
      <w:pPr>
        <w:pStyle w:val="FootnoteText"/>
      </w:pPr>
      <w:r>
        <w:rPr>
          <w:rStyle w:val="FootnoteReference"/>
        </w:rPr>
        <w:footnoteRef/>
      </w:r>
      <w:r>
        <w:t xml:space="preserve"> </w:t>
      </w:r>
      <w:r w:rsidRPr="00802F4F">
        <w:t>This target has been increased to reflect the extended availability of seminars through Webinar technology.</w:t>
      </w:r>
    </w:p>
  </w:footnote>
  <w:footnote w:id="40">
    <w:p w:rsidR="00F7530C" w:rsidRDefault="00F7530C">
      <w:pPr>
        <w:pStyle w:val="FootnoteText"/>
      </w:pPr>
      <w:r>
        <w:rPr>
          <w:rStyle w:val="FootnoteReference"/>
        </w:rPr>
        <w:footnoteRef/>
      </w:r>
      <w:r>
        <w:t xml:space="preserve"> </w:t>
      </w:r>
      <w:r w:rsidRPr="00802F4F">
        <w:t xml:space="preserve">This deliverable target has been increased to reflect progressive growth in bibliographic records as additional material is identified, in line with </w:t>
      </w:r>
      <w:r w:rsidRPr="00802F4F">
        <w:rPr>
          <w:i/>
        </w:rPr>
        <w:t>AIFS Research Directions 2012–15</w:t>
      </w:r>
      <w:r w:rsidRPr="00802F4F">
        <w:t>.</w:t>
      </w:r>
    </w:p>
  </w:footnote>
  <w:footnote w:id="41">
    <w:p w:rsidR="00F7530C" w:rsidRDefault="00F7530C">
      <w:pPr>
        <w:pStyle w:val="FootnoteText"/>
      </w:pPr>
      <w:r>
        <w:rPr>
          <w:rStyle w:val="FootnoteReference"/>
        </w:rPr>
        <w:footnoteRef/>
      </w:r>
      <w:r>
        <w:t xml:space="preserve"> </w:t>
      </w:r>
      <w:r w:rsidRPr="00E0479D">
        <w:t>This key performance indicator has been increased to reflect the growth in audience participation related to the availability and take-up of webinar technology.</w:t>
      </w:r>
    </w:p>
  </w:footnote>
  <w:footnote w:id="42">
    <w:p w:rsidR="00F7530C" w:rsidRDefault="00F7530C">
      <w:pPr>
        <w:pStyle w:val="FootnoteText"/>
      </w:pPr>
      <w:r>
        <w:rPr>
          <w:rStyle w:val="FootnoteReference"/>
        </w:rPr>
        <w:footnoteRef/>
      </w:r>
      <w:r>
        <w:t xml:space="preserve"> </w:t>
      </w:r>
      <w:r w:rsidRPr="00D4231E">
        <w:t>This measure indicates Portfolio Return during the year. It is calculated as the after-tax return generated by the investment portfolio in the budget year, expressed as a percentage of the average value of the investment portfolio during the budget year (‘Portfolio Value’). It excludes IBA’s financial investments and the interest earned thereon.</w:t>
      </w:r>
    </w:p>
  </w:footnote>
  <w:footnote w:id="43">
    <w:p w:rsidR="00F7530C" w:rsidRDefault="00F7530C">
      <w:pPr>
        <w:pStyle w:val="FootnoteText"/>
      </w:pPr>
      <w:r>
        <w:rPr>
          <w:rStyle w:val="FootnoteReference"/>
        </w:rPr>
        <w:footnoteRef/>
      </w:r>
      <w:r>
        <w:t xml:space="preserve"> Benchmark return represents the cash rate plus a margin of 3 per cent. Cash rate is calculated using the average Bank Bill Swap Reference Rate over the measurement period.</w:t>
      </w:r>
    </w:p>
  </w:footnote>
  <w:footnote w:id="44">
    <w:p w:rsidR="00F7530C" w:rsidRDefault="00F7530C">
      <w:pPr>
        <w:pStyle w:val="FootnoteText"/>
      </w:pPr>
      <w:r>
        <w:rPr>
          <w:rStyle w:val="FootnoteReference"/>
        </w:rPr>
        <w:footnoteRef/>
      </w:r>
      <w:r>
        <w:t xml:space="preserve"> </w:t>
      </w:r>
      <w:r w:rsidRPr="00D4231E">
        <w:t>This measure indicates Portfolio Return over a rolling five-year period (inclusive of the designated year). It is calculated as the average of the after-tax returns generated by the investment portfolio (expressed as a percentage of Portfolio Value) in each of the past five budget years. It excludes IBA’s financial investments and the interest earned thereon.</w:t>
      </w:r>
    </w:p>
  </w:footnote>
  <w:footnote w:id="45">
    <w:p w:rsidR="00F7530C" w:rsidRDefault="00F7530C">
      <w:pPr>
        <w:pStyle w:val="FootnoteText"/>
      </w:pPr>
      <w:r>
        <w:rPr>
          <w:rStyle w:val="FootnoteReference"/>
        </w:rPr>
        <w:footnoteRef/>
      </w:r>
      <w:r>
        <w:t xml:space="preserve"> </w:t>
      </w:r>
      <w:r w:rsidRPr="00D4231E">
        <w:t xml:space="preserve">Number of Indigenous investors supported includes current Indigenous co-investors, Indigenous co-investors to whom investments were sold during the budget year and Indigenous investors supported through advisory services via IBA’s Acquisitions Unit or Traditional Owner </w:t>
      </w:r>
      <w:r>
        <w:t>and</w:t>
      </w:r>
      <w:r w:rsidRPr="00D4231E">
        <w:t xml:space="preserve"> Native Title Unit.</w:t>
      </w:r>
    </w:p>
  </w:footnote>
  <w:footnote w:id="46">
    <w:p w:rsidR="00F7530C" w:rsidRDefault="00F7530C">
      <w:pPr>
        <w:pStyle w:val="FootnoteText"/>
      </w:pPr>
      <w:r>
        <w:rPr>
          <w:rStyle w:val="FootnoteReference"/>
        </w:rPr>
        <w:footnoteRef/>
      </w:r>
      <w:r>
        <w:t xml:space="preserve"> </w:t>
      </w:r>
      <w:r w:rsidRPr="00D4231E">
        <w:t>Total distributions to Indigenous co-investors in the budget year, expressed as a percentage of Indigenous co-investors’ share of Portfolio Value averaged across the budget year.</w:t>
      </w:r>
    </w:p>
  </w:footnote>
  <w:footnote w:id="47">
    <w:p w:rsidR="00F7530C" w:rsidRDefault="00F7530C" w:rsidP="002576BE">
      <w:pPr>
        <w:pStyle w:val="FootnoteText"/>
      </w:pPr>
      <w:r>
        <w:rPr>
          <w:rStyle w:val="FootnoteReference"/>
        </w:rPr>
        <w:footnoteRef/>
      </w:r>
      <w:r>
        <w:t xml:space="preserve"> </w:t>
      </w:r>
      <w:proofErr w:type="gramStart"/>
      <w:r>
        <w:t>As note 44.</w:t>
      </w:r>
      <w:proofErr w:type="gramEnd"/>
    </w:p>
  </w:footnote>
  <w:footnote w:id="48">
    <w:p w:rsidR="00F7530C" w:rsidRDefault="00F7530C">
      <w:pPr>
        <w:pStyle w:val="FootnoteText"/>
      </w:pPr>
      <w:r>
        <w:rPr>
          <w:rStyle w:val="FootnoteReference"/>
        </w:rPr>
        <w:footnoteRef/>
      </w:r>
      <w:r>
        <w:t xml:space="preserve"> </w:t>
      </w:r>
      <w:r w:rsidRPr="00D4231E">
        <w:t>Total number of Indigenous people employed by employing investment portfolio entities, expressed as a percentage of total workforce, measured quarterly and averaged across those quarters to account for fluctuations in staffing levels intra-year.</w:t>
      </w:r>
    </w:p>
  </w:footnote>
  <w:footnote w:id="49">
    <w:p w:rsidR="00F7530C" w:rsidRDefault="00F7530C">
      <w:pPr>
        <w:pStyle w:val="FootnoteText"/>
      </w:pPr>
      <w:r>
        <w:rPr>
          <w:rStyle w:val="FootnoteReference"/>
        </w:rPr>
        <w:footnoteRef/>
      </w:r>
      <w:r>
        <w:t xml:space="preserve"> </w:t>
      </w:r>
      <w:r w:rsidRPr="00E6121A">
        <w:t>The IBA Income Amount is equivalent to the National Average Weekly Male Earnings (NAWME) statistic published by the ABS. The IBA Income Amount is adjusted each July after reference to the most recently published NAWME figure.</w:t>
      </w:r>
    </w:p>
  </w:footnote>
  <w:footnote w:id="50">
    <w:p w:rsidR="00F7530C" w:rsidRDefault="00F7530C">
      <w:pPr>
        <w:pStyle w:val="FootnoteText"/>
      </w:pPr>
      <w:r>
        <w:rPr>
          <w:rStyle w:val="FootnoteReference"/>
        </w:rPr>
        <w:footnoteRef/>
      </w:r>
      <w:r>
        <w:t xml:space="preserve"> </w:t>
      </w:r>
      <w:proofErr w:type="gramStart"/>
      <w:r w:rsidRPr="00E11D86">
        <w:t>A new deliverable commencing in 2013–14.</w:t>
      </w:r>
      <w:proofErr w:type="gramEnd"/>
    </w:p>
  </w:footnote>
  <w:footnote w:id="51">
    <w:p w:rsidR="00F7530C" w:rsidRDefault="00F7530C">
      <w:pPr>
        <w:pStyle w:val="FootnoteText"/>
      </w:pPr>
      <w:r>
        <w:rPr>
          <w:rStyle w:val="FootnoteReference"/>
        </w:rPr>
        <w:footnoteRef/>
      </w:r>
      <w:r>
        <w:t xml:space="preserve"> </w:t>
      </w:r>
      <w:proofErr w:type="gramStart"/>
      <w:r w:rsidRPr="00E11D86">
        <w:t>Deliverable ceasing in 2012–13.</w:t>
      </w:r>
      <w:proofErr w:type="gramEnd"/>
      <w:r w:rsidRPr="00E11D86">
        <w:t xml:space="preserve"> Includes new loan clients only, tallying Indigenous and non-Indigenous people.</w:t>
      </w:r>
    </w:p>
  </w:footnote>
  <w:footnote w:id="52">
    <w:p w:rsidR="00F7530C" w:rsidRDefault="00F7530C">
      <w:pPr>
        <w:pStyle w:val="FootnoteText"/>
      </w:pPr>
      <w:r>
        <w:rPr>
          <w:rStyle w:val="FootnoteReference"/>
        </w:rPr>
        <w:footnoteRef/>
      </w:r>
      <w:r>
        <w:t xml:space="preserve"> </w:t>
      </w:r>
      <w:proofErr w:type="gramStart"/>
      <w:r w:rsidRPr="00E11D86">
        <w:t>A new deliverable commencing in 2013–14.</w:t>
      </w:r>
      <w:proofErr w:type="gramEnd"/>
      <w:r w:rsidRPr="00E11D86">
        <w:t xml:space="preserve"> </w:t>
      </w:r>
      <w:proofErr w:type="gramStart"/>
      <w:r w:rsidRPr="00E11D86">
        <w:t>Includes new and existing loan clients, tallying Indigenous and non-Indigenous people.</w:t>
      </w:r>
      <w:proofErr w:type="gramEnd"/>
    </w:p>
  </w:footnote>
  <w:footnote w:id="53">
    <w:p w:rsidR="00F7530C" w:rsidRDefault="00F7530C">
      <w:pPr>
        <w:pStyle w:val="FootnoteText"/>
      </w:pPr>
      <w:r>
        <w:rPr>
          <w:rStyle w:val="FootnoteReference"/>
        </w:rPr>
        <w:footnoteRef/>
      </w:r>
      <w:r>
        <w:t xml:space="preserve"> </w:t>
      </w:r>
      <w:proofErr w:type="gramStart"/>
      <w:r w:rsidRPr="00E11D86">
        <w:t>A new deliverable commencing in 2013–14.</w:t>
      </w:r>
      <w:proofErr w:type="gramEnd"/>
      <w:r w:rsidRPr="00E11D86">
        <w:t xml:space="preserve"> </w:t>
      </w:r>
      <w:proofErr w:type="gramStart"/>
      <w:r w:rsidRPr="00E11D86">
        <w:t>Includes new and existing loan clients, tallying Indigenous people only.</w:t>
      </w:r>
      <w:proofErr w:type="gramEnd"/>
    </w:p>
  </w:footnote>
  <w:footnote w:id="54">
    <w:p w:rsidR="00F7530C" w:rsidRDefault="00F7530C">
      <w:pPr>
        <w:pStyle w:val="FootnoteText"/>
      </w:pPr>
      <w:r>
        <w:rPr>
          <w:rStyle w:val="FootnoteReference"/>
        </w:rPr>
        <w:footnoteRef/>
      </w:r>
      <w:r>
        <w:t xml:space="preserve"> </w:t>
      </w:r>
      <w:r w:rsidRPr="00E11D86">
        <w:t>Calculated from the number of loan payouts made by clients during the year divided by all loan closures (including payouts, write offs, and debts waived).</w:t>
      </w:r>
    </w:p>
  </w:footnote>
  <w:footnote w:id="55">
    <w:p w:rsidR="00F7530C" w:rsidRDefault="00F7530C">
      <w:pPr>
        <w:pStyle w:val="FootnoteText"/>
      </w:pPr>
      <w:r>
        <w:rPr>
          <w:rStyle w:val="FootnoteReference"/>
        </w:rPr>
        <w:footnoteRef/>
      </w:r>
      <w:r>
        <w:t xml:space="preserve"> </w:t>
      </w:r>
      <w:proofErr w:type="gramStart"/>
      <w:r w:rsidRPr="00E11D86">
        <w:t>Calculated from the number of exiting loan clients operating a business after a period of 12, 24, and 36 months from commencement.</w:t>
      </w:r>
      <w:proofErr w:type="gramEnd"/>
    </w:p>
  </w:footnote>
  <w:footnote w:id="56">
    <w:p w:rsidR="00F7530C" w:rsidRDefault="00F7530C">
      <w:pPr>
        <w:pStyle w:val="FootnoteText"/>
      </w:pPr>
      <w:r>
        <w:rPr>
          <w:rStyle w:val="FootnoteReference"/>
        </w:rPr>
        <w:footnoteRef/>
      </w:r>
      <w:r>
        <w:t xml:space="preserve"> </w:t>
      </w:r>
      <w:r w:rsidRPr="00B77C78">
        <w:t xml:space="preserve">The ILC previously had three priority </w:t>
      </w:r>
      <w:proofErr w:type="gramStart"/>
      <w:r w:rsidRPr="00B77C78">
        <w:t>outcomes,</w:t>
      </w:r>
      <w:proofErr w:type="gramEnd"/>
      <w:r w:rsidRPr="00B77C78">
        <w:t xml:space="preserve"> however in revising the National Indigenous Land Strategy for 2013–2017, the </w:t>
      </w:r>
      <w:r w:rsidRPr="00B77C78">
        <w:rPr>
          <w:i/>
        </w:rPr>
        <w:t>access to education</w:t>
      </w:r>
      <w:r w:rsidRPr="00B77C78">
        <w:t xml:space="preserve"> priority outcome was removed.</w:t>
      </w:r>
    </w:p>
  </w:footnote>
  <w:footnote w:id="57">
    <w:p w:rsidR="00F7530C" w:rsidRDefault="00F7530C">
      <w:pPr>
        <w:pStyle w:val="FootnoteText"/>
      </w:pPr>
      <w:r>
        <w:rPr>
          <w:rStyle w:val="FootnoteReference"/>
        </w:rPr>
        <w:footnoteRef/>
      </w:r>
      <w:r>
        <w:t xml:space="preserve"> </w:t>
      </w:r>
      <w:r w:rsidRPr="00815C6A">
        <w:t>A deliverable relating to establishing hostels has been removed consistent with the removal of access to education as a priority outcome.</w:t>
      </w:r>
    </w:p>
  </w:footnote>
  <w:footnote w:id="58">
    <w:p w:rsidR="00F7530C" w:rsidRDefault="00F7530C">
      <w:pPr>
        <w:pStyle w:val="FootnoteText"/>
      </w:pPr>
      <w:r>
        <w:rPr>
          <w:rStyle w:val="FootnoteReference"/>
        </w:rPr>
        <w:footnoteRef/>
      </w:r>
      <w:r>
        <w:t xml:space="preserve"> </w:t>
      </w:r>
      <w:r w:rsidRPr="00815C6A">
        <w:t xml:space="preserve">A KPI relating to the provision of hostels has been removed consistent with the removal of </w:t>
      </w:r>
      <w:r w:rsidRPr="00385E5F">
        <w:rPr>
          <w:i/>
        </w:rPr>
        <w:t>access to education</w:t>
      </w:r>
      <w:r w:rsidRPr="00815C6A">
        <w:t xml:space="preserve"> as a priority outcome.</w:t>
      </w:r>
    </w:p>
  </w:footnote>
  <w:footnote w:id="59">
    <w:p w:rsidR="00F7530C" w:rsidRDefault="00F7530C">
      <w:pPr>
        <w:pStyle w:val="FootnoteText"/>
      </w:pPr>
      <w:r>
        <w:rPr>
          <w:rStyle w:val="FootnoteReference"/>
        </w:rPr>
        <w:footnoteRef/>
      </w:r>
      <w:r>
        <w:t xml:space="preserve"> </w:t>
      </w:r>
      <w:r w:rsidRPr="00815C6A">
        <w:t xml:space="preserve">Target </w:t>
      </w:r>
      <w:proofErr w:type="gramStart"/>
      <w:r w:rsidRPr="00815C6A">
        <w:t>raised</w:t>
      </w:r>
      <w:proofErr w:type="gramEnd"/>
      <w:r w:rsidRPr="00815C6A">
        <w:t xml:space="preserve"> in line with current performance and ability to achieve beyond the previous target.</w:t>
      </w:r>
    </w:p>
  </w:footnote>
  <w:footnote w:id="60">
    <w:p w:rsidR="00F7530C" w:rsidRDefault="00F7530C">
      <w:pPr>
        <w:pStyle w:val="FootnoteText"/>
      </w:pPr>
      <w:r>
        <w:rPr>
          <w:rStyle w:val="FootnoteReference"/>
        </w:rPr>
        <w:footnoteRef/>
      </w:r>
      <w:r>
        <w:t xml:space="preserve"> </w:t>
      </w:r>
      <w:proofErr w:type="gramStart"/>
      <w:r>
        <w:t>As above.</w:t>
      </w:r>
      <w:proofErr w:type="gramEnd"/>
    </w:p>
  </w:footnote>
  <w:footnote w:id="61">
    <w:p w:rsidR="00F7530C" w:rsidRDefault="00F7530C">
      <w:pPr>
        <w:pStyle w:val="FootnoteText"/>
      </w:pPr>
      <w:r>
        <w:rPr>
          <w:rStyle w:val="FootnoteReference"/>
        </w:rPr>
        <w:footnoteRef/>
      </w:r>
      <w:r>
        <w:t xml:space="preserve"> </w:t>
      </w:r>
      <w:proofErr w:type="gramStart"/>
      <w:r>
        <w:t>As above.</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Portfolio overview</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Portfolio overview</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HeaderOdd"/>
    </w:pPr>
    <w:r>
      <w:rPr>
        <w:lang w:val="en-US"/>
      </w:rPr>
      <w:t>Portfolio overview</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FaHCSIA Budget Statements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HeaderOdd"/>
    </w:pPr>
    <w:r>
      <w:rPr>
        <w:lang w:val="en-US"/>
      </w:rPr>
      <w:t>FaHCSIA Budget Statements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8E4CBB" w:rsidRDefault="00F7530C" w:rsidP="008E4CBB">
    <w:pPr>
      <w:pStyle w:val="HeaderOd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8E4CBB" w:rsidRDefault="00F7530C" w:rsidP="008E4CBB">
    <w:pPr>
      <w:pStyle w:val="HeaderOd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AHL Budget Statements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F26C98">
    <w:pPr>
      <w:pStyle w:val="Header"/>
      <w:jc w:val="right"/>
    </w:pPr>
    <w:r>
      <w:t>Portfolio overview</w:t>
    </w:r>
  </w:p>
  <w:p w:rsidR="00F7530C" w:rsidRPr="00F26C98" w:rsidRDefault="00F7530C" w:rsidP="00F26C9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HeaderOdd"/>
    </w:pPr>
    <w:r>
      <w:rPr>
        <w:lang w:val="en-US"/>
      </w:rPr>
      <w:t>AHL Budget Statements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8E4CBB" w:rsidRDefault="00F7530C" w:rsidP="008E4CBB">
    <w:pPr>
      <w:pStyle w:val="HeaderOd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8E4CBB" w:rsidRDefault="00F7530C" w:rsidP="008E4CBB">
    <w:pPr>
      <w:pStyle w:val="HeaderOd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AIFS Budget Statements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HeaderOdd"/>
    </w:pPr>
    <w:r>
      <w:rPr>
        <w:lang w:val="en-US"/>
      </w:rPr>
      <w:t>AIFS Budget Statements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8E4CBB" w:rsidRDefault="00F7530C" w:rsidP="008E4CBB">
    <w:pPr>
      <w:pStyle w:val="HeaderOd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IBA Budget Statements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HeaderOdd"/>
    </w:pPr>
    <w:r>
      <w:rPr>
        <w:lang w:val="en-US"/>
      </w:rPr>
      <w:t>IBA Budget Statements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8E4CBB" w:rsidRDefault="00F7530C" w:rsidP="008E4CBB">
    <w:pPr>
      <w:pStyle w:val="HeaderOd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ILC Budget Statements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409" w:rsidRDefault="0056440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HeaderOdd"/>
    </w:pPr>
    <w:r>
      <w:rPr>
        <w:lang w:val="en-US"/>
      </w:rPr>
      <w:t>ILC Budget Statements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8E4CBB" w:rsidRDefault="00F7530C" w:rsidP="008E4CBB">
    <w:pPr>
      <w:pStyle w:val="HeaderOd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TSRA Budget Statements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HeaderOdd"/>
    </w:pPr>
    <w:r>
      <w:rPr>
        <w:lang w:val="en-US"/>
      </w:rPr>
      <w:t>TSRA Budget Statements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8E4CBB" w:rsidRDefault="00F7530C" w:rsidP="008E4CBB">
    <w:pPr>
      <w:pStyle w:val="HeaderOd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WGEA Budget Statements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6321E3">
    <w:pPr>
      <w:pStyle w:val="HeaderOdd"/>
    </w:pPr>
    <w:r>
      <w:rPr>
        <w:lang w:val="en-US"/>
      </w:rPr>
      <w:t>WGEA Budget Statements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6321E3" w:rsidRDefault="00F7530C" w:rsidP="00F61E80">
    <w:pPr>
      <w:pStyle w:val="Header"/>
      <w:rPr>
        <w:lang w:val="en-US"/>
      </w:rPr>
    </w:pPr>
    <w:r>
      <w:rPr>
        <w:lang w:val="en-US"/>
      </w:rPr>
      <w:t>Glossary</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6321E3" w:rsidRDefault="00F7530C" w:rsidP="006321E3">
    <w:pPr>
      <w:pStyle w:val="HeaderOdd"/>
      <w:rPr>
        <w:lang w:val="en-US"/>
      </w:rPr>
    </w:pPr>
    <w:r>
      <w:rPr>
        <w:lang w:val="en-US"/>
      </w:rPr>
      <w:t>Glossary</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6321E3" w:rsidRDefault="00F7530C" w:rsidP="00F61E80">
    <w:pPr>
      <w:pStyle w:val="Header"/>
      <w:rPr>
        <w:lang w:val="en-US"/>
      </w:rPr>
    </w:pPr>
    <w:r>
      <w:rPr>
        <w:lang w:val="en-US"/>
      </w:rPr>
      <w:t>Abbreviations</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6321E3" w:rsidRDefault="00F7530C" w:rsidP="006321E3">
    <w:pPr>
      <w:pStyle w:val="HeaderOdd"/>
      <w:rPr>
        <w:lang w:val="en-US"/>
      </w:rPr>
    </w:pPr>
    <w:r>
      <w:rPr>
        <w:lang w:val="en-US"/>
      </w:rPr>
      <w:t>Abbreviations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A87D8E" w:rsidRDefault="00F7530C" w:rsidP="00D27248">
    <w:pPr>
      <w:pStyle w:val="Header"/>
      <w:rPr>
        <w:lang w:val="en-US"/>
      </w:rPr>
    </w:pPr>
    <w:r>
      <w:rPr>
        <w:lang w:val="en-US"/>
      </w:rPr>
      <w:t>Index</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A87D8E" w:rsidRDefault="00F7530C" w:rsidP="00A87D8E">
    <w:pPr>
      <w:pStyle w:val="HeaderOdd"/>
      <w:rPr>
        <w:lang w:val="en-US"/>
      </w:rPr>
    </w:pPr>
    <w:r>
      <w:rPr>
        <w:lang w:val="en-US"/>
      </w:rPr>
      <w:t>Index</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484CB3" w:rsidRDefault="00F7530C" w:rsidP="00484C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0E3FD9" w:rsidRDefault="00F7530C" w:rsidP="002E1BF9">
    <w:pPr>
      <w:pStyle w:val="Header"/>
      <w:tabs>
        <w:tab w:val="clear" w:pos="8306"/>
        <w:tab w:val="right" w:pos="8820"/>
      </w:tabs>
      <w:ind w:left="-540" w:right="-508"/>
      <w:jc w:val="center"/>
    </w:pPr>
    <w:r>
      <w:rPr>
        <w:noProof/>
      </w:rPr>
      <w:drawing>
        <wp:inline distT="0" distB="0" distL="0" distR="0" wp14:anchorId="46CDEEDC" wp14:editId="65514CA1">
          <wp:extent cx="904875" cy="666750"/>
          <wp:effectExtent l="0" t="0" r="9525" b="0"/>
          <wp:docPr id="1" name="Picture 1"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a:ln>
                    <a:noFill/>
                  </a:ln>
                </pic:spPr>
              </pic:pic>
            </a:graphicData>
          </a:graphic>
        </wp:inline>
      </w:drawing>
    </w:r>
  </w:p>
  <w:p w:rsidR="00F7530C" w:rsidRPr="008F26A0" w:rsidRDefault="00F7530C" w:rsidP="002E1BF9">
    <w:pPr>
      <w:spacing w:after="0" w:line="240" w:lineRule="auto"/>
      <w:jc w:val="center"/>
      <w:rPr>
        <w:rFonts w:ascii="Times New Roman" w:hAnsi="Times New Roman"/>
        <w:b/>
        <w:sz w:val="28"/>
        <w:szCs w:val="28"/>
      </w:rPr>
    </w:pPr>
  </w:p>
  <w:p w:rsidR="00F7530C" w:rsidRPr="00627403" w:rsidRDefault="00F7530C" w:rsidP="002E1BF9">
    <w:pPr>
      <w:spacing w:after="0" w:line="240" w:lineRule="auto"/>
      <w:jc w:val="center"/>
      <w:rPr>
        <w:rFonts w:ascii="Times New Roman" w:hAnsi="Times New Roman"/>
        <w:b/>
        <w:caps/>
        <w:sz w:val="28"/>
        <w:szCs w:val="28"/>
      </w:rPr>
    </w:pPr>
    <w:r w:rsidRPr="00627403">
      <w:rPr>
        <w:rFonts w:ascii="Times New Roman" w:hAnsi="Times New Roman"/>
        <w:b/>
        <w:caps/>
        <w:sz w:val="28"/>
        <w:szCs w:val="28"/>
      </w:rPr>
      <w:t>Minister for Families, Community Services and Indigenous Affairs</w:t>
    </w:r>
  </w:p>
  <w:p w:rsidR="00F7530C" w:rsidRPr="00627403" w:rsidRDefault="00F7530C" w:rsidP="002E1BF9">
    <w:pPr>
      <w:spacing w:after="0" w:line="240" w:lineRule="auto"/>
      <w:jc w:val="center"/>
      <w:rPr>
        <w:rFonts w:ascii="Times New Roman" w:hAnsi="Times New Roman"/>
        <w:b/>
        <w:caps/>
        <w:sz w:val="28"/>
        <w:szCs w:val="28"/>
      </w:rPr>
    </w:pPr>
    <w:r w:rsidRPr="00627403">
      <w:rPr>
        <w:rFonts w:ascii="Times New Roman" w:hAnsi="Times New Roman"/>
        <w:b/>
        <w:caps/>
        <w:sz w:val="28"/>
        <w:szCs w:val="28"/>
      </w:rPr>
      <w:t>Minister for Disability Reform</w:t>
    </w:r>
  </w:p>
  <w:p w:rsidR="00F7530C" w:rsidRPr="008F26A0" w:rsidRDefault="00F7530C" w:rsidP="002E1BF9">
    <w:pPr>
      <w:spacing w:after="0" w:line="240" w:lineRule="auto"/>
      <w:jc w:val="center"/>
      <w:rPr>
        <w:rFonts w:ascii="Times New Roman" w:hAnsi="Times New Roman"/>
        <w:b/>
        <w:sz w:val="32"/>
        <w:szCs w:val="32"/>
      </w:rPr>
    </w:pPr>
  </w:p>
  <w:tbl>
    <w:tblPr>
      <w:tblW w:w="7995" w:type="dxa"/>
      <w:jc w:val="center"/>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2"/>
      <w:gridCol w:w="3643"/>
    </w:tblGrid>
    <w:tr w:rsidR="00F7530C" w:rsidRPr="008F26A0" w:rsidTr="004611B3">
      <w:trPr>
        <w:trHeight w:val="280"/>
        <w:jc w:val="center"/>
      </w:trPr>
      <w:tc>
        <w:tcPr>
          <w:tcW w:w="4352" w:type="dxa"/>
          <w:tcBorders>
            <w:top w:val="nil"/>
            <w:left w:val="nil"/>
            <w:bottom w:val="nil"/>
            <w:right w:val="nil"/>
          </w:tcBorders>
        </w:tcPr>
        <w:p w:rsidR="00F7530C" w:rsidRPr="008F26A0" w:rsidRDefault="00F7530C" w:rsidP="004611B3">
          <w:pPr>
            <w:spacing w:after="0" w:line="240" w:lineRule="auto"/>
            <w:jc w:val="right"/>
            <w:rPr>
              <w:rFonts w:ascii="Times New Roman" w:hAnsi="Times New Roman"/>
              <w:i/>
              <w:sz w:val="18"/>
              <w:szCs w:val="18"/>
            </w:rPr>
          </w:pPr>
        </w:p>
      </w:tc>
      <w:tc>
        <w:tcPr>
          <w:tcW w:w="3643" w:type="dxa"/>
          <w:tcBorders>
            <w:top w:val="nil"/>
            <w:left w:val="nil"/>
            <w:bottom w:val="nil"/>
            <w:right w:val="nil"/>
          </w:tcBorders>
        </w:tcPr>
        <w:p w:rsidR="00F7530C" w:rsidRDefault="00F7530C" w:rsidP="00F26083">
          <w:pPr>
            <w:spacing w:after="0" w:line="240" w:lineRule="auto"/>
            <w:jc w:val="right"/>
            <w:rPr>
              <w:rFonts w:ascii="Times New Roman" w:hAnsi="Times New Roman"/>
              <w:b/>
              <w:sz w:val="18"/>
              <w:szCs w:val="18"/>
            </w:rPr>
          </w:pPr>
          <w:r>
            <w:rPr>
              <w:rFonts w:ascii="Times New Roman" w:hAnsi="Times New Roman"/>
              <w:b/>
              <w:sz w:val="18"/>
              <w:szCs w:val="18"/>
            </w:rPr>
            <w:t>PARLIAMENT HOUSE</w:t>
          </w:r>
        </w:p>
        <w:p w:rsidR="00F7530C" w:rsidRPr="00627403" w:rsidRDefault="00F7530C" w:rsidP="00F26083">
          <w:pPr>
            <w:spacing w:after="0" w:line="240" w:lineRule="auto"/>
            <w:jc w:val="right"/>
            <w:rPr>
              <w:rFonts w:ascii="Times New Roman" w:hAnsi="Times New Roman"/>
              <w:b/>
              <w:sz w:val="18"/>
              <w:szCs w:val="18"/>
            </w:rPr>
          </w:pPr>
          <w:r>
            <w:rPr>
              <w:rFonts w:ascii="Times New Roman" w:hAnsi="Times New Roman"/>
              <w:b/>
              <w:sz w:val="18"/>
              <w:szCs w:val="18"/>
            </w:rPr>
            <w:t xml:space="preserve">CANBERRA  ACT  </w:t>
          </w:r>
          <w:r w:rsidRPr="00627403">
            <w:rPr>
              <w:rFonts w:ascii="Times New Roman" w:hAnsi="Times New Roman"/>
              <w:b/>
              <w:sz w:val="18"/>
              <w:szCs w:val="18"/>
            </w:rPr>
            <w:t>2600</w:t>
          </w:r>
        </w:p>
      </w:tc>
    </w:tr>
  </w:tbl>
  <w:p w:rsidR="00F7530C" w:rsidRDefault="00F7530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Portfolio overview</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Pr="00107652" w:rsidRDefault="00F7530C" w:rsidP="00F61E80">
    <w:pPr>
      <w:pStyle w:val="Header"/>
      <w:rPr>
        <w:lang w:val="en-US"/>
      </w:rPr>
    </w:pPr>
    <w:r>
      <w:rPr>
        <w:lang w:val="en-US"/>
      </w:rPr>
      <w:t>User guide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C" w:rsidRDefault="00F7530C" w:rsidP="00F26C98">
    <w:pPr>
      <w:pStyle w:val="Header"/>
      <w:jc w:val="right"/>
    </w:pPr>
  </w:p>
  <w:p w:rsidR="00F7530C" w:rsidRPr="00F26C98" w:rsidRDefault="00F7530C" w:rsidP="00F26C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70EA2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B34FA5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B7A391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01090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5FC07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52FF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6C12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6C2E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5B2DB3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B829BE4"/>
    <w:lvl w:ilvl="0">
      <w:start w:val="1"/>
      <w:numFmt w:val="bullet"/>
      <w:lvlText w:val=""/>
      <w:lvlJc w:val="left"/>
      <w:pPr>
        <w:tabs>
          <w:tab w:val="num" w:pos="360"/>
        </w:tabs>
        <w:ind w:left="360" w:hanging="360"/>
      </w:pPr>
      <w:rPr>
        <w:rFonts w:ascii="Symbol" w:hAnsi="Symbol" w:hint="default"/>
      </w:rPr>
    </w:lvl>
  </w:abstractNum>
  <w:abstractNum w:abstractNumId="10">
    <w:nsid w:val="03242858"/>
    <w:multiLevelType w:val="hybridMultilevel"/>
    <w:tmpl w:val="03D68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EC42909"/>
    <w:multiLevelType w:val="multilevel"/>
    <w:tmpl w:val="9CEA5258"/>
    <w:name w:val="StandardBulletedList_"/>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2">
    <w:nsid w:val="12A2172B"/>
    <w:multiLevelType w:val="hybridMultilevel"/>
    <w:tmpl w:val="FEBE756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13F2998"/>
    <w:multiLevelType w:val="multilevel"/>
    <w:tmpl w:val="5B88E93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58105AF"/>
    <w:multiLevelType w:val="hybridMultilevel"/>
    <w:tmpl w:val="6A5E2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EA4481"/>
    <w:multiLevelType w:val="multilevel"/>
    <w:tmpl w:val="0DFE1A6A"/>
    <w:name w:val="TableTextBullet"/>
    <w:lvl w:ilvl="0">
      <w:start w:val="1"/>
      <w:numFmt w:val="bullet"/>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6">
    <w:nsid w:val="2DE3170B"/>
    <w:multiLevelType w:val="multilevel"/>
    <w:tmpl w:val="EE3E7488"/>
    <w:lvl w:ilvl="0">
      <w:start w:val="1"/>
      <w:numFmt w:val="bullet"/>
      <w:lvlText w:val=""/>
      <w:lvlJc w:val="left"/>
      <w:pPr>
        <w:tabs>
          <w:tab w:val="num" w:pos="643"/>
        </w:tabs>
        <w:ind w:left="643" w:hanging="360"/>
      </w:pPr>
      <w:rPr>
        <w:rFonts w:ascii="Symbol" w:hAnsi="Symbol" w:hint="default"/>
        <w:color w:val="auto"/>
      </w:rPr>
    </w:lvl>
    <w:lvl w:ilvl="1">
      <w:start w:val="1"/>
      <w:numFmt w:val="bullet"/>
      <w:lvlText w:val=""/>
      <w:lvlJc w:val="left"/>
      <w:pPr>
        <w:tabs>
          <w:tab w:val="num" w:pos="1003"/>
        </w:tabs>
        <w:ind w:left="1003" w:hanging="360"/>
      </w:pPr>
      <w:rPr>
        <w:rFonts w:ascii="Symbol" w:hAnsi="Symbol" w:hint="default"/>
      </w:rPr>
    </w:lvl>
    <w:lvl w:ilvl="2">
      <w:start w:val="1"/>
      <w:numFmt w:val="bullet"/>
      <w:lvlText w:val=""/>
      <w:lvlJc w:val="left"/>
      <w:pPr>
        <w:tabs>
          <w:tab w:val="num" w:pos="1363"/>
        </w:tabs>
        <w:ind w:left="1363" w:hanging="360"/>
      </w:pPr>
      <w:rPr>
        <w:rFonts w:ascii="Wingdings" w:hAnsi="Wingdings" w:hint="default"/>
      </w:rPr>
    </w:lvl>
    <w:lvl w:ilvl="3">
      <w:start w:val="1"/>
      <w:numFmt w:val="bullet"/>
      <w:lvlText w:val=""/>
      <w:lvlJc w:val="left"/>
      <w:pPr>
        <w:tabs>
          <w:tab w:val="num" w:pos="1723"/>
        </w:tabs>
        <w:ind w:left="1723" w:hanging="360"/>
      </w:pPr>
      <w:rPr>
        <w:rFonts w:ascii="Symbol" w:hAnsi="Symbol" w:hint="default"/>
      </w:rPr>
    </w:lvl>
    <w:lvl w:ilvl="4">
      <w:start w:val="1"/>
      <w:numFmt w:val="bullet"/>
      <w:lvlText w:val=""/>
      <w:lvlJc w:val="left"/>
      <w:pPr>
        <w:tabs>
          <w:tab w:val="num" w:pos="2083"/>
        </w:tabs>
        <w:ind w:left="2083" w:hanging="360"/>
      </w:pPr>
      <w:rPr>
        <w:rFonts w:ascii="Symbol" w:hAnsi="Symbol" w:hint="default"/>
      </w:rPr>
    </w:lvl>
    <w:lvl w:ilvl="5">
      <w:start w:val="1"/>
      <w:numFmt w:val="bullet"/>
      <w:lvlText w:val=""/>
      <w:lvlJc w:val="left"/>
      <w:pPr>
        <w:tabs>
          <w:tab w:val="num" w:pos="2443"/>
        </w:tabs>
        <w:ind w:left="2443" w:hanging="360"/>
      </w:pPr>
      <w:rPr>
        <w:rFonts w:ascii="Wingdings" w:hAnsi="Wingdings" w:hint="default"/>
      </w:rPr>
    </w:lvl>
    <w:lvl w:ilvl="6">
      <w:start w:val="1"/>
      <w:numFmt w:val="bullet"/>
      <w:lvlText w:val=""/>
      <w:lvlJc w:val="left"/>
      <w:pPr>
        <w:tabs>
          <w:tab w:val="num" w:pos="2803"/>
        </w:tabs>
        <w:ind w:left="2803" w:hanging="360"/>
      </w:pPr>
      <w:rPr>
        <w:rFonts w:ascii="Wingdings" w:hAnsi="Wingdings" w:hint="default"/>
      </w:rPr>
    </w:lvl>
    <w:lvl w:ilvl="7">
      <w:start w:val="1"/>
      <w:numFmt w:val="bullet"/>
      <w:lvlText w:val=""/>
      <w:lvlJc w:val="left"/>
      <w:pPr>
        <w:tabs>
          <w:tab w:val="num" w:pos="3163"/>
        </w:tabs>
        <w:ind w:left="3163" w:hanging="360"/>
      </w:pPr>
      <w:rPr>
        <w:rFonts w:ascii="Symbol" w:hAnsi="Symbol" w:hint="default"/>
      </w:rPr>
    </w:lvl>
    <w:lvl w:ilvl="8">
      <w:start w:val="1"/>
      <w:numFmt w:val="bullet"/>
      <w:lvlText w:val=""/>
      <w:lvlJc w:val="left"/>
      <w:pPr>
        <w:tabs>
          <w:tab w:val="num" w:pos="3523"/>
        </w:tabs>
        <w:ind w:left="3523" w:hanging="360"/>
      </w:pPr>
      <w:rPr>
        <w:rFonts w:ascii="Symbol" w:hAnsi="Symbol" w:hint="default"/>
      </w:rPr>
    </w:lvl>
  </w:abstractNum>
  <w:abstractNum w:abstractNumId="17">
    <w:nsid w:val="2EB47A22"/>
    <w:multiLevelType w:val="multilevel"/>
    <w:tmpl w:val="5B88E93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0AD1EEF"/>
    <w:multiLevelType w:val="hybridMultilevel"/>
    <w:tmpl w:val="5FC2E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5C61985"/>
    <w:multiLevelType w:val="multilevel"/>
    <w:tmpl w:val="5B88E93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B2E19AC"/>
    <w:multiLevelType w:val="singleLevel"/>
    <w:tmpl w:val="A2984CA2"/>
    <w:lvl w:ilvl="0">
      <w:start w:val="1"/>
      <w:numFmt w:val="decimal"/>
      <w:pStyle w:val="ChartandTableFootnotenumbered"/>
      <w:lvlText w:val="%1."/>
      <w:lvlJc w:val="left"/>
      <w:pPr>
        <w:ind w:left="360" w:hanging="360"/>
      </w:pPr>
      <w:rPr>
        <w:rFonts w:ascii="Arial" w:hAnsi="Arial" w:hint="default"/>
        <w:b w:val="0"/>
        <w:i w:val="0"/>
        <w:color w:val="000000"/>
        <w:sz w:val="16"/>
      </w:rPr>
    </w:lvl>
  </w:abstractNum>
  <w:abstractNum w:abstractNumId="21">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rFonts w:cs="Times New Roman"/>
        <w:b w:val="0"/>
        <w:i w:val="0"/>
        <w:color w:val="000000"/>
      </w:rPr>
    </w:lvl>
  </w:abstractNum>
  <w:abstractNum w:abstractNumId="22">
    <w:nsid w:val="4AD522FA"/>
    <w:multiLevelType w:val="hybridMultilevel"/>
    <w:tmpl w:val="39087A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50F05740"/>
    <w:multiLevelType w:val="hybridMultilevel"/>
    <w:tmpl w:val="EAD6C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8101827"/>
    <w:multiLevelType w:val="multilevel"/>
    <w:tmpl w:val="8668ACE0"/>
    <w:lvl w:ilvl="0">
      <w:start w:val="1"/>
      <w:numFmt w:val="bullet"/>
      <w:pStyle w:val="BoxBullet"/>
      <w:lvlText w:val=""/>
      <w:lvlJc w:val="left"/>
      <w:pPr>
        <w:tabs>
          <w:tab w:val="num" w:pos="283"/>
        </w:tabs>
        <w:ind w:left="283" w:hanging="283"/>
      </w:pPr>
      <w:rPr>
        <w:rFonts w:ascii="Wingdings" w:hAnsi="Wingdings" w:hint="default"/>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5">
    <w:nsid w:val="58C96900"/>
    <w:multiLevelType w:val="multilevel"/>
    <w:tmpl w:val="CEEE0E4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21E4AC1"/>
    <w:multiLevelType w:val="multilevel"/>
    <w:tmpl w:val="5B88E93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37A5B4E"/>
    <w:multiLevelType w:val="hybridMultilevel"/>
    <w:tmpl w:val="5B88E19C"/>
    <w:lvl w:ilvl="0" w:tplc="E05EF700">
      <w:start w:val="2"/>
      <w:numFmt w:val="bullet"/>
      <w:lvlText w:val="-"/>
      <w:lvlJc w:val="left"/>
      <w:pPr>
        <w:ind w:left="720" w:hanging="36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5C3EEC"/>
    <w:multiLevelType w:val="multilevel"/>
    <w:tmpl w:val="646E24C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6"/>
  </w:num>
  <w:num w:numId="1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3"/>
  </w:num>
  <w:num w:numId="16">
    <w:abstractNumId w:val="22"/>
  </w:num>
  <w:num w:numId="17">
    <w:abstractNumId w:val="20"/>
    <w:lvlOverride w:ilvl="0">
      <w:startOverride w:val="1"/>
    </w:lvlOverride>
  </w:num>
  <w:num w:numId="18">
    <w:abstractNumId w:val="20"/>
    <w:lvlOverride w:ilvl="0">
      <w:startOverride w:val="1"/>
    </w:lvlOverride>
  </w:num>
  <w:num w:numId="19">
    <w:abstractNumId w:val="11"/>
  </w:num>
  <w:num w:numId="20">
    <w:abstractNumId w:val="21"/>
  </w:num>
  <w:num w:numId="21">
    <w:abstractNumId w:val="24"/>
  </w:num>
  <w:num w:numId="22">
    <w:abstractNumId w:val="27"/>
  </w:num>
  <w:num w:numId="23">
    <w:abstractNumId w:val="18"/>
  </w:num>
  <w:num w:numId="24">
    <w:abstractNumId w:val="14"/>
  </w:num>
  <w:num w:numId="25">
    <w:abstractNumId w:val="10"/>
  </w:num>
  <w:num w:numId="26">
    <w:abstractNumId w:val="25"/>
  </w:num>
  <w:num w:numId="27">
    <w:abstractNumId w:val="17"/>
  </w:num>
  <w:num w:numId="28">
    <w:abstractNumId w:val="28"/>
  </w:num>
  <w:num w:numId="29">
    <w:abstractNumId w:val="13"/>
  </w:num>
  <w:num w:numId="30">
    <w:abstractNumId w:val="19"/>
  </w:num>
  <w:num w:numId="31">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embedSystemFonts/>
  <w:saveSubsetFonts/>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evenAndOddHeaders/>
  <w:characterSpacingControl w:val="doNotCompress"/>
  <w:hdrShapeDefaults>
    <o:shapedefaults v:ext="edit" spidmax="34817"/>
  </w:hdrShapeDefaults>
  <w:footnotePr>
    <w:footnote w:id="-1"/>
    <w:footnote w:id="0"/>
  </w:footnotePr>
  <w:endnotePr>
    <w:endnote w:id="-1"/>
    <w:endnote w:id="0"/>
  </w:endnotePr>
  <w:compat>
    <w:noTabHangInd/>
    <w:noColumnBalance/>
    <w:suppressBottomSpacing/>
    <w:suppressTopSpacing/>
    <w:suppressSpBfAfterPgBrk/>
    <w:noSpaceRaiseLower/>
    <w:doNotUseHTMLParagraphAutoSpacing/>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F51DAC"/>
    <w:rsid w:val="00000DE5"/>
    <w:rsid w:val="00000FDF"/>
    <w:rsid w:val="00002565"/>
    <w:rsid w:val="00002961"/>
    <w:rsid w:val="00002DD7"/>
    <w:rsid w:val="00003143"/>
    <w:rsid w:val="00003265"/>
    <w:rsid w:val="000032F1"/>
    <w:rsid w:val="00007024"/>
    <w:rsid w:val="000072B4"/>
    <w:rsid w:val="00007A0E"/>
    <w:rsid w:val="00007B42"/>
    <w:rsid w:val="00010893"/>
    <w:rsid w:val="00010AE9"/>
    <w:rsid w:val="00011B74"/>
    <w:rsid w:val="0001222F"/>
    <w:rsid w:val="000139ED"/>
    <w:rsid w:val="00013EF6"/>
    <w:rsid w:val="0001421B"/>
    <w:rsid w:val="000145C2"/>
    <w:rsid w:val="000155DD"/>
    <w:rsid w:val="00015C13"/>
    <w:rsid w:val="00016D9F"/>
    <w:rsid w:val="00020928"/>
    <w:rsid w:val="00020B74"/>
    <w:rsid w:val="0002137B"/>
    <w:rsid w:val="0002144A"/>
    <w:rsid w:val="00023083"/>
    <w:rsid w:val="00024B72"/>
    <w:rsid w:val="00024F2B"/>
    <w:rsid w:val="00025B1B"/>
    <w:rsid w:val="00025F50"/>
    <w:rsid w:val="000301B2"/>
    <w:rsid w:val="00031153"/>
    <w:rsid w:val="000333AB"/>
    <w:rsid w:val="00033798"/>
    <w:rsid w:val="00034678"/>
    <w:rsid w:val="00034BA1"/>
    <w:rsid w:val="00034F58"/>
    <w:rsid w:val="00035720"/>
    <w:rsid w:val="00035AED"/>
    <w:rsid w:val="0003616E"/>
    <w:rsid w:val="000367BE"/>
    <w:rsid w:val="00036E1E"/>
    <w:rsid w:val="00037321"/>
    <w:rsid w:val="00037495"/>
    <w:rsid w:val="00037A99"/>
    <w:rsid w:val="00040033"/>
    <w:rsid w:val="0004030C"/>
    <w:rsid w:val="0004119C"/>
    <w:rsid w:val="00041245"/>
    <w:rsid w:val="000423D0"/>
    <w:rsid w:val="00042738"/>
    <w:rsid w:val="00043CA8"/>
    <w:rsid w:val="000440AC"/>
    <w:rsid w:val="000457E5"/>
    <w:rsid w:val="00046355"/>
    <w:rsid w:val="0004637B"/>
    <w:rsid w:val="00047A05"/>
    <w:rsid w:val="0005182B"/>
    <w:rsid w:val="00051A5F"/>
    <w:rsid w:val="00051CBD"/>
    <w:rsid w:val="000526A7"/>
    <w:rsid w:val="00053D97"/>
    <w:rsid w:val="00055904"/>
    <w:rsid w:val="00055DE5"/>
    <w:rsid w:val="00055DEC"/>
    <w:rsid w:val="00057A5B"/>
    <w:rsid w:val="00060671"/>
    <w:rsid w:val="00060D08"/>
    <w:rsid w:val="000616CD"/>
    <w:rsid w:val="00061C39"/>
    <w:rsid w:val="00062167"/>
    <w:rsid w:val="00062848"/>
    <w:rsid w:val="00063883"/>
    <w:rsid w:val="000638CF"/>
    <w:rsid w:val="00064182"/>
    <w:rsid w:val="00064AD8"/>
    <w:rsid w:val="0006501E"/>
    <w:rsid w:val="00065753"/>
    <w:rsid w:val="00065897"/>
    <w:rsid w:val="00065BBA"/>
    <w:rsid w:val="00065C23"/>
    <w:rsid w:val="000663E4"/>
    <w:rsid w:val="00067D30"/>
    <w:rsid w:val="00070AFC"/>
    <w:rsid w:val="00070E7F"/>
    <w:rsid w:val="00071CA5"/>
    <w:rsid w:val="00071F31"/>
    <w:rsid w:val="00072B1D"/>
    <w:rsid w:val="00074C84"/>
    <w:rsid w:val="00074D73"/>
    <w:rsid w:val="00074FC1"/>
    <w:rsid w:val="0007573E"/>
    <w:rsid w:val="00075A5E"/>
    <w:rsid w:val="000767A4"/>
    <w:rsid w:val="0007721A"/>
    <w:rsid w:val="00080E3A"/>
    <w:rsid w:val="00081A9F"/>
    <w:rsid w:val="00082697"/>
    <w:rsid w:val="00083652"/>
    <w:rsid w:val="00083B77"/>
    <w:rsid w:val="00083D05"/>
    <w:rsid w:val="00084CC2"/>
    <w:rsid w:val="00084F1B"/>
    <w:rsid w:val="000852CB"/>
    <w:rsid w:val="00086100"/>
    <w:rsid w:val="00086851"/>
    <w:rsid w:val="00090642"/>
    <w:rsid w:val="000908F3"/>
    <w:rsid w:val="00091131"/>
    <w:rsid w:val="00091692"/>
    <w:rsid w:val="00091B30"/>
    <w:rsid w:val="00091C3C"/>
    <w:rsid w:val="000925E6"/>
    <w:rsid w:val="00092FF1"/>
    <w:rsid w:val="000933FA"/>
    <w:rsid w:val="00093776"/>
    <w:rsid w:val="00093C24"/>
    <w:rsid w:val="0009488C"/>
    <w:rsid w:val="000954DA"/>
    <w:rsid w:val="000955D9"/>
    <w:rsid w:val="00095887"/>
    <w:rsid w:val="000961ED"/>
    <w:rsid w:val="000A012F"/>
    <w:rsid w:val="000A044F"/>
    <w:rsid w:val="000A056F"/>
    <w:rsid w:val="000A0E8C"/>
    <w:rsid w:val="000A1332"/>
    <w:rsid w:val="000A2E16"/>
    <w:rsid w:val="000A4534"/>
    <w:rsid w:val="000A4B82"/>
    <w:rsid w:val="000A4DFC"/>
    <w:rsid w:val="000A507F"/>
    <w:rsid w:val="000A584A"/>
    <w:rsid w:val="000A6C88"/>
    <w:rsid w:val="000A724E"/>
    <w:rsid w:val="000B00B1"/>
    <w:rsid w:val="000B0D59"/>
    <w:rsid w:val="000B0E3E"/>
    <w:rsid w:val="000B0EB2"/>
    <w:rsid w:val="000B14BE"/>
    <w:rsid w:val="000B18CC"/>
    <w:rsid w:val="000B1E70"/>
    <w:rsid w:val="000B2C1A"/>
    <w:rsid w:val="000B3695"/>
    <w:rsid w:val="000B4185"/>
    <w:rsid w:val="000B5660"/>
    <w:rsid w:val="000B5844"/>
    <w:rsid w:val="000B5D12"/>
    <w:rsid w:val="000B69F7"/>
    <w:rsid w:val="000B6FAC"/>
    <w:rsid w:val="000B72C8"/>
    <w:rsid w:val="000B7E6D"/>
    <w:rsid w:val="000C0433"/>
    <w:rsid w:val="000C048F"/>
    <w:rsid w:val="000C1446"/>
    <w:rsid w:val="000C19E9"/>
    <w:rsid w:val="000C300A"/>
    <w:rsid w:val="000C39D8"/>
    <w:rsid w:val="000C3C4A"/>
    <w:rsid w:val="000C45C5"/>
    <w:rsid w:val="000C4BFB"/>
    <w:rsid w:val="000C5706"/>
    <w:rsid w:val="000C6692"/>
    <w:rsid w:val="000C6843"/>
    <w:rsid w:val="000C74BB"/>
    <w:rsid w:val="000D25EB"/>
    <w:rsid w:val="000D3C70"/>
    <w:rsid w:val="000D3D95"/>
    <w:rsid w:val="000D5F9B"/>
    <w:rsid w:val="000D5FBE"/>
    <w:rsid w:val="000D6112"/>
    <w:rsid w:val="000D6313"/>
    <w:rsid w:val="000D7280"/>
    <w:rsid w:val="000D7497"/>
    <w:rsid w:val="000E0168"/>
    <w:rsid w:val="000E0CAD"/>
    <w:rsid w:val="000E210B"/>
    <w:rsid w:val="000E25A5"/>
    <w:rsid w:val="000E2B62"/>
    <w:rsid w:val="000E3FD9"/>
    <w:rsid w:val="000E42C9"/>
    <w:rsid w:val="000E5026"/>
    <w:rsid w:val="000E6252"/>
    <w:rsid w:val="000E646C"/>
    <w:rsid w:val="000E70E5"/>
    <w:rsid w:val="000E7253"/>
    <w:rsid w:val="000E7C0C"/>
    <w:rsid w:val="000F117B"/>
    <w:rsid w:val="000F4C5C"/>
    <w:rsid w:val="000F71C3"/>
    <w:rsid w:val="000F74F1"/>
    <w:rsid w:val="000F78DA"/>
    <w:rsid w:val="001015C2"/>
    <w:rsid w:val="00101704"/>
    <w:rsid w:val="00102E87"/>
    <w:rsid w:val="0010399E"/>
    <w:rsid w:val="00103DEF"/>
    <w:rsid w:val="00103DFB"/>
    <w:rsid w:val="001054A3"/>
    <w:rsid w:val="001066C2"/>
    <w:rsid w:val="0010688F"/>
    <w:rsid w:val="00106B57"/>
    <w:rsid w:val="00107652"/>
    <w:rsid w:val="001102B1"/>
    <w:rsid w:val="001114E4"/>
    <w:rsid w:val="001130AC"/>
    <w:rsid w:val="001135AF"/>
    <w:rsid w:val="0011437A"/>
    <w:rsid w:val="00114603"/>
    <w:rsid w:val="00114AE0"/>
    <w:rsid w:val="00114BA6"/>
    <w:rsid w:val="0011548F"/>
    <w:rsid w:val="00116509"/>
    <w:rsid w:val="00116E6A"/>
    <w:rsid w:val="00117014"/>
    <w:rsid w:val="0011718F"/>
    <w:rsid w:val="0012053C"/>
    <w:rsid w:val="001205C8"/>
    <w:rsid w:val="00120BB5"/>
    <w:rsid w:val="0012197A"/>
    <w:rsid w:val="00121D75"/>
    <w:rsid w:val="00122102"/>
    <w:rsid w:val="00122345"/>
    <w:rsid w:val="001227E2"/>
    <w:rsid w:val="00122DFF"/>
    <w:rsid w:val="0012432B"/>
    <w:rsid w:val="00124BEC"/>
    <w:rsid w:val="00124FC9"/>
    <w:rsid w:val="00126251"/>
    <w:rsid w:val="001268F7"/>
    <w:rsid w:val="001274C8"/>
    <w:rsid w:val="00127FF8"/>
    <w:rsid w:val="00131561"/>
    <w:rsid w:val="00131595"/>
    <w:rsid w:val="00134695"/>
    <w:rsid w:val="00135568"/>
    <w:rsid w:val="00137554"/>
    <w:rsid w:val="00140CF3"/>
    <w:rsid w:val="00141274"/>
    <w:rsid w:val="001412D6"/>
    <w:rsid w:val="00141633"/>
    <w:rsid w:val="00143295"/>
    <w:rsid w:val="00143869"/>
    <w:rsid w:val="00143D46"/>
    <w:rsid w:val="00144167"/>
    <w:rsid w:val="00144621"/>
    <w:rsid w:val="001452C2"/>
    <w:rsid w:val="00145DB4"/>
    <w:rsid w:val="00145EF6"/>
    <w:rsid w:val="001471B9"/>
    <w:rsid w:val="001475FD"/>
    <w:rsid w:val="00147CBD"/>
    <w:rsid w:val="00153B8A"/>
    <w:rsid w:val="0015527B"/>
    <w:rsid w:val="00155B62"/>
    <w:rsid w:val="00155ECE"/>
    <w:rsid w:val="00156CE0"/>
    <w:rsid w:val="00160A32"/>
    <w:rsid w:val="001617CC"/>
    <w:rsid w:val="00162766"/>
    <w:rsid w:val="00162FD1"/>
    <w:rsid w:val="00165A28"/>
    <w:rsid w:val="00166CEF"/>
    <w:rsid w:val="00166E80"/>
    <w:rsid w:val="00167BCB"/>
    <w:rsid w:val="0017074D"/>
    <w:rsid w:val="00170F6D"/>
    <w:rsid w:val="001720D6"/>
    <w:rsid w:val="00172F9D"/>
    <w:rsid w:val="00173017"/>
    <w:rsid w:val="00173230"/>
    <w:rsid w:val="0017340F"/>
    <w:rsid w:val="0017347B"/>
    <w:rsid w:val="00173760"/>
    <w:rsid w:val="001742C3"/>
    <w:rsid w:val="00175116"/>
    <w:rsid w:val="00175D6F"/>
    <w:rsid w:val="00176D21"/>
    <w:rsid w:val="0017779B"/>
    <w:rsid w:val="001805D0"/>
    <w:rsid w:val="0018084D"/>
    <w:rsid w:val="00182C13"/>
    <w:rsid w:val="00182F9F"/>
    <w:rsid w:val="00184670"/>
    <w:rsid w:val="00186BB6"/>
    <w:rsid w:val="00187839"/>
    <w:rsid w:val="001906BF"/>
    <w:rsid w:val="00190B5B"/>
    <w:rsid w:val="0019155A"/>
    <w:rsid w:val="00193033"/>
    <w:rsid w:val="00193DEE"/>
    <w:rsid w:val="00195563"/>
    <w:rsid w:val="00195758"/>
    <w:rsid w:val="001963A6"/>
    <w:rsid w:val="00196E6E"/>
    <w:rsid w:val="001A0AC8"/>
    <w:rsid w:val="001A1594"/>
    <w:rsid w:val="001A1764"/>
    <w:rsid w:val="001A1A2C"/>
    <w:rsid w:val="001A1DD3"/>
    <w:rsid w:val="001A25A8"/>
    <w:rsid w:val="001A4488"/>
    <w:rsid w:val="001A4676"/>
    <w:rsid w:val="001A56C9"/>
    <w:rsid w:val="001A57AE"/>
    <w:rsid w:val="001B0E14"/>
    <w:rsid w:val="001B1E37"/>
    <w:rsid w:val="001B2376"/>
    <w:rsid w:val="001B3C49"/>
    <w:rsid w:val="001B45DC"/>
    <w:rsid w:val="001B4E55"/>
    <w:rsid w:val="001B6AE2"/>
    <w:rsid w:val="001B6C5F"/>
    <w:rsid w:val="001B7155"/>
    <w:rsid w:val="001B7231"/>
    <w:rsid w:val="001C040C"/>
    <w:rsid w:val="001C1709"/>
    <w:rsid w:val="001C2217"/>
    <w:rsid w:val="001C23EF"/>
    <w:rsid w:val="001C39A7"/>
    <w:rsid w:val="001C460A"/>
    <w:rsid w:val="001C571B"/>
    <w:rsid w:val="001C5B82"/>
    <w:rsid w:val="001C69B7"/>
    <w:rsid w:val="001C6BDD"/>
    <w:rsid w:val="001C6C62"/>
    <w:rsid w:val="001C73A9"/>
    <w:rsid w:val="001C743F"/>
    <w:rsid w:val="001C7715"/>
    <w:rsid w:val="001C7BA6"/>
    <w:rsid w:val="001C7C33"/>
    <w:rsid w:val="001D020A"/>
    <w:rsid w:val="001D0659"/>
    <w:rsid w:val="001D06DB"/>
    <w:rsid w:val="001D09DC"/>
    <w:rsid w:val="001D15A8"/>
    <w:rsid w:val="001D1A1B"/>
    <w:rsid w:val="001D3C1A"/>
    <w:rsid w:val="001D428E"/>
    <w:rsid w:val="001D489D"/>
    <w:rsid w:val="001D5043"/>
    <w:rsid w:val="001D5183"/>
    <w:rsid w:val="001D59DC"/>
    <w:rsid w:val="001D60D8"/>
    <w:rsid w:val="001D6872"/>
    <w:rsid w:val="001D69E6"/>
    <w:rsid w:val="001D6D45"/>
    <w:rsid w:val="001D7543"/>
    <w:rsid w:val="001E077B"/>
    <w:rsid w:val="001E0B32"/>
    <w:rsid w:val="001E0BB0"/>
    <w:rsid w:val="001E1369"/>
    <w:rsid w:val="001E2260"/>
    <w:rsid w:val="001E2808"/>
    <w:rsid w:val="001E36D8"/>
    <w:rsid w:val="001E3B6B"/>
    <w:rsid w:val="001E3E12"/>
    <w:rsid w:val="001E3EB6"/>
    <w:rsid w:val="001E456A"/>
    <w:rsid w:val="001E492E"/>
    <w:rsid w:val="001E4F99"/>
    <w:rsid w:val="001E6ED1"/>
    <w:rsid w:val="001E74F7"/>
    <w:rsid w:val="001F05FB"/>
    <w:rsid w:val="001F0E68"/>
    <w:rsid w:val="001F12F1"/>
    <w:rsid w:val="001F175D"/>
    <w:rsid w:val="001F2445"/>
    <w:rsid w:val="001F6201"/>
    <w:rsid w:val="001F67EE"/>
    <w:rsid w:val="001F6948"/>
    <w:rsid w:val="001F6B95"/>
    <w:rsid w:val="001F758C"/>
    <w:rsid w:val="001F786E"/>
    <w:rsid w:val="001F7DE7"/>
    <w:rsid w:val="002000B1"/>
    <w:rsid w:val="00200186"/>
    <w:rsid w:val="002003F5"/>
    <w:rsid w:val="00200AC5"/>
    <w:rsid w:val="0020120A"/>
    <w:rsid w:val="00202E83"/>
    <w:rsid w:val="00203650"/>
    <w:rsid w:val="0020596C"/>
    <w:rsid w:val="00206F51"/>
    <w:rsid w:val="00210244"/>
    <w:rsid w:val="002128F6"/>
    <w:rsid w:val="00212AAA"/>
    <w:rsid w:val="002136AD"/>
    <w:rsid w:val="00213B02"/>
    <w:rsid w:val="00214431"/>
    <w:rsid w:val="0021469B"/>
    <w:rsid w:val="00214C70"/>
    <w:rsid w:val="002154A4"/>
    <w:rsid w:val="002157AE"/>
    <w:rsid w:val="0021610F"/>
    <w:rsid w:val="00216196"/>
    <w:rsid w:val="0021798C"/>
    <w:rsid w:val="00221007"/>
    <w:rsid w:val="00221552"/>
    <w:rsid w:val="00222F38"/>
    <w:rsid w:val="002230CD"/>
    <w:rsid w:val="0022327D"/>
    <w:rsid w:val="00224B65"/>
    <w:rsid w:val="00225363"/>
    <w:rsid w:val="00226097"/>
    <w:rsid w:val="00226EAA"/>
    <w:rsid w:val="00227586"/>
    <w:rsid w:val="00230083"/>
    <w:rsid w:val="002302C2"/>
    <w:rsid w:val="00230DBE"/>
    <w:rsid w:val="00231301"/>
    <w:rsid w:val="00232123"/>
    <w:rsid w:val="00233AE8"/>
    <w:rsid w:val="00233EAF"/>
    <w:rsid w:val="002354AC"/>
    <w:rsid w:val="00235B65"/>
    <w:rsid w:val="00240245"/>
    <w:rsid w:val="0024079E"/>
    <w:rsid w:val="00241BEB"/>
    <w:rsid w:val="002422FA"/>
    <w:rsid w:val="0024247A"/>
    <w:rsid w:val="00242AE4"/>
    <w:rsid w:val="00243C2C"/>
    <w:rsid w:val="0024453B"/>
    <w:rsid w:val="00244E40"/>
    <w:rsid w:val="00245865"/>
    <w:rsid w:val="00245A67"/>
    <w:rsid w:val="00247C54"/>
    <w:rsid w:val="00250464"/>
    <w:rsid w:val="002508C8"/>
    <w:rsid w:val="00251F8B"/>
    <w:rsid w:val="00252041"/>
    <w:rsid w:val="002521BE"/>
    <w:rsid w:val="002526B8"/>
    <w:rsid w:val="00252833"/>
    <w:rsid w:val="00252DC2"/>
    <w:rsid w:val="00254331"/>
    <w:rsid w:val="00254B87"/>
    <w:rsid w:val="00254CAE"/>
    <w:rsid w:val="00255234"/>
    <w:rsid w:val="0025667B"/>
    <w:rsid w:val="00256C0F"/>
    <w:rsid w:val="002576BE"/>
    <w:rsid w:val="00257CA4"/>
    <w:rsid w:val="00261312"/>
    <w:rsid w:val="002617CB"/>
    <w:rsid w:val="00262066"/>
    <w:rsid w:val="0026272D"/>
    <w:rsid w:val="00264249"/>
    <w:rsid w:val="002645EB"/>
    <w:rsid w:val="002648A3"/>
    <w:rsid w:val="002649AE"/>
    <w:rsid w:val="002658B5"/>
    <w:rsid w:val="00265A64"/>
    <w:rsid w:val="00266EEF"/>
    <w:rsid w:val="00267211"/>
    <w:rsid w:val="00271EED"/>
    <w:rsid w:val="0027213F"/>
    <w:rsid w:val="00274C09"/>
    <w:rsid w:val="00274EB3"/>
    <w:rsid w:val="00275DB0"/>
    <w:rsid w:val="002771CD"/>
    <w:rsid w:val="00277C28"/>
    <w:rsid w:val="0028038B"/>
    <w:rsid w:val="0028101A"/>
    <w:rsid w:val="00281946"/>
    <w:rsid w:val="0028222E"/>
    <w:rsid w:val="00282B8B"/>
    <w:rsid w:val="002856E1"/>
    <w:rsid w:val="00285AD0"/>
    <w:rsid w:val="00285B00"/>
    <w:rsid w:val="00286603"/>
    <w:rsid w:val="00286CB7"/>
    <w:rsid w:val="00290482"/>
    <w:rsid w:val="0029151D"/>
    <w:rsid w:val="00293295"/>
    <w:rsid w:val="002939E3"/>
    <w:rsid w:val="00294BCA"/>
    <w:rsid w:val="0029642D"/>
    <w:rsid w:val="002968D7"/>
    <w:rsid w:val="002A04DD"/>
    <w:rsid w:val="002A0936"/>
    <w:rsid w:val="002A0F41"/>
    <w:rsid w:val="002A3207"/>
    <w:rsid w:val="002A356B"/>
    <w:rsid w:val="002A3E9C"/>
    <w:rsid w:val="002A5130"/>
    <w:rsid w:val="002A5EF2"/>
    <w:rsid w:val="002A770D"/>
    <w:rsid w:val="002B03F9"/>
    <w:rsid w:val="002B16E9"/>
    <w:rsid w:val="002B1B53"/>
    <w:rsid w:val="002B236B"/>
    <w:rsid w:val="002B280A"/>
    <w:rsid w:val="002B294F"/>
    <w:rsid w:val="002B3B82"/>
    <w:rsid w:val="002B54C6"/>
    <w:rsid w:val="002B57D6"/>
    <w:rsid w:val="002B58B8"/>
    <w:rsid w:val="002B6410"/>
    <w:rsid w:val="002B792E"/>
    <w:rsid w:val="002B7C4F"/>
    <w:rsid w:val="002C12FB"/>
    <w:rsid w:val="002C1C4C"/>
    <w:rsid w:val="002C20A6"/>
    <w:rsid w:val="002C2B2A"/>
    <w:rsid w:val="002C48C5"/>
    <w:rsid w:val="002C4F90"/>
    <w:rsid w:val="002C54D0"/>
    <w:rsid w:val="002C5C25"/>
    <w:rsid w:val="002C62FF"/>
    <w:rsid w:val="002C6FC6"/>
    <w:rsid w:val="002C6FE1"/>
    <w:rsid w:val="002C76FA"/>
    <w:rsid w:val="002D22E0"/>
    <w:rsid w:val="002D42E7"/>
    <w:rsid w:val="002D460E"/>
    <w:rsid w:val="002D4B32"/>
    <w:rsid w:val="002D4BCF"/>
    <w:rsid w:val="002D73FA"/>
    <w:rsid w:val="002E1BF9"/>
    <w:rsid w:val="002E216B"/>
    <w:rsid w:val="002E306B"/>
    <w:rsid w:val="002E3F65"/>
    <w:rsid w:val="002E45C0"/>
    <w:rsid w:val="002E5E71"/>
    <w:rsid w:val="002E62C5"/>
    <w:rsid w:val="002F021C"/>
    <w:rsid w:val="002F02C4"/>
    <w:rsid w:val="002F143D"/>
    <w:rsid w:val="002F19ED"/>
    <w:rsid w:val="002F2820"/>
    <w:rsid w:val="002F46FF"/>
    <w:rsid w:val="002F4D19"/>
    <w:rsid w:val="002F4D98"/>
    <w:rsid w:val="002F5143"/>
    <w:rsid w:val="002F54DE"/>
    <w:rsid w:val="002F5918"/>
    <w:rsid w:val="002F5F72"/>
    <w:rsid w:val="002F6260"/>
    <w:rsid w:val="002F6C24"/>
    <w:rsid w:val="002F7321"/>
    <w:rsid w:val="002F7686"/>
    <w:rsid w:val="0030084C"/>
    <w:rsid w:val="00300B26"/>
    <w:rsid w:val="00301314"/>
    <w:rsid w:val="003019E8"/>
    <w:rsid w:val="00303AAA"/>
    <w:rsid w:val="00304174"/>
    <w:rsid w:val="003058E6"/>
    <w:rsid w:val="003066AA"/>
    <w:rsid w:val="00306FF4"/>
    <w:rsid w:val="003072EF"/>
    <w:rsid w:val="00311536"/>
    <w:rsid w:val="003117F6"/>
    <w:rsid w:val="00312BBA"/>
    <w:rsid w:val="00313084"/>
    <w:rsid w:val="00313A2C"/>
    <w:rsid w:val="003142E6"/>
    <w:rsid w:val="00314559"/>
    <w:rsid w:val="00314A4B"/>
    <w:rsid w:val="00314D2B"/>
    <w:rsid w:val="003150D3"/>
    <w:rsid w:val="00316DBB"/>
    <w:rsid w:val="00317477"/>
    <w:rsid w:val="003176A9"/>
    <w:rsid w:val="003179B7"/>
    <w:rsid w:val="00320BF1"/>
    <w:rsid w:val="0032169F"/>
    <w:rsid w:val="003239B5"/>
    <w:rsid w:val="00323A43"/>
    <w:rsid w:val="00323E3F"/>
    <w:rsid w:val="003251F8"/>
    <w:rsid w:val="00325C1D"/>
    <w:rsid w:val="00325F1B"/>
    <w:rsid w:val="0032652C"/>
    <w:rsid w:val="003266F5"/>
    <w:rsid w:val="003270A6"/>
    <w:rsid w:val="0032739E"/>
    <w:rsid w:val="003274E5"/>
    <w:rsid w:val="00330236"/>
    <w:rsid w:val="00330C1F"/>
    <w:rsid w:val="003321FC"/>
    <w:rsid w:val="00332777"/>
    <w:rsid w:val="003329BD"/>
    <w:rsid w:val="0033343C"/>
    <w:rsid w:val="00334A31"/>
    <w:rsid w:val="00335156"/>
    <w:rsid w:val="00335776"/>
    <w:rsid w:val="00336834"/>
    <w:rsid w:val="00336CF5"/>
    <w:rsid w:val="003378D0"/>
    <w:rsid w:val="00340447"/>
    <w:rsid w:val="0034347C"/>
    <w:rsid w:val="00345030"/>
    <w:rsid w:val="00347345"/>
    <w:rsid w:val="00350037"/>
    <w:rsid w:val="0035025C"/>
    <w:rsid w:val="00350333"/>
    <w:rsid w:val="00350B9B"/>
    <w:rsid w:val="0035149F"/>
    <w:rsid w:val="0035237F"/>
    <w:rsid w:val="00352676"/>
    <w:rsid w:val="00352C15"/>
    <w:rsid w:val="0035429A"/>
    <w:rsid w:val="00354330"/>
    <w:rsid w:val="003549DF"/>
    <w:rsid w:val="003550E4"/>
    <w:rsid w:val="003553C6"/>
    <w:rsid w:val="003553EB"/>
    <w:rsid w:val="00355688"/>
    <w:rsid w:val="00355FCE"/>
    <w:rsid w:val="00356173"/>
    <w:rsid w:val="003564F5"/>
    <w:rsid w:val="0035653A"/>
    <w:rsid w:val="003573B0"/>
    <w:rsid w:val="00357CE4"/>
    <w:rsid w:val="00357EF4"/>
    <w:rsid w:val="003608C9"/>
    <w:rsid w:val="00360F25"/>
    <w:rsid w:val="00361FE2"/>
    <w:rsid w:val="003636CB"/>
    <w:rsid w:val="00363B63"/>
    <w:rsid w:val="00364317"/>
    <w:rsid w:val="003647DB"/>
    <w:rsid w:val="00364D05"/>
    <w:rsid w:val="003650E2"/>
    <w:rsid w:val="00365303"/>
    <w:rsid w:val="0036637F"/>
    <w:rsid w:val="003666FC"/>
    <w:rsid w:val="0036697D"/>
    <w:rsid w:val="00366F82"/>
    <w:rsid w:val="003671AC"/>
    <w:rsid w:val="00367A81"/>
    <w:rsid w:val="00370F64"/>
    <w:rsid w:val="003719CC"/>
    <w:rsid w:val="003721F0"/>
    <w:rsid w:val="003734D6"/>
    <w:rsid w:val="00376BAF"/>
    <w:rsid w:val="003773B6"/>
    <w:rsid w:val="003801C3"/>
    <w:rsid w:val="00380A97"/>
    <w:rsid w:val="00380B4D"/>
    <w:rsid w:val="00381010"/>
    <w:rsid w:val="003818FC"/>
    <w:rsid w:val="00381A61"/>
    <w:rsid w:val="00381DC2"/>
    <w:rsid w:val="00381E9F"/>
    <w:rsid w:val="00382032"/>
    <w:rsid w:val="003829CC"/>
    <w:rsid w:val="00383508"/>
    <w:rsid w:val="003840A4"/>
    <w:rsid w:val="003845D9"/>
    <w:rsid w:val="00384608"/>
    <w:rsid w:val="00384B2C"/>
    <w:rsid w:val="003853A2"/>
    <w:rsid w:val="00385969"/>
    <w:rsid w:val="00385E5F"/>
    <w:rsid w:val="0038693C"/>
    <w:rsid w:val="00390965"/>
    <w:rsid w:val="00391D10"/>
    <w:rsid w:val="00392804"/>
    <w:rsid w:val="00392F47"/>
    <w:rsid w:val="0039322E"/>
    <w:rsid w:val="00393716"/>
    <w:rsid w:val="00395B58"/>
    <w:rsid w:val="003964BA"/>
    <w:rsid w:val="00397B88"/>
    <w:rsid w:val="003A1196"/>
    <w:rsid w:val="003A18DC"/>
    <w:rsid w:val="003A1CA2"/>
    <w:rsid w:val="003A2E43"/>
    <w:rsid w:val="003A2EEE"/>
    <w:rsid w:val="003A35AE"/>
    <w:rsid w:val="003A4206"/>
    <w:rsid w:val="003A44D1"/>
    <w:rsid w:val="003A485D"/>
    <w:rsid w:val="003A4A8D"/>
    <w:rsid w:val="003A4E80"/>
    <w:rsid w:val="003A512E"/>
    <w:rsid w:val="003A5956"/>
    <w:rsid w:val="003A6EE1"/>
    <w:rsid w:val="003A731A"/>
    <w:rsid w:val="003B01E7"/>
    <w:rsid w:val="003B0256"/>
    <w:rsid w:val="003B0259"/>
    <w:rsid w:val="003B03E5"/>
    <w:rsid w:val="003B1A40"/>
    <w:rsid w:val="003B20C6"/>
    <w:rsid w:val="003B21AA"/>
    <w:rsid w:val="003B29A0"/>
    <w:rsid w:val="003B29C9"/>
    <w:rsid w:val="003B3335"/>
    <w:rsid w:val="003B399D"/>
    <w:rsid w:val="003B4748"/>
    <w:rsid w:val="003B4BFD"/>
    <w:rsid w:val="003B5B35"/>
    <w:rsid w:val="003B6335"/>
    <w:rsid w:val="003B7078"/>
    <w:rsid w:val="003B7CE5"/>
    <w:rsid w:val="003B7DE0"/>
    <w:rsid w:val="003C067C"/>
    <w:rsid w:val="003C0BE5"/>
    <w:rsid w:val="003C0FAF"/>
    <w:rsid w:val="003C0FCA"/>
    <w:rsid w:val="003C224F"/>
    <w:rsid w:val="003C345E"/>
    <w:rsid w:val="003C350F"/>
    <w:rsid w:val="003C53C5"/>
    <w:rsid w:val="003C5C6A"/>
    <w:rsid w:val="003C645F"/>
    <w:rsid w:val="003C65AC"/>
    <w:rsid w:val="003C6A4E"/>
    <w:rsid w:val="003C737B"/>
    <w:rsid w:val="003D05F0"/>
    <w:rsid w:val="003D0849"/>
    <w:rsid w:val="003D1159"/>
    <w:rsid w:val="003D19F2"/>
    <w:rsid w:val="003D1E6A"/>
    <w:rsid w:val="003D3090"/>
    <w:rsid w:val="003D38EE"/>
    <w:rsid w:val="003D39B4"/>
    <w:rsid w:val="003D51F5"/>
    <w:rsid w:val="003D5885"/>
    <w:rsid w:val="003E1E87"/>
    <w:rsid w:val="003E28EF"/>
    <w:rsid w:val="003E4FAD"/>
    <w:rsid w:val="003E51A4"/>
    <w:rsid w:val="003E5DF1"/>
    <w:rsid w:val="003E7486"/>
    <w:rsid w:val="003F0C21"/>
    <w:rsid w:val="003F122B"/>
    <w:rsid w:val="003F12EB"/>
    <w:rsid w:val="003F1A11"/>
    <w:rsid w:val="003F1B88"/>
    <w:rsid w:val="003F2D44"/>
    <w:rsid w:val="003F4B01"/>
    <w:rsid w:val="003F4DF3"/>
    <w:rsid w:val="003F51F5"/>
    <w:rsid w:val="003F75A2"/>
    <w:rsid w:val="003F7923"/>
    <w:rsid w:val="00401D29"/>
    <w:rsid w:val="00401D47"/>
    <w:rsid w:val="004023C0"/>
    <w:rsid w:val="00403EC8"/>
    <w:rsid w:val="004040A5"/>
    <w:rsid w:val="004046E0"/>
    <w:rsid w:val="00404BE4"/>
    <w:rsid w:val="00404FCB"/>
    <w:rsid w:val="0040519B"/>
    <w:rsid w:val="00406B1A"/>
    <w:rsid w:val="0040773D"/>
    <w:rsid w:val="00411F2A"/>
    <w:rsid w:val="00412D97"/>
    <w:rsid w:val="00412E23"/>
    <w:rsid w:val="00413881"/>
    <w:rsid w:val="00413A8B"/>
    <w:rsid w:val="004146BB"/>
    <w:rsid w:val="00414ECD"/>
    <w:rsid w:val="004154AB"/>
    <w:rsid w:val="004154F5"/>
    <w:rsid w:val="004164A2"/>
    <w:rsid w:val="00416504"/>
    <w:rsid w:val="00417F51"/>
    <w:rsid w:val="00421739"/>
    <w:rsid w:val="00422DC3"/>
    <w:rsid w:val="00423F4E"/>
    <w:rsid w:val="00424816"/>
    <w:rsid w:val="00424C6D"/>
    <w:rsid w:val="00425D77"/>
    <w:rsid w:val="00426413"/>
    <w:rsid w:val="00430416"/>
    <w:rsid w:val="00430B3C"/>
    <w:rsid w:val="00430ECE"/>
    <w:rsid w:val="004321A2"/>
    <w:rsid w:val="004328D2"/>
    <w:rsid w:val="00432DD9"/>
    <w:rsid w:val="00433705"/>
    <w:rsid w:val="00433791"/>
    <w:rsid w:val="00434A88"/>
    <w:rsid w:val="00435701"/>
    <w:rsid w:val="00436588"/>
    <w:rsid w:val="00437CC2"/>
    <w:rsid w:val="00437D29"/>
    <w:rsid w:val="00440880"/>
    <w:rsid w:val="00440D09"/>
    <w:rsid w:val="004413A6"/>
    <w:rsid w:val="004428EB"/>
    <w:rsid w:val="004431E2"/>
    <w:rsid w:val="0044359B"/>
    <w:rsid w:val="004439C6"/>
    <w:rsid w:val="00443E99"/>
    <w:rsid w:val="004462E4"/>
    <w:rsid w:val="00450326"/>
    <w:rsid w:val="00450354"/>
    <w:rsid w:val="00450855"/>
    <w:rsid w:val="00451435"/>
    <w:rsid w:val="00451962"/>
    <w:rsid w:val="00451D48"/>
    <w:rsid w:val="0045251F"/>
    <w:rsid w:val="004528BB"/>
    <w:rsid w:val="00452E03"/>
    <w:rsid w:val="0045371B"/>
    <w:rsid w:val="004544C7"/>
    <w:rsid w:val="00454B03"/>
    <w:rsid w:val="00454C49"/>
    <w:rsid w:val="004553DB"/>
    <w:rsid w:val="004555D5"/>
    <w:rsid w:val="00455B6B"/>
    <w:rsid w:val="00456A05"/>
    <w:rsid w:val="00456EC3"/>
    <w:rsid w:val="0045735A"/>
    <w:rsid w:val="00460112"/>
    <w:rsid w:val="004611B3"/>
    <w:rsid w:val="00461B77"/>
    <w:rsid w:val="00461D15"/>
    <w:rsid w:val="0046469E"/>
    <w:rsid w:val="00465D6D"/>
    <w:rsid w:val="00465DC4"/>
    <w:rsid w:val="0046679E"/>
    <w:rsid w:val="00467604"/>
    <w:rsid w:val="00467A56"/>
    <w:rsid w:val="004701D0"/>
    <w:rsid w:val="00470C87"/>
    <w:rsid w:val="00471A36"/>
    <w:rsid w:val="00471CDE"/>
    <w:rsid w:val="0047205B"/>
    <w:rsid w:val="0047212A"/>
    <w:rsid w:val="00472CF3"/>
    <w:rsid w:val="00473A56"/>
    <w:rsid w:val="0047418A"/>
    <w:rsid w:val="00475531"/>
    <w:rsid w:val="0047579F"/>
    <w:rsid w:val="00475B28"/>
    <w:rsid w:val="00475FEE"/>
    <w:rsid w:val="00476B2B"/>
    <w:rsid w:val="00476F13"/>
    <w:rsid w:val="004808EB"/>
    <w:rsid w:val="00481381"/>
    <w:rsid w:val="00481FE8"/>
    <w:rsid w:val="004822A3"/>
    <w:rsid w:val="00482BD1"/>
    <w:rsid w:val="00483338"/>
    <w:rsid w:val="00483813"/>
    <w:rsid w:val="00484798"/>
    <w:rsid w:val="00484CB3"/>
    <w:rsid w:val="0048505A"/>
    <w:rsid w:val="004910C8"/>
    <w:rsid w:val="00491317"/>
    <w:rsid w:val="00492196"/>
    <w:rsid w:val="004933C8"/>
    <w:rsid w:val="004940EF"/>
    <w:rsid w:val="00496055"/>
    <w:rsid w:val="00496214"/>
    <w:rsid w:val="00496904"/>
    <w:rsid w:val="004970F8"/>
    <w:rsid w:val="004A0016"/>
    <w:rsid w:val="004A11D1"/>
    <w:rsid w:val="004A182E"/>
    <w:rsid w:val="004A26BD"/>
    <w:rsid w:val="004A2AA4"/>
    <w:rsid w:val="004A3074"/>
    <w:rsid w:val="004A38D6"/>
    <w:rsid w:val="004A4159"/>
    <w:rsid w:val="004A5B90"/>
    <w:rsid w:val="004A5D4C"/>
    <w:rsid w:val="004A691F"/>
    <w:rsid w:val="004A6CD0"/>
    <w:rsid w:val="004A71AF"/>
    <w:rsid w:val="004A72CB"/>
    <w:rsid w:val="004A7A31"/>
    <w:rsid w:val="004B0BB1"/>
    <w:rsid w:val="004B1B58"/>
    <w:rsid w:val="004B2BC0"/>
    <w:rsid w:val="004B2E08"/>
    <w:rsid w:val="004B31C5"/>
    <w:rsid w:val="004B39EF"/>
    <w:rsid w:val="004B4410"/>
    <w:rsid w:val="004B49B8"/>
    <w:rsid w:val="004B5D66"/>
    <w:rsid w:val="004B6358"/>
    <w:rsid w:val="004B63FF"/>
    <w:rsid w:val="004B6449"/>
    <w:rsid w:val="004C04C4"/>
    <w:rsid w:val="004C04CB"/>
    <w:rsid w:val="004C0FAE"/>
    <w:rsid w:val="004C0FEC"/>
    <w:rsid w:val="004C1116"/>
    <w:rsid w:val="004C1505"/>
    <w:rsid w:val="004C20A3"/>
    <w:rsid w:val="004C219B"/>
    <w:rsid w:val="004C2C04"/>
    <w:rsid w:val="004C2E7F"/>
    <w:rsid w:val="004C338E"/>
    <w:rsid w:val="004C416C"/>
    <w:rsid w:val="004C5F43"/>
    <w:rsid w:val="004D07EE"/>
    <w:rsid w:val="004D1DE0"/>
    <w:rsid w:val="004D2ECF"/>
    <w:rsid w:val="004D37A0"/>
    <w:rsid w:val="004D4206"/>
    <w:rsid w:val="004D4B2E"/>
    <w:rsid w:val="004D51F8"/>
    <w:rsid w:val="004D70FE"/>
    <w:rsid w:val="004E1621"/>
    <w:rsid w:val="004E295C"/>
    <w:rsid w:val="004E2ADB"/>
    <w:rsid w:val="004E4088"/>
    <w:rsid w:val="004E5303"/>
    <w:rsid w:val="004E564F"/>
    <w:rsid w:val="004E5764"/>
    <w:rsid w:val="004E646E"/>
    <w:rsid w:val="004E6854"/>
    <w:rsid w:val="004E73E8"/>
    <w:rsid w:val="004E795A"/>
    <w:rsid w:val="004E7E7F"/>
    <w:rsid w:val="004F14E4"/>
    <w:rsid w:val="004F1A99"/>
    <w:rsid w:val="004F2840"/>
    <w:rsid w:val="004F2ACB"/>
    <w:rsid w:val="004F3258"/>
    <w:rsid w:val="004F4923"/>
    <w:rsid w:val="004F5A6B"/>
    <w:rsid w:val="004F738B"/>
    <w:rsid w:val="00500740"/>
    <w:rsid w:val="00501ED7"/>
    <w:rsid w:val="005028DA"/>
    <w:rsid w:val="00502B14"/>
    <w:rsid w:val="005030E6"/>
    <w:rsid w:val="00504D5F"/>
    <w:rsid w:val="005058AA"/>
    <w:rsid w:val="00505E25"/>
    <w:rsid w:val="00505F5F"/>
    <w:rsid w:val="00510087"/>
    <w:rsid w:val="0051024C"/>
    <w:rsid w:val="00510286"/>
    <w:rsid w:val="00510A87"/>
    <w:rsid w:val="00510F64"/>
    <w:rsid w:val="005115C9"/>
    <w:rsid w:val="00511614"/>
    <w:rsid w:val="00511D9B"/>
    <w:rsid w:val="0051221F"/>
    <w:rsid w:val="00512ED6"/>
    <w:rsid w:val="00513981"/>
    <w:rsid w:val="005139D1"/>
    <w:rsid w:val="005149C5"/>
    <w:rsid w:val="005151B0"/>
    <w:rsid w:val="00515229"/>
    <w:rsid w:val="0051541B"/>
    <w:rsid w:val="00516204"/>
    <w:rsid w:val="0051773A"/>
    <w:rsid w:val="00520208"/>
    <w:rsid w:val="005205D6"/>
    <w:rsid w:val="00520699"/>
    <w:rsid w:val="00521D43"/>
    <w:rsid w:val="00521E75"/>
    <w:rsid w:val="00524238"/>
    <w:rsid w:val="005244BF"/>
    <w:rsid w:val="00524A3A"/>
    <w:rsid w:val="00524D0C"/>
    <w:rsid w:val="00525980"/>
    <w:rsid w:val="00526504"/>
    <w:rsid w:val="005270E7"/>
    <w:rsid w:val="005274EF"/>
    <w:rsid w:val="00527C9E"/>
    <w:rsid w:val="005315E6"/>
    <w:rsid w:val="00532B08"/>
    <w:rsid w:val="00533607"/>
    <w:rsid w:val="00533E69"/>
    <w:rsid w:val="00535DBC"/>
    <w:rsid w:val="0053671D"/>
    <w:rsid w:val="00537D7B"/>
    <w:rsid w:val="00537E9E"/>
    <w:rsid w:val="0054042E"/>
    <w:rsid w:val="00540B01"/>
    <w:rsid w:val="00543B1E"/>
    <w:rsid w:val="00544F2C"/>
    <w:rsid w:val="0054626E"/>
    <w:rsid w:val="00546B24"/>
    <w:rsid w:val="005479C4"/>
    <w:rsid w:val="005518E4"/>
    <w:rsid w:val="0055347C"/>
    <w:rsid w:val="00554D3E"/>
    <w:rsid w:val="00555033"/>
    <w:rsid w:val="0055685F"/>
    <w:rsid w:val="0055792B"/>
    <w:rsid w:val="00557AD4"/>
    <w:rsid w:val="00557CE1"/>
    <w:rsid w:val="005600D6"/>
    <w:rsid w:val="00561E10"/>
    <w:rsid w:val="005626A9"/>
    <w:rsid w:val="00563318"/>
    <w:rsid w:val="00563553"/>
    <w:rsid w:val="00564409"/>
    <w:rsid w:val="00565278"/>
    <w:rsid w:val="00565E42"/>
    <w:rsid w:val="00566465"/>
    <w:rsid w:val="005676D1"/>
    <w:rsid w:val="00567A8A"/>
    <w:rsid w:val="005703E9"/>
    <w:rsid w:val="00570C5F"/>
    <w:rsid w:val="00572098"/>
    <w:rsid w:val="005733E2"/>
    <w:rsid w:val="005738C4"/>
    <w:rsid w:val="005742F0"/>
    <w:rsid w:val="0057764E"/>
    <w:rsid w:val="00577FB0"/>
    <w:rsid w:val="005819E5"/>
    <w:rsid w:val="00581C9E"/>
    <w:rsid w:val="00583000"/>
    <w:rsid w:val="00583A34"/>
    <w:rsid w:val="005841A7"/>
    <w:rsid w:val="005842DA"/>
    <w:rsid w:val="00584F13"/>
    <w:rsid w:val="005854BA"/>
    <w:rsid w:val="00587356"/>
    <w:rsid w:val="00587637"/>
    <w:rsid w:val="0058775A"/>
    <w:rsid w:val="005912F7"/>
    <w:rsid w:val="005915B2"/>
    <w:rsid w:val="00592505"/>
    <w:rsid w:val="00593578"/>
    <w:rsid w:val="00593A98"/>
    <w:rsid w:val="00593B0B"/>
    <w:rsid w:val="00594596"/>
    <w:rsid w:val="00596EC4"/>
    <w:rsid w:val="00597215"/>
    <w:rsid w:val="00597721"/>
    <w:rsid w:val="00597C21"/>
    <w:rsid w:val="005A0129"/>
    <w:rsid w:val="005A02F0"/>
    <w:rsid w:val="005A075B"/>
    <w:rsid w:val="005A0925"/>
    <w:rsid w:val="005A0B67"/>
    <w:rsid w:val="005A0D67"/>
    <w:rsid w:val="005A11A0"/>
    <w:rsid w:val="005A1404"/>
    <w:rsid w:val="005A1F33"/>
    <w:rsid w:val="005A23A0"/>
    <w:rsid w:val="005A248A"/>
    <w:rsid w:val="005A26C8"/>
    <w:rsid w:val="005A2A2A"/>
    <w:rsid w:val="005A3385"/>
    <w:rsid w:val="005A3A80"/>
    <w:rsid w:val="005A48D8"/>
    <w:rsid w:val="005A4CCD"/>
    <w:rsid w:val="005A5347"/>
    <w:rsid w:val="005A6282"/>
    <w:rsid w:val="005B076E"/>
    <w:rsid w:val="005B1E0C"/>
    <w:rsid w:val="005B1F66"/>
    <w:rsid w:val="005B2FBA"/>
    <w:rsid w:val="005B3016"/>
    <w:rsid w:val="005B3354"/>
    <w:rsid w:val="005B380D"/>
    <w:rsid w:val="005B3EA0"/>
    <w:rsid w:val="005B4025"/>
    <w:rsid w:val="005B4A4F"/>
    <w:rsid w:val="005B6AD2"/>
    <w:rsid w:val="005B6C93"/>
    <w:rsid w:val="005B78CD"/>
    <w:rsid w:val="005C0C6E"/>
    <w:rsid w:val="005C1953"/>
    <w:rsid w:val="005C1B4A"/>
    <w:rsid w:val="005C2070"/>
    <w:rsid w:val="005C2FC7"/>
    <w:rsid w:val="005C36C6"/>
    <w:rsid w:val="005C427C"/>
    <w:rsid w:val="005C4BBB"/>
    <w:rsid w:val="005C51AC"/>
    <w:rsid w:val="005C5B25"/>
    <w:rsid w:val="005C64AB"/>
    <w:rsid w:val="005C7DF5"/>
    <w:rsid w:val="005D0A61"/>
    <w:rsid w:val="005D285E"/>
    <w:rsid w:val="005D2A54"/>
    <w:rsid w:val="005D37FF"/>
    <w:rsid w:val="005D3CA8"/>
    <w:rsid w:val="005D4B5A"/>
    <w:rsid w:val="005D4E72"/>
    <w:rsid w:val="005D5F45"/>
    <w:rsid w:val="005D6D56"/>
    <w:rsid w:val="005D772B"/>
    <w:rsid w:val="005E0AB7"/>
    <w:rsid w:val="005E18A0"/>
    <w:rsid w:val="005E22B4"/>
    <w:rsid w:val="005E25ED"/>
    <w:rsid w:val="005E35F9"/>
    <w:rsid w:val="005E427C"/>
    <w:rsid w:val="005E4724"/>
    <w:rsid w:val="005E4B17"/>
    <w:rsid w:val="005E537C"/>
    <w:rsid w:val="005E6D7F"/>
    <w:rsid w:val="005E7E8C"/>
    <w:rsid w:val="005F124C"/>
    <w:rsid w:val="005F19B7"/>
    <w:rsid w:val="005F1FFC"/>
    <w:rsid w:val="005F28F1"/>
    <w:rsid w:val="005F37FE"/>
    <w:rsid w:val="005F384B"/>
    <w:rsid w:val="005F3DC1"/>
    <w:rsid w:val="005F4147"/>
    <w:rsid w:val="005F51A7"/>
    <w:rsid w:val="005F51E5"/>
    <w:rsid w:val="005F591B"/>
    <w:rsid w:val="005F62E8"/>
    <w:rsid w:val="0060032F"/>
    <w:rsid w:val="006008CA"/>
    <w:rsid w:val="006011CF"/>
    <w:rsid w:val="0060179B"/>
    <w:rsid w:val="006034C5"/>
    <w:rsid w:val="00603D17"/>
    <w:rsid w:val="00603F16"/>
    <w:rsid w:val="00604358"/>
    <w:rsid w:val="006043C8"/>
    <w:rsid w:val="0060487B"/>
    <w:rsid w:val="00604D2E"/>
    <w:rsid w:val="00604FFE"/>
    <w:rsid w:val="006050EB"/>
    <w:rsid w:val="0060724B"/>
    <w:rsid w:val="0060750D"/>
    <w:rsid w:val="00607E1F"/>
    <w:rsid w:val="00607EC9"/>
    <w:rsid w:val="006105B6"/>
    <w:rsid w:val="00611563"/>
    <w:rsid w:val="006115F6"/>
    <w:rsid w:val="006124FA"/>
    <w:rsid w:val="00613DCC"/>
    <w:rsid w:val="00614BA2"/>
    <w:rsid w:val="00614BBA"/>
    <w:rsid w:val="0061551D"/>
    <w:rsid w:val="0061699A"/>
    <w:rsid w:val="00616A3A"/>
    <w:rsid w:val="00616BEC"/>
    <w:rsid w:val="0062249B"/>
    <w:rsid w:val="006225F0"/>
    <w:rsid w:val="00622A70"/>
    <w:rsid w:val="0062363B"/>
    <w:rsid w:val="00623F73"/>
    <w:rsid w:val="006243A7"/>
    <w:rsid w:val="006249A1"/>
    <w:rsid w:val="00625EE2"/>
    <w:rsid w:val="00625F50"/>
    <w:rsid w:val="00626AFD"/>
    <w:rsid w:val="00627403"/>
    <w:rsid w:val="0062778F"/>
    <w:rsid w:val="00630E38"/>
    <w:rsid w:val="00631453"/>
    <w:rsid w:val="006317A8"/>
    <w:rsid w:val="00631CF4"/>
    <w:rsid w:val="006321E3"/>
    <w:rsid w:val="00632935"/>
    <w:rsid w:val="00633DEC"/>
    <w:rsid w:val="00634EC6"/>
    <w:rsid w:val="00635A56"/>
    <w:rsid w:val="00635BD6"/>
    <w:rsid w:val="0063692D"/>
    <w:rsid w:val="00636B54"/>
    <w:rsid w:val="00637B56"/>
    <w:rsid w:val="00637CE9"/>
    <w:rsid w:val="00640FEF"/>
    <w:rsid w:val="006427C1"/>
    <w:rsid w:val="00645DCE"/>
    <w:rsid w:val="00646FDE"/>
    <w:rsid w:val="006474EA"/>
    <w:rsid w:val="00647AEF"/>
    <w:rsid w:val="00650E80"/>
    <w:rsid w:val="00651ACC"/>
    <w:rsid w:val="00651BE4"/>
    <w:rsid w:val="0065233D"/>
    <w:rsid w:val="00652DA2"/>
    <w:rsid w:val="006545BC"/>
    <w:rsid w:val="00654BCE"/>
    <w:rsid w:val="00656509"/>
    <w:rsid w:val="006566DD"/>
    <w:rsid w:val="00656A01"/>
    <w:rsid w:val="00660127"/>
    <w:rsid w:val="00661186"/>
    <w:rsid w:val="0066254F"/>
    <w:rsid w:val="00662568"/>
    <w:rsid w:val="00662B34"/>
    <w:rsid w:val="00662D19"/>
    <w:rsid w:val="006635C3"/>
    <w:rsid w:val="0066368D"/>
    <w:rsid w:val="00663F7E"/>
    <w:rsid w:val="00664B21"/>
    <w:rsid w:val="00665DD3"/>
    <w:rsid w:val="00666E90"/>
    <w:rsid w:val="0066736F"/>
    <w:rsid w:val="00667502"/>
    <w:rsid w:val="006700E4"/>
    <w:rsid w:val="00670EF4"/>
    <w:rsid w:val="00672A1E"/>
    <w:rsid w:val="00672C2D"/>
    <w:rsid w:val="00672D88"/>
    <w:rsid w:val="0067303B"/>
    <w:rsid w:val="00673D60"/>
    <w:rsid w:val="006741DF"/>
    <w:rsid w:val="00674E0B"/>
    <w:rsid w:val="00674FF1"/>
    <w:rsid w:val="00675A78"/>
    <w:rsid w:val="00675CEC"/>
    <w:rsid w:val="006767AC"/>
    <w:rsid w:val="00677E95"/>
    <w:rsid w:val="00680D7E"/>
    <w:rsid w:val="00681788"/>
    <w:rsid w:val="00681F50"/>
    <w:rsid w:val="00682093"/>
    <w:rsid w:val="00682204"/>
    <w:rsid w:val="0068223F"/>
    <w:rsid w:val="00682961"/>
    <w:rsid w:val="0068346B"/>
    <w:rsid w:val="00683A3C"/>
    <w:rsid w:val="00684264"/>
    <w:rsid w:val="00685215"/>
    <w:rsid w:val="0068796E"/>
    <w:rsid w:val="00687B08"/>
    <w:rsid w:val="0069033A"/>
    <w:rsid w:val="00690EC9"/>
    <w:rsid w:val="006911FE"/>
    <w:rsid w:val="00691EBF"/>
    <w:rsid w:val="00692971"/>
    <w:rsid w:val="00693351"/>
    <w:rsid w:val="006935BA"/>
    <w:rsid w:val="006940AF"/>
    <w:rsid w:val="00695699"/>
    <w:rsid w:val="00695EF3"/>
    <w:rsid w:val="00695FAC"/>
    <w:rsid w:val="00696FA3"/>
    <w:rsid w:val="006A008A"/>
    <w:rsid w:val="006A13E8"/>
    <w:rsid w:val="006A19CC"/>
    <w:rsid w:val="006A1F9D"/>
    <w:rsid w:val="006A3BC9"/>
    <w:rsid w:val="006A3C34"/>
    <w:rsid w:val="006A53F2"/>
    <w:rsid w:val="006A65C0"/>
    <w:rsid w:val="006A6CB5"/>
    <w:rsid w:val="006B0F3A"/>
    <w:rsid w:val="006B0F43"/>
    <w:rsid w:val="006B16AF"/>
    <w:rsid w:val="006B1F52"/>
    <w:rsid w:val="006B26AD"/>
    <w:rsid w:val="006B360C"/>
    <w:rsid w:val="006B37DB"/>
    <w:rsid w:val="006B4293"/>
    <w:rsid w:val="006B509E"/>
    <w:rsid w:val="006B5414"/>
    <w:rsid w:val="006B60A3"/>
    <w:rsid w:val="006C1721"/>
    <w:rsid w:val="006C2546"/>
    <w:rsid w:val="006C2A87"/>
    <w:rsid w:val="006C2E21"/>
    <w:rsid w:val="006C55B0"/>
    <w:rsid w:val="006D0AF4"/>
    <w:rsid w:val="006D15E0"/>
    <w:rsid w:val="006D22D9"/>
    <w:rsid w:val="006D2B67"/>
    <w:rsid w:val="006D2B7E"/>
    <w:rsid w:val="006D398B"/>
    <w:rsid w:val="006D3C1B"/>
    <w:rsid w:val="006D3C29"/>
    <w:rsid w:val="006D727E"/>
    <w:rsid w:val="006E0609"/>
    <w:rsid w:val="006E0DC5"/>
    <w:rsid w:val="006E280E"/>
    <w:rsid w:val="006E2933"/>
    <w:rsid w:val="006E4549"/>
    <w:rsid w:val="006E4E93"/>
    <w:rsid w:val="006E6489"/>
    <w:rsid w:val="006E6A0B"/>
    <w:rsid w:val="006E7310"/>
    <w:rsid w:val="006E7461"/>
    <w:rsid w:val="006E7940"/>
    <w:rsid w:val="006E7B8C"/>
    <w:rsid w:val="006F0342"/>
    <w:rsid w:val="006F0867"/>
    <w:rsid w:val="006F110F"/>
    <w:rsid w:val="006F1419"/>
    <w:rsid w:val="006F2D97"/>
    <w:rsid w:val="006F3315"/>
    <w:rsid w:val="006F34D5"/>
    <w:rsid w:val="006F36E1"/>
    <w:rsid w:val="006F468E"/>
    <w:rsid w:val="006F49EC"/>
    <w:rsid w:val="006F5599"/>
    <w:rsid w:val="006F5944"/>
    <w:rsid w:val="006F5B1A"/>
    <w:rsid w:val="006F5CEC"/>
    <w:rsid w:val="006F624A"/>
    <w:rsid w:val="006F6967"/>
    <w:rsid w:val="00700ADD"/>
    <w:rsid w:val="00701276"/>
    <w:rsid w:val="00701665"/>
    <w:rsid w:val="00703A3C"/>
    <w:rsid w:val="007041EA"/>
    <w:rsid w:val="00704365"/>
    <w:rsid w:val="0070464A"/>
    <w:rsid w:val="00705789"/>
    <w:rsid w:val="0070790E"/>
    <w:rsid w:val="00710001"/>
    <w:rsid w:val="00710027"/>
    <w:rsid w:val="0071013F"/>
    <w:rsid w:val="0071086F"/>
    <w:rsid w:val="00710FF0"/>
    <w:rsid w:val="00711404"/>
    <w:rsid w:val="0071169F"/>
    <w:rsid w:val="0071198E"/>
    <w:rsid w:val="007125AB"/>
    <w:rsid w:val="007125E3"/>
    <w:rsid w:val="00712607"/>
    <w:rsid w:val="00712B3A"/>
    <w:rsid w:val="00713CBC"/>
    <w:rsid w:val="00714352"/>
    <w:rsid w:val="0071470D"/>
    <w:rsid w:val="007154BA"/>
    <w:rsid w:val="007159F6"/>
    <w:rsid w:val="00715D62"/>
    <w:rsid w:val="007164DC"/>
    <w:rsid w:val="00716580"/>
    <w:rsid w:val="00717A0E"/>
    <w:rsid w:val="00720692"/>
    <w:rsid w:val="007208D5"/>
    <w:rsid w:val="007216D1"/>
    <w:rsid w:val="00721B74"/>
    <w:rsid w:val="00721D4B"/>
    <w:rsid w:val="00722CA8"/>
    <w:rsid w:val="00723747"/>
    <w:rsid w:val="007237B9"/>
    <w:rsid w:val="007237BE"/>
    <w:rsid w:val="0072480E"/>
    <w:rsid w:val="0072524C"/>
    <w:rsid w:val="007261B6"/>
    <w:rsid w:val="00726298"/>
    <w:rsid w:val="00727278"/>
    <w:rsid w:val="00727734"/>
    <w:rsid w:val="00727D69"/>
    <w:rsid w:val="00730EFA"/>
    <w:rsid w:val="0073267F"/>
    <w:rsid w:val="00732B23"/>
    <w:rsid w:val="00733321"/>
    <w:rsid w:val="00733403"/>
    <w:rsid w:val="00733965"/>
    <w:rsid w:val="00733F15"/>
    <w:rsid w:val="007342F6"/>
    <w:rsid w:val="0073466F"/>
    <w:rsid w:val="0073506C"/>
    <w:rsid w:val="007363D2"/>
    <w:rsid w:val="00736971"/>
    <w:rsid w:val="00736ACA"/>
    <w:rsid w:val="007371B3"/>
    <w:rsid w:val="00737E8F"/>
    <w:rsid w:val="007412CD"/>
    <w:rsid w:val="00741549"/>
    <w:rsid w:val="007417AB"/>
    <w:rsid w:val="00742F27"/>
    <w:rsid w:val="0074371C"/>
    <w:rsid w:val="00743A6D"/>
    <w:rsid w:val="00743DF1"/>
    <w:rsid w:val="007452AA"/>
    <w:rsid w:val="007454A3"/>
    <w:rsid w:val="007460F3"/>
    <w:rsid w:val="007468ED"/>
    <w:rsid w:val="00746BEF"/>
    <w:rsid w:val="00747402"/>
    <w:rsid w:val="007539E6"/>
    <w:rsid w:val="007544EB"/>
    <w:rsid w:val="00754C1C"/>
    <w:rsid w:val="00754DDF"/>
    <w:rsid w:val="00754E72"/>
    <w:rsid w:val="007553F8"/>
    <w:rsid w:val="00756CDC"/>
    <w:rsid w:val="007571D7"/>
    <w:rsid w:val="007610B0"/>
    <w:rsid w:val="00761BE2"/>
    <w:rsid w:val="00761DAC"/>
    <w:rsid w:val="00762FAB"/>
    <w:rsid w:val="00765635"/>
    <w:rsid w:val="00765DF7"/>
    <w:rsid w:val="007661A4"/>
    <w:rsid w:val="007673E7"/>
    <w:rsid w:val="0076775E"/>
    <w:rsid w:val="00767AA6"/>
    <w:rsid w:val="00767D03"/>
    <w:rsid w:val="00767DC7"/>
    <w:rsid w:val="0077031C"/>
    <w:rsid w:val="00771F57"/>
    <w:rsid w:val="00773732"/>
    <w:rsid w:val="00773C8E"/>
    <w:rsid w:val="00774A68"/>
    <w:rsid w:val="00776271"/>
    <w:rsid w:val="007766C5"/>
    <w:rsid w:val="00776C6D"/>
    <w:rsid w:val="00776C9A"/>
    <w:rsid w:val="00777466"/>
    <w:rsid w:val="007806EF"/>
    <w:rsid w:val="00780DE3"/>
    <w:rsid w:val="00780FD7"/>
    <w:rsid w:val="007821B6"/>
    <w:rsid w:val="007827E1"/>
    <w:rsid w:val="007828DB"/>
    <w:rsid w:val="007829F3"/>
    <w:rsid w:val="00783006"/>
    <w:rsid w:val="00783709"/>
    <w:rsid w:val="0078388C"/>
    <w:rsid w:val="007851B8"/>
    <w:rsid w:val="00785D90"/>
    <w:rsid w:val="00785FAC"/>
    <w:rsid w:val="007876E6"/>
    <w:rsid w:val="0079039D"/>
    <w:rsid w:val="007912D1"/>
    <w:rsid w:val="007913B0"/>
    <w:rsid w:val="00792AE4"/>
    <w:rsid w:val="00792CF5"/>
    <w:rsid w:val="00794928"/>
    <w:rsid w:val="00794C98"/>
    <w:rsid w:val="007961F1"/>
    <w:rsid w:val="00797A4E"/>
    <w:rsid w:val="007A08D1"/>
    <w:rsid w:val="007A0C8E"/>
    <w:rsid w:val="007A1968"/>
    <w:rsid w:val="007A2F01"/>
    <w:rsid w:val="007A30AF"/>
    <w:rsid w:val="007A494C"/>
    <w:rsid w:val="007A4F49"/>
    <w:rsid w:val="007A5061"/>
    <w:rsid w:val="007A574F"/>
    <w:rsid w:val="007A6044"/>
    <w:rsid w:val="007A6D3C"/>
    <w:rsid w:val="007A746D"/>
    <w:rsid w:val="007A7EED"/>
    <w:rsid w:val="007B039C"/>
    <w:rsid w:val="007B03E8"/>
    <w:rsid w:val="007B197C"/>
    <w:rsid w:val="007B1BEA"/>
    <w:rsid w:val="007B2C4A"/>
    <w:rsid w:val="007B3129"/>
    <w:rsid w:val="007B46F9"/>
    <w:rsid w:val="007B4BBD"/>
    <w:rsid w:val="007B5061"/>
    <w:rsid w:val="007B56E0"/>
    <w:rsid w:val="007B5E39"/>
    <w:rsid w:val="007B6625"/>
    <w:rsid w:val="007B703D"/>
    <w:rsid w:val="007B7CA4"/>
    <w:rsid w:val="007B7D9C"/>
    <w:rsid w:val="007C0A24"/>
    <w:rsid w:val="007C0DEB"/>
    <w:rsid w:val="007C212F"/>
    <w:rsid w:val="007C2561"/>
    <w:rsid w:val="007C3972"/>
    <w:rsid w:val="007C6220"/>
    <w:rsid w:val="007C6B28"/>
    <w:rsid w:val="007C6D65"/>
    <w:rsid w:val="007C7834"/>
    <w:rsid w:val="007C7F7C"/>
    <w:rsid w:val="007D0258"/>
    <w:rsid w:val="007D037B"/>
    <w:rsid w:val="007D1C3C"/>
    <w:rsid w:val="007D375E"/>
    <w:rsid w:val="007D48A4"/>
    <w:rsid w:val="007D52D6"/>
    <w:rsid w:val="007D5377"/>
    <w:rsid w:val="007D6241"/>
    <w:rsid w:val="007D6A13"/>
    <w:rsid w:val="007D6C34"/>
    <w:rsid w:val="007E081D"/>
    <w:rsid w:val="007E2BC0"/>
    <w:rsid w:val="007E2C71"/>
    <w:rsid w:val="007E376F"/>
    <w:rsid w:val="007E4B3B"/>
    <w:rsid w:val="007E4F0D"/>
    <w:rsid w:val="007E6A09"/>
    <w:rsid w:val="007E6EA1"/>
    <w:rsid w:val="007E6EE2"/>
    <w:rsid w:val="007E702F"/>
    <w:rsid w:val="007E7D97"/>
    <w:rsid w:val="007F13D6"/>
    <w:rsid w:val="007F2744"/>
    <w:rsid w:val="007F284E"/>
    <w:rsid w:val="007F3305"/>
    <w:rsid w:val="007F3BB7"/>
    <w:rsid w:val="007F461E"/>
    <w:rsid w:val="007F72D5"/>
    <w:rsid w:val="007F731B"/>
    <w:rsid w:val="007F770A"/>
    <w:rsid w:val="0080001F"/>
    <w:rsid w:val="0080029F"/>
    <w:rsid w:val="00800EBC"/>
    <w:rsid w:val="0080198B"/>
    <w:rsid w:val="0080216C"/>
    <w:rsid w:val="00802F4F"/>
    <w:rsid w:val="008067C9"/>
    <w:rsid w:val="0080744F"/>
    <w:rsid w:val="00807BCE"/>
    <w:rsid w:val="00811123"/>
    <w:rsid w:val="00813E2D"/>
    <w:rsid w:val="00814D5A"/>
    <w:rsid w:val="0081578F"/>
    <w:rsid w:val="00815915"/>
    <w:rsid w:val="0081594E"/>
    <w:rsid w:val="00815AFD"/>
    <w:rsid w:val="00815C6A"/>
    <w:rsid w:val="00815E75"/>
    <w:rsid w:val="008170D9"/>
    <w:rsid w:val="0081713F"/>
    <w:rsid w:val="00817F9D"/>
    <w:rsid w:val="00820220"/>
    <w:rsid w:val="008208DF"/>
    <w:rsid w:val="00820EFD"/>
    <w:rsid w:val="0082101B"/>
    <w:rsid w:val="008221DA"/>
    <w:rsid w:val="008227B6"/>
    <w:rsid w:val="00822A63"/>
    <w:rsid w:val="008261A5"/>
    <w:rsid w:val="00827365"/>
    <w:rsid w:val="00830798"/>
    <w:rsid w:val="00830A6E"/>
    <w:rsid w:val="00830ABC"/>
    <w:rsid w:val="00831251"/>
    <w:rsid w:val="00831C8C"/>
    <w:rsid w:val="00831D99"/>
    <w:rsid w:val="00833107"/>
    <w:rsid w:val="008333A5"/>
    <w:rsid w:val="008340C9"/>
    <w:rsid w:val="008347DD"/>
    <w:rsid w:val="0083543E"/>
    <w:rsid w:val="00835DDC"/>
    <w:rsid w:val="00836067"/>
    <w:rsid w:val="00836261"/>
    <w:rsid w:val="00836382"/>
    <w:rsid w:val="00836759"/>
    <w:rsid w:val="008368EF"/>
    <w:rsid w:val="00840137"/>
    <w:rsid w:val="008408FB"/>
    <w:rsid w:val="008423D2"/>
    <w:rsid w:val="0084266F"/>
    <w:rsid w:val="00842A28"/>
    <w:rsid w:val="00843B4D"/>
    <w:rsid w:val="0084570F"/>
    <w:rsid w:val="008460F0"/>
    <w:rsid w:val="00846DF8"/>
    <w:rsid w:val="00846F67"/>
    <w:rsid w:val="0084791E"/>
    <w:rsid w:val="00850010"/>
    <w:rsid w:val="0085098A"/>
    <w:rsid w:val="00850B00"/>
    <w:rsid w:val="00850B77"/>
    <w:rsid w:val="00851554"/>
    <w:rsid w:val="00851648"/>
    <w:rsid w:val="00851EFD"/>
    <w:rsid w:val="00852779"/>
    <w:rsid w:val="0085345F"/>
    <w:rsid w:val="00853903"/>
    <w:rsid w:val="0085474D"/>
    <w:rsid w:val="00854E9E"/>
    <w:rsid w:val="008562B2"/>
    <w:rsid w:val="00856371"/>
    <w:rsid w:val="0086082A"/>
    <w:rsid w:val="00860D5A"/>
    <w:rsid w:val="00861D5C"/>
    <w:rsid w:val="008622ED"/>
    <w:rsid w:val="008632B7"/>
    <w:rsid w:val="00863373"/>
    <w:rsid w:val="008639BB"/>
    <w:rsid w:val="00863E83"/>
    <w:rsid w:val="008653BA"/>
    <w:rsid w:val="00865DB0"/>
    <w:rsid w:val="00867125"/>
    <w:rsid w:val="0086795D"/>
    <w:rsid w:val="00872A8A"/>
    <w:rsid w:val="008734F5"/>
    <w:rsid w:val="0087418E"/>
    <w:rsid w:val="0087492E"/>
    <w:rsid w:val="00874BEF"/>
    <w:rsid w:val="00874D36"/>
    <w:rsid w:val="00874EFC"/>
    <w:rsid w:val="008757DB"/>
    <w:rsid w:val="00875C1B"/>
    <w:rsid w:val="00877DC1"/>
    <w:rsid w:val="00880538"/>
    <w:rsid w:val="00880638"/>
    <w:rsid w:val="00880680"/>
    <w:rsid w:val="0088080A"/>
    <w:rsid w:val="00881BEA"/>
    <w:rsid w:val="00881F88"/>
    <w:rsid w:val="00882112"/>
    <w:rsid w:val="00882B40"/>
    <w:rsid w:val="00882F07"/>
    <w:rsid w:val="00883528"/>
    <w:rsid w:val="0088421F"/>
    <w:rsid w:val="00884D18"/>
    <w:rsid w:val="0088503F"/>
    <w:rsid w:val="00885D1E"/>
    <w:rsid w:val="00887C00"/>
    <w:rsid w:val="00887EDD"/>
    <w:rsid w:val="008914BB"/>
    <w:rsid w:val="00891DBB"/>
    <w:rsid w:val="008927F0"/>
    <w:rsid w:val="00892823"/>
    <w:rsid w:val="00892A08"/>
    <w:rsid w:val="00892ADD"/>
    <w:rsid w:val="00892B77"/>
    <w:rsid w:val="00892CCB"/>
    <w:rsid w:val="00893575"/>
    <w:rsid w:val="008953B3"/>
    <w:rsid w:val="00896AE3"/>
    <w:rsid w:val="008A1840"/>
    <w:rsid w:val="008A2397"/>
    <w:rsid w:val="008A24F6"/>
    <w:rsid w:val="008A2D9C"/>
    <w:rsid w:val="008A3A4E"/>
    <w:rsid w:val="008A3E7E"/>
    <w:rsid w:val="008A53DC"/>
    <w:rsid w:val="008A558A"/>
    <w:rsid w:val="008A60F8"/>
    <w:rsid w:val="008A6A1A"/>
    <w:rsid w:val="008A7001"/>
    <w:rsid w:val="008B14FC"/>
    <w:rsid w:val="008B191A"/>
    <w:rsid w:val="008B213A"/>
    <w:rsid w:val="008B3B42"/>
    <w:rsid w:val="008B4521"/>
    <w:rsid w:val="008B5035"/>
    <w:rsid w:val="008B5F9D"/>
    <w:rsid w:val="008B60F6"/>
    <w:rsid w:val="008B6285"/>
    <w:rsid w:val="008B6F03"/>
    <w:rsid w:val="008B79FD"/>
    <w:rsid w:val="008B7E18"/>
    <w:rsid w:val="008C1CA1"/>
    <w:rsid w:val="008C1F44"/>
    <w:rsid w:val="008C244A"/>
    <w:rsid w:val="008C39B1"/>
    <w:rsid w:val="008C4700"/>
    <w:rsid w:val="008C4AA5"/>
    <w:rsid w:val="008C521E"/>
    <w:rsid w:val="008C6090"/>
    <w:rsid w:val="008C648C"/>
    <w:rsid w:val="008C782F"/>
    <w:rsid w:val="008D0966"/>
    <w:rsid w:val="008D09AE"/>
    <w:rsid w:val="008D0F13"/>
    <w:rsid w:val="008D1201"/>
    <w:rsid w:val="008D27B5"/>
    <w:rsid w:val="008D40DD"/>
    <w:rsid w:val="008D4513"/>
    <w:rsid w:val="008D4B00"/>
    <w:rsid w:val="008D4E94"/>
    <w:rsid w:val="008D6567"/>
    <w:rsid w:val="008D6DEA"/>
    <w:rsid w:val="008D7E07"/>
    <w:rsid w:val="008E053C"/>
    <w:rsid w:val="008E1B9C"/>
    <w:rsid w:val="008E2139"/>
    <w:rsid w:val="008E2D2A"/>
    <w:rsid w:val="008E34F4"/>
    <w:rsid w:val="008E35DC"/>
    <w:rsid w:val="008E3DD2"/>
    <w:rsid w:val="008E4171"/>
    <w:rsid w:val="008E45D2"/>
    <w:rsid w:val="008E4CBB"/>
    <w:rsid w:val="008E5578"/>
    <w:rsid w:val="008E613A"/>
    <w:rsid w:val="008E6844"/>
    <w:rsid w:val="008E70E2"/>
    <w:rsid w:val="008E75A8"/>
    <w:rsid w:val="008E7BBE"/>
    <w:rsid w:val="008F0D30"/>
    <w:rsid w:val="008F1BA7"/>
    <w:rsid w:val="008F1C86"/>
    <w:rsid w:val="008F26A0"/>
    <w:rsid w:val="008F3187"/>
    <w:rsid w:val="008F36E3"/>
    <w:rsid w:val="008F3945"/>
    <w:rsid w:val="008F39A2"/>
    <w:rsid w:val="008F3C30"/>
    <w:rsid w:val="008F45A1"/>
    <w:rsid w:val="008F473E"/>
    <w:rsid w:val="008F50DA"/>
    <w:rsid w:val="008F660B"/>
    <w:rsid w:val="008F668B"/>
    <w:rsid w:val="008F6A0E"/>
    <w:rsid w:val="008F7386"/>
    <w:rsid w:val="008F750D"/>
    <w:rsid w:val="008F7941"/>
    <w:rsid w:val="008F7C10"/>
    <w:rsid w:val="008F7E0B"/>
    <w:rsid w:val="00900888"/>
    <w:rsid w:val="00901181"/>
    <w:rsid w:val="00901CE8"/>
    <w:rsid w:val="0090299A"/>
    <w:rsid w:val="00906249"/>
    <w:rsid w:val="00906BA2"/>
    <w:rsid w:val="00906D14"/>
    <w:rsid w:val="009103A8"/>
    <w:rsid w:val="00910ADE"/>
    <w:rsid w:val="00912770"/>
    <w:rsid w:val="00912A3F"/>
    <w:rsid w:val="0091310D"/>
    <w:rsid w:val="0091485A"/>
    <w:rsid w:val="00915376"/>
    <w:rsid w:val="00915495"/>
    <w:rsid w:val="00915590"/>
    <w:rsid w:val="00915A96"/>
    <w:rsid w:val="009161DD"/>
    <w:rsid w:val="00916A8F"/>
    <w:rsid w:val="00917C35"/>
    <w:rsid w:val="009201CC"/>
    <w:rsid w:val="00920416"/>
    <w:rsid w:val="009207FC"/>
    <w:rsid w:val="009223F8"/>
    <w:rsid w:val="009227D1"/>
    <w:rsid w:val="00923CAD"/>
    <w:rsid w:val="00924573"/>
    <w:rsid w:val="009245B1"/>
    <w:rsid w:val="00927188"/>
    <w:rsid w:val="00927941"/>
    <w:rsid w:val="00927C9F"/>
    <w:rsid w:val="00930450"/>
    <w:rsid w:val="00931D60"/>
    <w:rsid w:val="00931F23"/>
    <w:rsid w:val="0093234A"/>
    <w:rsid w:val="0093417E"/>
    <w:rsid w:val="0093504A"/>
    <w:rsid w:val="00935871"/>
    <w:rsid w:val="00937569"/>
    <w:rsid w:val="00937759"/>
    <w:rsid w:val="009402BE"/>
    <w:rsid w:val="0094141E"/>
    <w:rsid w:val="009418A7"/>
    <w:rsid w:val="009431CC"/>
    <w:rsid w:val="00943FDE"/>
    <w:rsid w:val="009449C9"/>
    <w:rsid w:val="00945599"/>
    <w:rsid w:val="0094729E"/>
    <w:rsid w:val="00947D37"/>
    <w:rsid w:val="009500D8"/>
    <w:rsid w:val="00950C4C"/>
    <w:rsid w:val="00952DF2"/>
    <w:rsid w:val="00955324"/>
    <w:rsid w:val="00956B89"/>
    <w:rsid w:val="009571AA"/>
    <w:rsid w:val="00957A67"/>
    <w:rsid w:val="00960353"/>
    <w:rsid w:val="00960F56"/>
    <w:rsid w:val="00960F82"/>
    <w:rsid w:val="00961B59"/>
    <w:rsid w:val="00962D13"/>
    <w:rsid w:val="009631B8"/>
    <w:rsid w:val="0096764F"/>
    <w:rsid w:val="009703F6"/>
    <w:rsid w:val="00970805"/>
    <w:rsid w:val="00970DC9"/>
    <w:rsid w:val="009711A7"/>
    <w:rsid w:val="009717AD"/>
    <w:rsid w:val="009723CB"/>
    <w:rsid w:val="009758F8"/>
    <w:rsid w:val="009759A6"/>
    <w:rsid w:val="00975E5A"/>
    <w:rsid w:val="009765D4"/>
    <w:rsid w:val="00976D34"/>
    <w:rsid w:val="00977D72"/>
    <w:rsid w:val="00977EA3"/>
    <w:rsid w:val="00980B2C"/>
    <w:rsid w:val="00980EE7"/>
    <w:rsid w:val="00982D09"/>
    <w:rsid w:val="009835B6"/>
    <w:rsid w:val="00983960"/>
    <w:rsid w:val="009839FB"/>
    <w:rsid w:val="00984352"/>
    <w:rsid w:val="00984E44"/>
    <w:rsid w:val="0098575D"/>
    <w:rsid w:val="00985BC3"/>
    <w:rsid w:val="00986186"/>
    <w:rsid w:val="00986D6D"/>
    <w:rsid w:val="00987884"/>
    <w:rsid w:val="0099145C"/>
    <w:rsid w:val="009925A7"/>
    <w:rsid w:val="00995245"/>
    <w:rsid w:val="0099580F"/>
    <w:rsid w:val="00995A5D"/>
    <w:rsid w:val="00995CDB"/>
    <w:rsid w:val="009967E9"/>
    <w:rsid w:val="00997E6A"/>
    <w:rsid w:val="009A0438"/>
    <w:rsid w:val="009A06A4"/>
    <w:rsid w:val="009A0C06"/>
    <w:rsid w:val="009A0ECB"/>
    <w:rsid w:val="009A0F3A"/>
    <w:rsid w:val="009A2C55"/>
    <w:rsid w:val="009A335A"/>
    <w:rsid w:val="009A42B2"/>
    <w:rsid w:val="009A4B15"/>
    <w:rsid w:val="009A528A"/>
    <w:rsid w:val="009A68CC"/>
    <w:rsid w:val="009A75DF"/>
    <w:rsid w:val="009A7B26"/>
    <w:rsid w:val="009A7DCD"/>
    <w:rsid w:val="009B078B"/>
    <w:rsid w:val="009B1176"/>
    <w:rsid w:val="009B2C14"/>
    <w:rsid w:val="009B64C9"/>
    <w:rsid w:val="009B6D35"/>
    <w:rsid w:val="009B6DB9"/>
    <w:rsid w:val="009B6F27"/>
    <w:rsid w:val="009B7E2C"/>
    <w:rsid w:val="009C03A3"/>
    <w:rsid w:val="009C089E"/>
    <w:rsid w:val="009C1D54"/>
    <w:rsid w:val="009C1DF7"/>
    <w:rsid w:val="009C28DD"/>
    <w:rsid w:val="009C5FC2"/>
    <w:rsid w:val="009C6A79"/>
    <w:rsid w:val="009C6E1B"/>
    <w:rsid w:val="009C7722"/>
    <w:rsid w:val="009C7F86"/>
    <w:rsid w:val="009D002C"/>
    <w:rsid w:val="009D0087"/>
    <w:rsid w:val="009D2899"/>
    <w:rsid w:val="009D3E5B"/>
    <w:rsid w:val="009D54A5"/>
    <w:rsid w:val="009D55D2"/>
    <w:rsid w:val="009D687F"/>
    <w:rsid w:val="009D7650"/>
    <w:rsid w:val="009D7B7E"/>
    <w:rsid w:val="009E06D7"/>
    <w:rsid w:val="009E27AE"/>
    <w:rsid w:val="009E3269"/>
    <w:rsid w:val="009E3964"/>
    <w:rsid w:val="009E40A2"/>
    <w:rsid w:val="009E52FF"/>
    <w:rsid w:val="009E57AF"/>
    <w:rsid w:val="009E7209"/>
    <w:rsid w:val="009E7611"/>
    <w:rsid w:val="009F04CE"/>
    <w:rsid w:val="009F0D38"/>
    <w:rsid w:val="009F2963"/>
    <w:rsid w:val="009F47F2"/>
    <w:rsid w:val="009F48E5"/>
    <w:rsid w:val="009F6047"/>
    <w:rsid w:val="009F6F69"/>
    <w:rsid w:val="009F763D"/>
    <w:rsid w:val="009F76FD"/>
    <w:rsid w:val="00A000C8"/>
    <w:rsid w:val="00A002B5"/>
    <w:rsid w:val="00A002D2"/>
    <w:rsid w:val="00A0068B"/>
    <w:rsid w:val="00A0156C"/>
    <w:rsid w:val="00A01809"/>
    <w:rsid w:val="00A03000"/>
    <w:rsid w:val="00A03145"/>
    <w:rsid w:val="00A04A17"/>
    <w:rsid w:val="00A05B39"/>
    <w:rsid w:val="00A05E1D"/>
    <w:rsid w:val="00A07064"/>
    <w:rsid w:val="00A07149"/>
    <w:rsid w:val="00A079AC"/>
    <w:rsid w:val="00A10030"/>
    <w:rsid w:val="00A110B8"/>
    <w:rsid w:val="00A110CB"/>
    <w:rsid w:val="00A11944"/>
    <w:rsid w:val="00A14775"/>
    <w:rsid w:val="00A1477A"/>
    <w:rsid w:val="00A14DB8"/>
    <w:rsid w:val="00A158CF"/>
    <w:rsid w:val="00A15AE9"/>
    <w:rsid w:val="00A15CAC"/>
    <w:rsid w:val="00A2025D"/>
    <w:rsid w:val="00A20353"/>
    <w:rsid w:val="00A2101B"/>
    <w:rsid w:val="00A227B3"/>
    <w:rsid w:val="00A22C8F"/>
    <w:rsid w:val="00A23BE7"/>
    <w:rsid w:val="00A248EB"/>
    <w:rsid w:val="00A24BCB"/>
    <w:rsid w:val="00A24E8E"/>
    <w:rsid w:val="00A25AB0"/>
    <w:rsid w:val="00A25CAA"/>
    <w:rsid w:val="00A2607C"/>
    <w:rsid w:val="00A3073D"/>
    <w:rsid w:val="00A31B87"/>
    <w:rsid w:val="00A31D8A"/>
    <w:rsid w:val="00A3316D"/>
    <w:rsid w:val="00A3355E"/>
    <w:rsid w:val="00A336F9"/>
    <w:rsid w:val="00A33B9C"/>
    <w:rsid w:val="00A33EAF"/>
    <w:rsid w:val="00A344FD"/>
    <w:rsid w:val="00A40E0A"/>
    <w:rsid w:val="00A40EBD"/>
    <w:rsid w:val="00A414F4"/>
    <w:rsid w:val="00A419B4"/>
    <w:rsid w:val="00A42230"/>
    <w:rsid w:val="00A428D6"/>
    <w:rsid w:val="00A42B96"/>
    <w:rsid w:val="00A4335B"/>
    <w:rsid w:val="00A434FA"/>
    <w:rsid w:val="00A442CD"/>
    <w:rsid w:val="00A4612A"/>
    <w:rsid w:val="00A47285"/>
    <w:rsid w:val="00A502DB"/>
    <w:rsid w:val="00A51532"/>
    <w:rsid w:val="00A51FC4"/>
    <w:rsid w:val="00A52E05"/>
    <w:rsid w:val="00A532E8"/>
    <w:rsid w:val="00A535E5"/>
    <w:rsid w:val="00A53843"/>
    <w:rsid w:val="00A54F7C"/>
    <w:rsid w:val="00A5543F"/>
    <w:rsid w:val="00A55954"/>
    <w:rsid w:val="00A56E8E"/>
    <w:rsid w:val="00A61D53"/>
    <w:rsid w:val="00A61E28"/>
    <w:rsid w:val="00A62136"/>
    <w:rsid w:val="00A62C64"/>
    <w:rsid w:val="00A634CE"/>
    <w:rsid w:val="00A64BB5"/>
    <w:rsid w:val="00A65B9F"/>
    <w:rsid w:val="00A6671F"/>
    <w:rsid w:val="00A672D0"/>
    <w:rsid w:val="00A67520"/>
    <w:rsid w:val="00A6756D"/>
    <w:rsid w:val="00A679B3"/>
    <w:rsid w:val="00A67BA6"/>
    <w:rsid w:val="00A67CB7"/>
    <w:rsid w:val="00A7074B"/>
    <w:rsid w:val="00A709D2"/>
    <w:rsid w:val="00A71658"/>
    <w:rsid w:val="00A71B28"/>
    <w:rsid w:val="00A71F1E"/>
    <w:rsid w:val="00A729F2"/>
    <w:rsid w:val="00A74C1F"/>
    <w:rsid w:val="00A75481"/>
    <w:rsid w:val="00A75677"/>
    <w:rsid w:val="00A75F5D"/>
    <w:rsid w:val="00A76B36"/>
    <w:rsid w:val="00A76C39"/>
    <w:rsid w:val="00A76E66"/>
    <w:rsid w:val="00A80389"/>
    <w:rsid w:val="00A80F5A"/>
    <w:rsid w:val="00A8166F"/>
    <w:rsid w:val="00A82139"/>
    <w:rsid w:val="00A821BB"/>
    <w:rsid w:val="00A82303"/>
    <w:rsid w:val="00A833E7"/>
    <w:rsid w:val="00A833FD"/>
    <w:rsid w:val="00A83910"/>
    <w:rsid w:val="00A83911"/>
    <w:rsid w:val="00A83F15"/>
    <w:rsid w:val="00A84218"/>
    <w:rsid w:val="00A84D6E"/>
    <w:rsid w:val="00A874DF"/>
    <w:rsid w:val="00A87D8E"/>
    <w:rsid w:val="00A904CD"/>
    <w:rsid w:val="00A91E97"/>
    <w:rsid w:val="00A92915"/>
    <w:rsid w:val="00A9394D"/>
    <w:rsid w:val="00A94AEC"/>
    <w:rsid w:val="00A952F8"/>
    <w:rsid w:val="00A95B15"/>
    <w:rsid w:val="00A965AB"/>
    <w:rsid w:val="00A967E9"/>
    <w:rsid w:val="00AA13DF"/>
    <w:rsid w:val="00AA14D4"/>
    <w:rsid w:val="00AA25AE"/>
    <w:rsid w:val="00AA278F"/>
    <w:rsid w:val="00AA2F22"/>
    <w:rsid w:val="00AA314A"/>
    <w:rsid w:val="00AA4602"/>
    <w:rsid w:val="00AA4C3A"/>
    <w:rsid w:val="00AA4CEE"/>
    <w:rsid w:val="00AA5656"/>
    <w:rsid w:val="00AA69E6"/>
    <w:rsid w:val="00AA6BF6"/>
    <w:rsid w:val="00AA76C3"/>
    <w:rsid w:val="00AA7EEB"/>
    <w:rsid w:val="00AB03DE"/>
    <w:rsid w:val="00AB0BF6"/>
    <w:rsid w:val="00AB0CC0"/>
    <w:rsid w:val="00AB1B2D"/>
    <w:rsid w:val="00AB2126"/>
    <w:rsid w:val="00AB23B0"/>
    <w:rsid w:val="00AB2AF1"/>
    <w:rsid w:val="00AB2E89"/>
    <w:rsid w:val="00AB38FC"/>
    <w:rsid w:val="00AB3975"/>
    <w:rsid w:val="00AB3ADA"/>
    <w:rsid w:val="00AB3D4C"/>
    <w:rsid w:val="00AB50B2"/>
    <w:rsid w:val="00AB6B7D"/>
    <w:rsid w:val="00AB753F"/>
    <w:rsid w:val="00AB764F"/>
    <w:rsid w:val="00AC0037"/>
    <w:rsid w:val="00AC206E"/>
    <w:rsid w:val="00AC27D3"/>
    <w:rsid w:val="00AC2EB9"/>
    <w:rsid w:val="00AC3EAA"/>
    <w:rsid w:val="00AC425E"/>
    <w:rsid w:val="00AC5FA1"/>
    <w:rsid w:val="00AC615A"/>
    <w:rsid w:val="00AC6251"/>
    <w:rsid w:val="00AC6337"/>
    <w:rsid w:val="00AC6EF5"/>
    <w:rsid w:val="00AC72A2"/>
    <w:rsid w:val="00AC7784"/>
    <w:rsid w:val="00AC7B35"/>
    <w:rsid w:val="00AD094B"/>
    <w:rsid w:val="00AD11CB"/>
    <w:rsid w:val="00AD1327"/>
    <w:rsid w:val="00AD15BB"/>
    <w:rsid w:val="00AD1826"/>
    <w:rsid w:val="00AD1D92"/>
    <w:rsid w:val="00AD2558"/>
    <w:rsid w:val="00AD263F"/>
    <w:rsid w:val="00AD4480"/>
    <w:rsid w:val="00AD4778"/>
    <w:rsid w:val="00AD5409"/>
    <w:rsid w:val="00AD5427"/>
    <w:rsid w:val="00AD6447"/>
    <w:rsid w:val="00AD677C"/>
    <w:rsid w:val="00AD68B8"/>
    <w:rsid w:val="00AD6CB8"/>
    <w:rsid w:val="00AD6EB7"/>
    <w:rsid w:val="00AD6F37"/>
    <w:rsid w:val="00AD73DA"/>
    <w:rsid w:val="00AD7622"/>
    <w:rsid w:val="00AD7F91"/>
    <w:rsid w:val="00AE1889"/>
    <w:rsid w:val="00AE24E7"/>
    <w:rsid w:val="00AE31F8"/>
    <w:rsid w:val="00AE3A8C"/>
    <w:rsid w:val="00AE3E1B"/>
    <w:rsid w:val="00AE45AD"/>
    <w:rsid w:val="00AE60FD"/>
    <w:rsid w:val="00AE6123"/>
    <w:rsid w:val="00AE638D"/>
    <w:rsid w:val="00AE7005"/>
    <w:rsid w:val="00AE731F"/>
    <w:rsid w:val="00AE7693"/>
    <w:rsid w:val="00AE7AD6"/>
    <w:rsid w:val="00AE7D6B"/>
    <w:rsid w:val="00AF0F52"/>
    <w:rsid w:val="00AF1BB2"/>
    <w:rsid w:val="00AF1C6D"/>
    <w:rsid w:val="00AF2A49"/>
    <w:rsid w:val="00AF3C4B"/>
    <w:rsid w:val="00AF3EA7"/>
    <w:rsid w:val="00AF4E34"/>
    <w:rsid w:val="00AF64AB"/>
    <w:rsid w:val="00AF652E"/>
    <w:rsid w:val="00AF7454"/>
    <w:rsid w:val="00B003B6"/>
    <w:rsid w:val="00B0099E"/>
    <w:rsid w:val="00B01AD9"/>
    <w:rsid w:val="00B02E46"/>
    <w:rsid w:val="00B03484"/>
    <w:rsid w:val="00B0381A"/>
    <w:rsid w:val="00B06050"/>
    <w:rsid w:val="00B06D93"/>
    <w:rsid w:val="00B079E5"/>
    <w:rsid w:val="00B1032E"/>
    <w:rsid w:val="00B10D06"/>
    <w:rsid w:val="00B11368"/>
    <w:rsid w:val="00B11AC2"/>
    <w:rsid w:val="00B12538"/>
    <w:rsid w:val="00B12606"/>
    <w:rsid w:val="00B12BCC"/>
    <w:rsid w:val="00B12DDF"/>
    <w:rsid w:val="00B13003"/>
    <w:rsid w:val="00B148B7"/>
    <w:rsid w:val="00B14963"/>
    <w:rsid w:val="00B17D03"/>
    <w:rsid w:val="00B208E4"/>
    <w:rsid w:val="00B20EE2"/>
    <w:rsid w:val="00B21E01"/>
    <w:rsid w:val="00B22302"/>
    <w:rsid w:val="00B236B7"/>
    <w:rsid w:val="00B24917"/>
    <w:rsid w:val="00B25D98"/>
    <w:rsid w:val="00B25F98"/>
    <w:rsid w:val="00B27A60"/>
    <w:rsid w:val="00B309E2"/>
    <w:rsid w:val="00B309E9"/>
    <w:rsid w:val="00B31E9B"/>
    <w:rsid w:val="00B320E7"/>
    <w:rsid w:val="00B33340"/>
    <w:rsid w:val="00B33665"/>
    <w:rsid w:val="00B34A4D"/>
    <w:rsid w:val="00B34B8F"/>
    <w:rsid w:val="00B351F4"/>
    <w:rsid w:val="00B3554E"/>
    <w:rsid w:val="00B35D19"/>
    <w:rsid w:val="00B36C6A"/>
    <w:rsid w:val="00B37285"/>
    <w:rsid w:val="00B372F4"/>
    <w:rsid w:val="00B37F56"/>
    <w:rsid w:val="00B40482"/>
    <w:rsid w:val="00B42A65"/>
    <w:rsid w:val="00B42A93"/>
    <w:rsid w:val="00B443D0"/>
    <w:rsid w:val="00B44518"/>
    <w:rsid w:val="00B46AE7"/>
    <w:rsid w:val="00B47EF9"/>
    <w:rsid w:val="00B508FE"/>
    <w:rsid w:val="00B510D8"/>
    <w:rsid w:val="00B5132E"/>
    <w:rsid w:val="00B51601"/>
    <w:rsid w:val="00B51E5C"/>
    <w:rsid w:val="00B54231"/>
    <w:rsid w:val="00B54965"/>
    <w:rsid w:val="00B54DE6"/>
    <w:rsid w:val="00B56564"/>
    <w:rsid w:val="00B56885"/>
    <w:rsid w:val="00B56B26"/>
    <w:rsid w:val="00B56E7F"/>
    <w:rsid w:val="00B57F54"/>
    <w:rsid w:val="00B60A94"/>
    <w:rsid w:val="00B6221A"/>
    <w:rsid w:val="00B62430"/>
    <w:rsid w:val="00B62741"/>
    <w:rsid w:val="00B63251"/>
    <w:rsid w:val="00B632FA"/>
    <w:rsid w:val="00B646E9"/>
    <w:rsid w:val="00B64AB7"/>
    <w:rsid w:val="00B6511D"/>
    <w:rsid w:val="00B65D59"/>
    <w:rsid w:val="00B65F20"/>
    <w:rsid w:val="00B6790C"/>
    <w:rsid w:val="00B70493"/>
    <w:rsid w:val="00B71780"/>
    <w:rsid w:val="00B71A9D"/>
    <w:rsid w:val="00B71AC6"/>
    <w:rsid w:val="00B73796"/>
    <w:rsid w:val="00B7524E"/>
    <w:rsid w:val="00B7544C"/>
    <w:rsid w:val="00B75491"/>
    <w:rsid w:val="00B758C3"/>
    <w:rsid w:val="00B766AA"/>
    <w:rsid w:val="00B77C78"/>
    <w:rsid w:val="00B77D09"/>
    <w:rsid w:val="00B77DD9"/>
    <w:rsid w:val="00B80993"/>
    <w:rsid w:val="00B82482"/>
    <w:rsid w:val="00B82EB9"/>
    <w:rsid w:val="00B83492"/>
    <w:rsid w:val="00B83862"/>
    <w:rsid w:val="00B85033"/>
    <w:rsid w:val="00B859B5"/>
    <w:rsid w:val="00B862EA"/>
    <w:rsid w:val="00B8705D"/>
    <w:rsid w:val="00B8724A"/>
    <w:rsid w:val="00B87743"/>
    <w:rsid w:val="00B908BF"/>
    <w:rsid w:val="00B9228F"/>
    <w:rsid w:val="00B92E69"/>
    <w:rsid w:val="00B930BE"/>
    <w:rsid w:val="00B94033"/>
    <w:rsid w:val="00B95002"/>
    <w:rsid w:val="00B975B4"/>
    <w:rsid w:val="00BA00DC"/>
    <w:rsid w:val="00BA0C06"/>
    <w:rsid w:val="00BA1217"/>
    <w:rsid w:val="00BA1221"/>
    <w:rsid w:val="00BA144B"/>
    <w:rsid w:val="00BA1560"/>
    <w:rsid w:val="00BA23EF"/>
    <w:rsid w:val="00BA2AEE"/>
    <w:rsid w:val="00BA43E4"/>
    <w:rsid w:val="00BA4665"/>
    <w:rsid w:val="00BA4B66"/>
    <w:rsid w:val="00BA62F2"/>
    <w:rsid w:val="00BB0A83"/>
    <w:rsid w:val="00BB0FD6"/>
    <w:rsid w:val="00BB15DA"/>
    <w:rsid w:val="00BB2C3A"/>
    <w:rsid w:val="00BB2E6B"/>
    <w:rsid w:val="00BB4331"/>
    <w:rsid w:val="00BB62FA"/>
    <w:rsid w:val="00BB6A70"/>
    <w:rsid w:val="00BB798D"/>
    <w:rsid w:val="00BC03DE"/>
    <w:rsid w:val="00BC0D3B"/>
    <w:rsid w:val="00BC3701"/>
    <w:rsid w:val="00BC3A98"/>
    <w:rsid w:val="00BC3FD4"/>
    <w:rsid w:val="00BC42E0"/>
    <w:rsid w:val="00BC467A"/>
    <w:rsid w:val="00BC53AC"/>
    <w:rsid w:val="00BC5420"/>
    <w:rsid w:val="00BC78CD"/>
    <w:rsid w:val="00BC7C6B"/>
    <w:rsid w:val="00BC7E8D"/>
    <w:rsid w:val="00BC7ECE"/>
    <w:rsid w:val="00BD0A2F"/>
    <w:rsid w:val="00BD0CE2"/>
    <w:rsid w:val="00BD19C7"/>
    <w:rsid w:val="00BD3613"/>
    <w:rsid w:val="00BD36E3"/>
    <w:rsid w:val="00BD40F7"/>
    <w:rsid w:val="00BD49BB"/>
    <w:rsid w:val="00BD6213"/>
    <w:rsid w:val="00BD667B"/>
    <w:rsid w:val="00BD73EB"/>
    <w:rsid w:val="00BD79D2"/>
    <w:rsid w:val="00BD79D9"/>
    <w:rsid w:val="00BD7AE8"/>
    <w:rsid w:val="00BE0017"/>
    <w:rsid w:val="00BE0FD7"/>
    <w:rsid w:val="00BE1EC7"/>
    <w:rsid w:val="00BE5561"/>
    <w:rsid w:val="00BE5BF6"/>
    <w:rsid w:val="00BE5E4F"/>
    <w:rsid w:val="00BE5E65"/>
    <w:rsid w:val="00BE5FCE"/>
    <w:rsid w:val="00BF0574"/>
    <w:rsid w:val="00BF0620"/>
    <w:rsid w:val="00BF072B"/>
    <w:rsid w:val="00BF1EDE"/>
    <w:rsid w:val="00BF2B94"/>
    <w:rsid w:val="00BF326D"/>
    <w:rsid w:val="00BF334C"/>
    <w:rsid w:val="00BF33EF"/>
    <w:rsid w:val="00BF3EEB"/>
    <w:rsid w:val="00BF5167"/>
    <w:rsid w:val="00BF5E8A"/>
    <w:rsid w:val="00BF61FF"/>
    <w:rsid w:val="00BF7C74"/>
    <w:rsid w:val="00BF7D27"/>
    <w:rsid w:val="00C00B1E"/>
    <w:rsid w:val="00C04BC3"/>
    <w:rsid w:val="00C05025"/>
    <w:rsid w:val="00C0715F"/>
    <w:rsid w:val="00C072E0"/>
    <w:rsid w:val="00C100DE"/>
    <w:rsid w:val="00C11182"/>
    <w:rsid w:val="00C12AA6"/>
    <w:rsid w:val="00C12B44"/>
    <w:rsid w:val="00C12CE2"/>
    <w:rsid w:val="00C13321"/>
    <w:rsid w:val="00C1376A"/>
    <w:rsid w:val="00C13EC6"/>
    <w:rsid w:val="00C14E75"/>
    <w:rsid w:val="00C15F16"/>
    <w:rsid w:val="00C20867"/>
    <w:rsid w:val="00C20CEB"/>
    <w:rsid w:val="00C21678"/>
    <w:rsid w:val="00C22185"/>
    <w:rsid w:val="00C22EF2"/>
    <w:rsid w:val="00C231D7"/>
    <w:rsid w:val="00C233C5"/>
    <w:rsid w:val="00C23B2C"/>
    <w:rsid w:val="00C23EDA"/>
    <w:rsid w:val="00C2453A"/>
    <w:rsid w:val="00C249F9"/>
    <w:rsid w:val="00C2550A"/>
    <w:rsid w:val="00C25AC4"/>
    <w:rsid w:val="00C25CC7"/>
    <w:rsid w:val="00C2656B"/>
    <w:rsid w:val="00C274F7"/>
    <w:rsid w:val="00C278C6"/>
    <w:rsid w:val="00C279DB"/>
    <w:rsid w:val="00C3009C"/>
    <w:rsid w:val="00C31281"/>
    <w:rsid w:val="00C312FD"/>
    <w:rsid w:val="00C313BB"/>
    <w:rsid w:val="00C31817"/>
    <w:rsid w:val="00C31FAA"/>
    <w:rsid w:val="00C3233E"/>
    <w:rsid w:val="00C33538"/>
    <w:rsid w:val="00C33583"/>
    <w:rsid w:val="00C338BC"/>
    <w:rsid w:val="00C34730"/>
    <w:rsid w:val="00C354E6"/>
    <w:rsid w:val="00C35EF6"/>
    <w:rsid w:val="00C35FC9"/>
    <w:rsid w:val="00C369CD"/>
    <w:rsid w:val="00C37600"/>
    <w:rsid w:val="00C41470"/>
    <w:rsid w:val="00C42135"/>
    <w:rsid w:val="00C425EC"/>
    <w:rsid w:val="00C42C56"/>
    <w:rsid w:val="00C4425F"/>
    <w:rsid w:val="00C44531"/>
    <w:rsid w:val="00C44B7C"/>
    <w:rsid w:val="00C452FD"/>
    <w:rsid w:val="00C457FF"/>
    <w:rsid w:val="00C45F64"/>
    <w:rsid w:val="00C4669D"/>
    <w:rsid w:val="00C47134"/>
    <w:rsid w:val="00C47DE9"/>
    <w:rsid w:val="00C50ECC"/>
    <w:rsid w:val="00C5154F"/>
    <w:rsid w:val="00C51F17"/>
    <w:rsid w:val="00C525BF"/>
    <w:rsid w:val="00C52D47"/>
    <w:rsid w:val="00C5331F"/>
    <w:rsid w:val="00C54245"/>
    <w:rsid w:val="00C5450B"/>
    <w:rsid w:val="00C54CD8"/>
    <w:rsid w:val="00C5520A"/>
    <w:rsid w:val="00C56704"/>
    <w:rsid w:val="00C56A37"/>
    <w:rsid w:val="00C56A54"/>
    <w:rsid w:val="00C5732B"/>
    <w:rsid w:val="00C578D4"/>
    <w:rsid w:val="00C57D67"/>
    <w:rsid w:val="00C600C7"/>
    <w:rsid w:val="00C612FC"/>
    <w:rsid w:val="00C61513"/>
    <w:rsid w:val="00C64CE0"/>
    <w:rsid w:val="00C64DB9"/>
    <w:rsid w:val="00C65A11"/>
    <w:rsid w:val="00C660C1"/>
    <w:rsid w:val="00C6620B"/>
    <w:rsid w:val="00C6622C"/>
    <w:rsid w:val="00C663FB"/>
    <w:rsid w:val="00C665B8"/>
    <w:rsid w:val="00C66E58"/>
    <w:rsid w:val="00C67885"/>
    <w:rsid w:val="00C71197"/>
    <w:rsid w:val="00C7145A"/>
    <w:rsid w:val="00C726B1"/>
    <w:rsid w:val="00C73195"/>
    <w:rsid w:val="00C733A7"/>
    <w:rsid w:val="00C73B88"/>
    <w:rsid w:val="00C74A9D"/>
    <w:rsid w:val="00C75E35"/>
    <w:rsid w:val="00C761B1"/>
    <w:rsid w:val="00C761C7"/>
    <w:rsid w:val="00C7667A"/>
    <w:rsid w:val="00C76864"/>
    <w:rsid w:val="00C76BBE"/>
    <w:rsid w:val="00C7781A"/>
    <w:rsid w:val="00C803BC"/>
    <w:rsid w:val="00C805BC"/>
    <w:rsid w:val="00C80D36"/>
    <w:rsid w:val="00C8102E"/>
    <w:rsid w:val="00C822E4"/>
    <w:rsid w:val="00C83125"/>
    <w:rsid w:val="00C84CC2"/>
    <w:rsid w:val="00C85BDD"/>
    <w:rsid w:val="00C8767D"/>
    <w:rsid w:val="00C90169"/>
    <w:rsid w:val="00C91FA2"/>
    <w:rsid w:val="00C9262E"/>
    <w:rsid w:val="00C92786"/>
    <w:rsid w:val="00C92E29"/>
    <w:rsid w:val="00C94712"/>
    <w:rsid w:val="00C9475A"/>
    <w:rsid w:val="00C94885"/>
    <w:rsid w:val="00C9553F"/>
    <w:rsid w:val="00C95BD4"/>
    <w:rsid w:val="00C96E88"/>
    <w:rsid w:val="00C972E6"/>
    <w:rsid w:val="00C97848"/>
    <w:rsid w:val="00C97CFB"/>
    <w:rsid w:val="00CA0544"/>
    <w:rsid w:val="00CA16DD"/>
    <w:rsid w:val="00CA1746"/>
    <w:rsid w:val="00CA1838"/>
    <w:rsid w:val="00CA1B70"/>
    <w:rsid w:val="00CA1C9F"/>
    <w:rsid w:val="00CA2247"/>
    <w:rsid w:val="00CA2C9D"/>
    <w:rsid w:val="00CA2CEF"/>
    <w:rsid w:val="00CA3692"/>
    <w:rsid w:val="00CA3B79"/>
    <w:rsid w:val="00CA5510"/>
    <w:rsid w:val="00CA62A3"/>
    <w:rsid w:val="00CA663D"/>
    <w:rsid w:val="00CA6AD9"/>
    <w:rsid w:val="00CA75DC"/>
    <w:rsid w:val="00CA7BD0"/>
    <w:rsid w:val="00CA7DDC"/>
    <w:rsid w:val="00CA7E25"/>
    <w:rsid w:val="00CB02A5"/>
    <w:rsid w:val="00CB0C07"/>
    <w:rsid w:val="00CB1DFB"/>
    <w:rsid w:val="00CB2D73"/>
    <w:rsid w:val="00CB32F4"/>
    <w:rsid w:val="00CB4A54"/>
    <w:rsid w:val="00CB4B1B"/>
    <w:rsid w:val="00CB53E6"/>
    <w:rsid w:val="00CB57C1"/>
    <w:rsid w:val="00CB6361"/>
    <w:rsid w:val="00CB6E4E"/>
    <w:rsid w:val="00CB7DE1"/>
    <w:rsid w:val="00CC0171"/>
    <w:rsid w:val="00CC01AD"/>
    <w:rsid w:val="00CC303A"/>
    <w:rsid w:val="00CC52B8"/>
    <w:rsid w:val="00CC54DD"/>
    <w:rsid w:val="00CC6014"/>
    <w:rsid w:val="00CC6E20"/>
    <w:rsid w:val="00CC7225"/>
    <w:rsid w:val="00CD069A"/>
    <w:rsid w:val="00CD0DB5"/>
    <w:rsid w:val="00CD1233"/>
    <w:rsid w:val="00CD1997"/>
    <w:rsid w:val="00CD230B"/>
    <w:rsid w:val="00CD277C"/>
    <w:rsid w:val="00CD2A01"/>
    <w:rsid w:val="00CD2CC0"/>
    <w:rsid w:val="00CD3348"/>
    <w:rsid w:val="00CD3470"/>
    <w:rsid w:val="00CD3ACA"/>
    <w:rsid w:val="00CD3B7B"/>
    <w:rsid w:val="00CD4853"/>
    <w:rsid w:val="00CD4D08"/>
    <w:rsid w:val="00CD4ED4"/>
    <w:rsid w:val="00CD58F6"/>
    <w:rsid w:val="00CD5E43"/>
    <w:rsid w:val="00CD691F"/>
    <w:rsid w:val="00CD70AF"/>
    <w:rsid w:val="00CD71FF"/>
    <w:rsid w:val="00CE0374"/>
    <w:rsid w:val="00CE07F8"/>
    <w:rsid w:val="00CE08BD"/>
    <w:rsid w:val="00CE0C64"/>
    <w:rsid w:val="00CE0DDC"/>
    <w:rsid w:val="00CE27ED"/>
    <w:rsid w:val="00CE3085"/>
    <w:rsid w:val="00CE37BC"/>
    <w:rsid w:val="00CE503F"/>
    <w:rsid w:val="00CE51CE"/>
    <w:rsid w:val="00CE52C1"/>
    <w:rsid w:val="00CE5940"/>
    <w:rsid w:val="00CE6400"/>
    <w:rsid w:val="00CE7BA3"/>
    <w:rsid w:val="00CF27A3"/>
    <w:rsid w:val="00CF29B7"/>
    <w:rsid w:val="00CF35D9"/>
    <w:rsid w:val="00CF46DE"/>
    <w:rsid w:val="00CF47A2"/>
    <w:rsid w:val="00CF4891"/>
    <w:rsid w:val="00CF5907"/>
    <w:rsid w:val="00CF5A45"/>
    <w:rsid w:val="00CF6A01"/>
    <w:rsid w:val="00CF79D3"/>
    <w:rsid w:val="00D002D5"/>
    <w:rsid w:val="00D01C6E"/>
    <w:rsid w:val="00D02D5B"/>
    <w:rsid w:val="00D032D9"/>
    <w:rsid w:val="00D05194"/>
    <w:rsid w:val="00D05526"/>
    <w:rsid w:val="00D05CCC"/>
    <w:rsid w:val="00D10A54"/>
    <w:rsid w:val="00D1112C"/>
    <w:rsid w:val="00D118AC"/>
    <w:rsid w:val="00D121C8"/>
    <w:rsid w:val="00D14AB5"/>
    <w:rsid w:val="00D151ED"/>
    <w:rsid w:val="00D15464"/>
    <w:rsid w:val="00D17324"/>
    <w:rsid w:val="00D17716"/>
    <w:rsid w:val="00D178D2"/>
    <w:rsid w:val="00D1795B"/>
    <w:rsid w:val="00D20273"/>
    <w:rsid w:val="00D20277"/>
    <w:rsid w:val="00D210DC"/>
    <w:rsid w:val="00D21C8B"/>
    <w:rsid w:val="00D227C5"/>
    <w:rsid w:val="00D23C62"/>
    <w:rsid w:val="00D240D3"/>
    <w:rsid w:val="00D249F2"/>
    <w:rsid w:val="00D249F7"/>
    <w:rsid w:val="00D2550C"/>
    <w:rsid w:val="00D27248"/>
    <w:rsid w:val="00D27592"/>
    <w:rsid w:val="00D30264"/>
    <w:rsid w:val="00D31999"/>
    <w:rsid w:val="00D31DF4"/>
    <w:rsid w:val="00D32F1B"/>
    <w:rsid w:val="00D33D7A"/>
    <w:rsid w:val="00D349FB"/>
    <w:rsid w:val="00D35879"/>
    <w:rsid w:val="00D413A5"/>
    <w:rsid w:val="00D42194"/>
    <w:rsid w:val="00D4231E"/>
    <w:rsid w:val="00D4269C"/>
    <w:rsid w:val="00D42885"/>
    <w:rsid w:val="00D428A9"/>
    <w:rsid w:val="00D43BA7"/>
    <w:rsid w:val="00D449C0"/>
    <w:rsid w:val="00D45310"/>
    <w:rsid w:val="00D45FC3"/>
    <w:rsid w:val="00D466A7"/>
    <w:rsid w:val="00D46BC3"/>
    <w:rsid w:val="00D46E4C"/>
    <w:rsid w:val="00D476D0"/>
    <w:rsid w:val="00D4784C"/>
    <w:rsid w:val="00D52A4F"/>
    <w:rsid w:val="00D54AAB"/>
    <w:rsid w:val="00D5509E"/>
    <w:rsid w:val="00D554F9"/>
    <w:rsid w:val="00D564CF"/>
    <w:rsid w:val="00D60693"/>
    <w:rsid w:val="00D613B9"/>
    <w:rsid w:val="00D613E9"/>
    <w:rsid w:val="00D616B9"/>
    <w:rsid w:val="00D61DD2"/>
    <w:rsid w:val="00D62545"/>
    <w:rsid w:val="00D62BC6"/>
    <w:rsid w:val="00D62E32"/>
    <w:rsid w:val="00D63336"/>
    <w:rsid w:val="00D63912"/>
    <w:rsid w:val="00D640C3"/>
    <w:rsid w:val="00D64B14"/>
    <w:rsid w:val="00D660B1"/>
    <w:rsid w:val="00D666C3"/>
    <w:rsid w:val="00D6689C"/>
    <w:rsid w:val="00D66CF3"/>
    <w:rsid w:val="00D67584"/>
    <w:rsid w:val="00D678EE"/>
    <w:rsid w:val="00D67EDF"/>
    <w:rsid w:val="00D703F4"/>
    <w:rsid w:val="00D70AAF"/>
    <w:rsid w:val="00D70EF6"/>
    <w:rsid w:val="00D7165A"/>
    <w:rsid w:val="00D716E3"/>
    <w:rsid w:val="00D71721"/>
    <w:rsid w:val="00D74800"/>
    <w:rsid w:val="00D74E2B"/>
    <w:rsid w:val="00D752D1"/>
    <w:rsid w:val="00D7542D"/>
    <w:rsid w:val="00D75752"/>
    <w:rsid w:val="00D76C40"/>
    <w:rsid w:val="00D76E85"/>
    <w:rsid w:val="00D7746A"/>
    <w:rsid w:val="00D802AC"/>
    <w:rsid w:val="00D80B11"/>
    <w:rsid w:val="00D81AB3"/>
    <w:rsid w:val="00D82BA1"/>
    <w:rsid w:val="00D82D96"/>
    <w:rsid w:val="00D83AF6"/>
    <w:rsid w:val="00D8409C"/>
    <w:rsid w:val="00D841E2"/>
    <w:rsid w:val="00D84236"/>
    <w:rsid w:val="00D85100"/>
    <w:rsid w:val="00D85BDD"/>
    <w:rsid w:val="00D8600B"/>
    <w:rsid w:val="00D86181"/>
    <w:rsid w:val="00D869E3"/>
    <w:rsid w:val="00D86B15"/>
    <w:rsid w:val="00D87058"/>
    <w:rsid w:val="00D9049F"/>
    <w:rsid w:val="00D90541"/>
    <w:rsid w:val="00D91A02"/>
    <w:rsid w:val="00D921A7"/>
    <w:rsid w:val="00D92241"/>
    <w:rsid w:val="00D92580"/>
    <w:rsid w:val="00D93B5A"/>
    <w:rsid w:val="00D95728"/>
    <w:rsid w:val="00D95979"/>
    <w:rsid w:val="00D960D0"/>
    <w:rsid w:val="00D97B19"/>
    <w:rsid w:val="00DA0720"/>
    <w:rsid w:val="00DA155A"/>
    <w:rsid w:val="00DA1843"/>
    <w:rsid w:val="00DA260E"/>
    <w:rsid w:val="00DA322F"/>
    <w:rsid w:val="00DA3772"/>
    <w:rsid w:val="00DA424F"/>
    <w:rsid w:val="00DA55E1"/>
    <w:rsid w:val="00DA6464"/>
    <w:rsid w:val="00DA6A2B"/>
    <w:rsid w:val="00DA76AE"/>
    <w:rsid w:val="00DB0E22"/>
    <w:rsid w:val="00DB128D"/>
    <w:rsid w:val="00DB133A"/>
    <w:rsid w:val="00DB193B"/>
    <w:rsid w:val="00DB2614"/>
    <w:rsid w:val="00DB3B87"/>
    <w:rsid w:val="00DB4336"/>
    <w:rsid w:val="00DB4343"/>
    <w:rsid w:val="00DB4C4D"/>
    <w:rsid w:val="00DB60BB"/>
    <w:rsid w:val="00DB71C7"/>
    <w:rsid w:val="00DB74E5"/>
    <w:rsid w:val="00DC021C"/>
    <w:rsid w:val="00DC14F4"/>
    <w:rsid w:val="00DC164C"/>
    <w:rsid w:val="00DC2373"/>
    <w:rsid w:val="00DC29B2"/>
    <w:rsid w:val="00DC344B"/>
    <w:rsid w:val="00DC3B81"/>
    <w:rsid w:val="00DC4505"/>
    <w:rsid w:val="00DC48F4"/>
    <w:rsid w:val="00DC49E6"/>
    <w:rsid w:val="00DC4F5A"/>
    <w:rsid w:val="00DC63A5"/>
    <w:rsid w:val="00DC65F7"/>
    <w:rsid w:val="00DC6FE4"/>
    <w:rsid w:val="00DC71E6"/>
    <w:rsid w:val="00DC7B70"/>
    <w:rsid w:val="00DC7EF6"/>
    <w:rsid w:val="00DD139C"/>
    <w:rsid w:val="00DD16ED"/>
    <w:rsid w:val="00DD1F42"/>
    <w:rsid w:val="00DD2D9C"/>
    <w:rsid w:val="00DD3FDE"/>
    <w:rsid w:val="00DD406C"/>
    <w:rsid w:val="00DD4574"/>
    <w:rsid w:val="00DD4989"/>
    <w:rsid w:val="00DD4C01"/>
    <w:rsid w:val="00DD4E00"/>
    <w:rsid w:val="00DD4F9E"/>
    <w:rsid w:val="00DD50D9"/>
    <w:rsid w:val="00DD5C28"/>
    <w:rsid w:val="00DD62E3"/>
    <w:rsid w:val="00DD667D"/>
    <w:rsid w:val="00DD67EE"/>
    <w:rsid w:val="00DD7F25"/>
    <w:rsid w:val="00DE0B54"/>
    <w:rsid w:val="00DE250B"/>
    <w:rsid w:val="00DE527E"/>
    <w:rsid w:val="00DE54EF"/>
    <w:rsid w:val="00DE604F"/>
    <w:rsid w:val="00DF0049"/>
    <w:rsid w:val="00DF0D28"/>
    <w:rsid w:val="00DF12A0"/>
    <w:rsid w:val="00DF12C5"/>
    <w:rsid w:val="00DF139E"/>
    <w:rsid w:val="00DF228E"/>
    <w:rsid w:val="00DF22E8"/>
    <w:rsid w:val="00DF47B5"/>
    <w:rsid w:val="00DF5AC6"/>
    <w:rsid w:val="00DF5F73"/>
    <w:rsid w:val="00DF604F"/>
    <w:rsid w:val="00DF7BDB"/>
    <w:rsid w:val="00E00343"/>
    <w:rsid w:val="00E0098C"/>
    <w:rsid w:val="00E012D0"/>
    <w:rsid w:val="00E013C5"/>
    <w:rsid w:val="00E018F0"/>
    <w:rsid w:val="00E02B5F"/>
    <w:rsid w:val="00E03279"/>
    <w:rsid w:val="00E03DDD"/>
    <w:rsid w:val="00E040C1"/>
    <w:rsid w:val="00E0479D"/>
    <w:rsid w:val="00E04828"/>
    <w:rsid w:val="00E0537E"/>
    <w:rsid w:val="00E057ED"/>
    <w:rsid w:val="00E05A4B"/>
    <w:rsid w:val="00E07C0A"/>
    <w:rsid w:val="00E11D86"/>
    <w:rsid w:val="00E122E6"/>
    <w:rsid w:val="00E145E8"/>
    <w:rsid w:val="00E14F98"/>
    <w:rsid w:val="00E15228"/>
    <w:rsid w:val="00E15ABB"/>
    <w:rsid w:val="00E15CF3"/>
    <w:rsid w:val="00E172BA"/>
    <w:rsid w:val="00E177FF"/>
    <w:rsid w:val="00E20E06"/>
    <w:rsid w:val="00E20EEA"/>
    <w:rsid w:val="00E2105B"/>
    <w:rsid w:val="00E22BAE"/>
    <w:rsid w:val="00E24C7C"/>
    <w:rsid w:val="00E25557"/>
    <w:rsid w:val="00E269C9"/>
    <w:rsid w:val="00E27FC7"/>
    <w:rsid w:val="00E30A42"/>
    <w:rsid w:val="00E31838"/>
    <w:rsid w:val="00E32839"/>
    <w:rsid w:val="00E33045"/>
    <w:rsid w:val="00E344AC"/>
    <w:rsid w:val="00E3577E"/>
    <w:rsid w:val="00E35808"/>
    <w:rsid w:val="00E37216"/>
    <w:rsid w:val="00E376C7"/>
    <w:rsid w:val="00E3784E"/>
    <w:rsid w:val="00E37A64"/>
    <w:rsid w:val="00E401EE"/>
    <w:rsid w:val="00E41B6D"/>
    <w:rsid w:val="00E43A29"/>
    <w:rsid w:val="00E4405A"/>
    <w:rsid w:val="00E4440E"/>
    <w:rsid w:val="00E44C23"/>
    <w:rsid w:val="00E46B4F"/>
    <w:rsid w:val="00E506C6"/>
    <w:rsid w:val="00E539EF"/>
    <w:rsid w:val="00E55215"/>
    <w:rsid w:val="00E557A9"/>
    <w:rsid w:val="00E568E1"/>
    <w:rsid w:val="00E56B44"/>
    <w:rsid w:val="00E579EA"/>
    <w:rsid w:val="00E57B27"/>
    <w:rsid w:val="00E6035C"/>
    <w:rsid w:val="00E6090F"/>
    <w:rsid w:val="00E6121A"/>
    <w:rsid w:val="00E656A6"/>
    <w:rsid w:val="00E65AAB"/>
    <w:rsid w:val="00E66B59"/>
    <w:rsid w:val="00E66DDF"/>
    <w:rsid w:val="00E67221"/>
    <w:rsid w:val="00E676D1"/>
    <w:rsid w:val="00E704EF"/>
    <w:rsid w:val="00E71B01"/>
    <w:rsid w:val="00E71F55"/>
    <w:rsid w:val="00E72D5F"/>
    <w:rsid w:val="00E74601"/>
    <w:rsid w:val="00E75894"/>
    <w:rsid w:val="00E758C7"/>
    <w:rsid w:val="00E7665E"/>
    <w:rsid w:val="00E7673E"/>
    <w:rsid w:val="00E76ECA"/>
    <w:rsid w:val="00E80C5E"/>
    <w:rsid w:val="00E80D2A"/>
    <w:rsid w:val="00E80E72"/>
    <w:rsid w:val="00E8110C"/>
    <w:rsid w:val="00E811E5"/>
    <w:rsid w:val="00E81CE6"/>
    <w:rsid w:val="00E829C1"/>
    <w:rsid w:val="00E82DDF"/>
    <w:rsid w:val="00E837E2"/>
    <w:rsid w:val="00E83C8A"/>
    <w:rsid w:val="00E83D56"/>
    <w:rsid w:val="00E845BA"/>
    <w:rsid w:val="00E845E9"/>
    <w:rsid w:val="00E85BB1"/>
    <w:rsid w:val="00E869E5"/>
    <w:rsid w:val="00E8758C"/>
    <w:rsid w:val="00E9079A"/>
    <w:rsid w:val="00E90D6E"/>
    <w:rsid w:val="00E9132A"/>
    <w:rsid w:val="00E91D8F"/>
    <w:rsid w:val="00E938F1"/>
    <w:rsid w:val="00E93EA2"/>
    <w:rsid w:val="00E93EF2"/>
    <w:rsid w:val="00E9405F"/>
    <w:rsid w:val="00E94AC5"/>
    <w:rsid w:val="00E94B0C"/>
    <w:rsid w:val="00E9680A"/>
    <w:rsid w:val="00E97ACC"/>
    <w:rsid w:val="00E97E80"/>
    <w:rsid w:val="00EA004E"/>
    <w:rsid w:val="00EA1441"/>
    <w:rsid w:val="00EA16EE"/>
    <w:rsid w:val="00EA2BBC"/>
    <w:rsid w:val="00EA4882"/>
    <w:rsid w:val="00EA64B7"/>
    <w:rsid w:val="00EA6D6C"/>
    <w:rsid w:val="00EA788C"/>
    <w:rsid w:val="00EA7D0D"/>
    <w:rsid w:val="00EB0199"/>
    <w:rsid w:val="00EB0453"/>
    <w:rsid w:val="00EB27B9"/>
    <w:rsid w:val="00EB3351"/>
    <w:rsid w:val="00EB39AA"/>
    <w:rsid w:val="00EB5D0F"/>
    <w:rsid w:val="00EB633D"/>
    <w:rsid w:val="00EB655E"/>
    <w:rsid w:val="00EB7186"/>
    <w:rsid w:val="00EB7D30"/>
    <w:rsid w:val="00EC0845"/>
    <w:rsid w:val="00EC1BA1"/>
    <w:rsid w:val="00EC1C44"/>
    <w:rsid w:val="00EC1D79"/>
    <w:rsid w:val="00EC42D0"/>
    <w:rsid w:val="00EC4511"/>
    <w:rsid w:val="00EC5072"/>
    <w:rsid w:val="00EC614F"/>
    <w:rsid w:val="00EC675C"/>
    <w:rsid w:val="00EC6CD9"/>
    <w:rsid w:val="00EC7A0F"/>
    <w:rsid w:val="00EC7DF4"/>
    <w:rsid w:val="00ED0222"/>
    <w:rsid w:val="00ED0786"/>
    <w:rsid w:val="00ED13B3"/>
    <w:rsid w:val="00ED1DF8"/>
    <w:rsid w:val="00ED208B"/>
    <w:rsid w:val="00ED20F1"/>
    <w:rsid w:val="00ED3147"/>
    <w:rsid w:val="00ED3C44"/>
    <w:rsid w:val="00ED55AB"/>
    <w:rsid w:val="00ED5B3B"/>
    <w:rsid w:val="00ED5D55"/>
    <w:rsid w:val="00ED6292"/>
    <w:rsid w:val="00ED6474"/>
    <w:rsid w:val="00EE05EE"/>
    <w:rsid w:val="00EE106D"/>
    <w:rsid w:val="00EE16D8"/>
    <w:rsid w:val="00EE1AB7"/>
    <w:rsid w:val="00EE2E9A"/>
    <w:rsid w:val="00EE315A"/>
    <w:rsid w:val="00EE3E8C"/>
    <w:rsid w:val="00EE4C07"/>
    <w:rsid w:val="00EE57A7"/>
    <w:rsid w:val="00EE6673"/>
    <w:rsid w:val="00EE7698"/>
    <w:rsid w:val="00EE780D"/>
    <w:rsid w:val="00EE786A"/>
    <w:rsid w:val="00EF10CB"/>
    <w:rsid w:val="00EF26D7"/>
    <w:rsid w:val="00EF304B"/>
    <w:rsid w:val="00EF3776"/>
    <w:rsid w:val="00EF4331"/>
    <w:rsid w:val="00EF43B1"/>
    <w:rsid w:val="00EF4B2B"/>
    <w:rsid w:val="00EF4F5D"/>
    <w:rsid w:val="00EF61AB"/>
    <w:rsid w:val="00EF7998"/>
    <w:rsid w:val="00EF7A57"/>
    <w:rsid w:val="00F00BDA"/>
    <w:rsid w:val="00F011B6"/>
    <w:rsid w:val="00F015E0"/>
    <w:rsid w:val="00F0243A"/>
    <w:rsid w:val="00F0287D"/>
    <w:rsid w:val="00F05005"/>
    <w:rsid w:val="00F05018"/>
    <w:rsid w:val="00F0554C"/>
    <w:rsid w:val="00F07100"/>
    <w:rsid w:val="00F07FEE"/>
    <w:rsid w:val="00F10036"/>
    <w:rsid w:val="00F1061C"/>
    <w:rsid w:val="00F116EF"/>
    <w:rsid w:val="00F11A39"/>
    <w:rsid w:val="00F12893"/>
    <w:rsid w:val="00F13AF4"/>
    <w:rsid w:val="00F13DF1"/>
    <w:rsid w:val="00F14FC0"/>
    <w:rsid w:val="00F153C4"/>
    <w:rsid w:val="00F15CA0"/>
    <w:rsid w:val="00F16569"/>
    <w:rsid w:val="00F1750B"/>
    <w:rsid w:val="00F21894"/>
    <w:rsid w:val="00F22E14"/>
    <w:rsid w:val="00F22FD6"/>
    <w:rsid w:val="00F23E77"/>
    <w:rsid w:val="00F23EF9"/>
    <w:rsid w:val="00F25853"/>
    <w:rsid w:val="00F26083"/>
    <w:rsid w:val="00F26657"/>
    <w:rsid w:val="00F26AB4"/>
    <w:rsid w:val="00F26C98"/>
    <w:rsid w:val="00F27A74"/>
    <w:rsid w:val="00F30774"/>
    <w:rsid w:val="00F311DB"/>
    <w:rsid w:val="00F32B87"/>
    <w:rsid w:val="00F32DF4"/>
    <w:rsid w:val="00F32FF9"/>
    <w:rsid w:val="00F336C8"/>
    <w:rsid w:val="00F33C06"/>
    <w:rsid w:val="00F33D2A"/>
    <w:rsid w:val="00F34511"/>
    <w:rsid w:val="00F3544E"/>
    <w:rsid w:val="00F35C82"/>
    <w:rsid w:val="00F3759F"/>
    <w:rsid w:val="00F37E2B"/>
    <w:rsid w:val="00F41000"/>
    <w:rsid w:val="00F426ED"/>
    <w:rsid w:val="00F43700"/>
    <w:rsid w:val="00F459D2"/>
    <w:rsid w:val="00F45F5E"/>
    <w:rsid w:val="00F476EE"/>
    <w:rsid w:val="00F47D90"/>
    <w:rsid w:val="00F50B89"/>
    <w:rsid w:val="00F50EE8"/>
    <w:rsid w:val="00F51AA4"/>
    <w:rsid w:val="00F51DAC"/>
    <w:rsid w:val="00F5206D"/>
    <w:rsid w:val="00F52392"/>
    <w:rsid w:val="00F52A3A"/>
    <w:rsid w:val="00F52E8A"/>
    <w:rsid w:val="00F54E94"/>
    <w:rsid w:val="00F54FB8"/>
    <w:rsid w:val="00F5510F"/>
    <w:rsid w:val="00F554D7"/>
    <w:rsid w:val="00F554EE"/>
    <w:rsid w:val="00F55C41"/>
    <w:rsid w:val="00F5659E"/>
    <w:rsid w:val="00F60914"/>
    <w:rsid w:val="00F6130C"/>
    <w:rsid w:val="00F61E80"/>
    <w:rsid w:val="00F62A3A"/>
    <w:rsid w:val="00F633D5"/>
    <w:rsid w:val="00F64718"/>
    <w:rsid w:val="00F6481B"/>
    <w:rsid w:val="00F65074"/>
    <w:rsid w:val="00F65448"/>
    <w:rsid w:val="00F65B79"/>
    <w:rsid w:val="00F65D7B"/>
    <w:rsid w:val="00F67C36"/>
    <w:rsid w:val="00F70BED"/>
    <w:rsid w:val="00F70F32"/>
    <w:rsid w:val="00F716B1"/>
    <w:rsid w:val="00F71733"/>
    <w:rsid w:val="00F721D5"/>
    <w:rsid w:val="00F73C9A"/>
    <w:rsid w:val="00F7530C"/>
    <w:rsid w:val="00F76140"/>
    <w:rsid w:val="00F77160"/>
    <w:rsid w:val="00F77930"/>
    <w:rsid w:val="00F816BA"/>
    <w:rsid w:val="00F823A2"/>
    <w:rsid w:val="00F82AF3"/>
    <w:rsid w:val="00F82BD7"/>
    <w:rsid w:val="00F82CA9"/>
    <w:rsid w:val="00F842DF"/>
    <w:rsid w:val="00F848E1"/>
    <w:rsid w:val="00F84BB6"/>
    <w:rsid w:val="00F8524C"/>
    <w:rsid w:val="00F85EEA"/>
    <w:rsid w:val="00F8773F"/>
    <w:rsid w:val="00F90A1C"/>
    <w:rsid w:val="00F90D2F"/>
    <w:rsid w:val="00F92FBE"/>
    <w:rsid w:val="00F9346D"/>
    <w:rsid w:val="00F9590B"/>
    <w:rsid w:val="00F95A6C"/>
    <w:rsid w:val="00F95BCA"/>
    <w:rsid w:val="00F96CBF"/>
    <w:rsid w:val="00F97369"/>
    <w:rsid w:val="00F977D5"/>
    <w:rsid w:val="00FA0D19"/>
    <w:rsid w:val="00FA35FA"/>
    <w:rsid w:val="00FA3B6C"/>
    <w:rsid w:val="00FA483B"/>
    <w:rsid w:val="00FA4915"/>
    <w:rsid w:val="00FA5610"/>
    <w:rsid w:val="00FA5DAD"/>
    <w:rsid w:val="00FA697B"/>
    <w:rsid w:val="00FA7DD2"/>
    <w:rsid w:val="00FB1115"/>
    <w:rsid w:val="00FB1375"/>
    <w:rsid w:val="00FB27C6"/>
    <w:rsid w:val="00FB4330"/>
    <w:rsid w:val="00FB4BFC"/>
    <w:rsid w:val="00FB5825"/>
    <w:rsid w:val="00FB6D66"/>
    <w:rsid w:val="00FB7E0E"/>
    <w:rsid w:val="00FC081D"/>
    <w:rsid w:val="00FC0BFC"/>
    <w:rsid w:val="00FC1949"/>
    <w:rsid w:val="00FC2017"/>
    <w:rsid w:val="00FC294C"/>
    <w:rsid w:val="00FC3557"/>
    <w:rsid w:val="00FC35EF"/>
    <w:rsid w:val="00FC41EF"/>
    <w:rsid w:val="00FC5CDE"/>
    <w:rsid w:val="00FC62D7"/>
    <w:rsid w:val="00FD03B0"/>
    <w:rsid w:val="00FD1569"/>
    <w:rsid w:val="00FD231C"/>
    <w:rsid w:val="00FD2DF6"/>
    <w:rsid w:val="00FD351B"/>
    <w:rsid w:val="00FD3B2B"/>
    <w:rsid w:val="00FD3FD5"/>
    <w:rsid w:val="00FD4065"/>
    <w:rsid w:val="00FD4107"/>
    <w:rsid w:val="00FD4B30"/>
    <w:rsid w:val="00FD6200"/>
    <w:rsid w:val="00FD7973"/>
    <w:rsid w:val="00FD7B22"/>
    <w:rsid w:val="00FE08D4"/>
    <w:rsid w:val="00FE0A6C"/>
    <w:rsid w:val="00FE0CD9"/>
    <w:rsid w:val="00FE10B9"/>
    <w:rsid w:val="00FE43C9"/>
    <w:rsid w:val="00FE48F2"/>
    <w:rsid w:val="00FE4CBF"/>
    <w:rsid w:val="00FE5221"/>
    <w:rsid w:val="00FE718D"/>
    <w:rsid w:val="00FE7BC2"/>
    <w:rsid w:val="00FE7C74"/>
    <w:rsid w:val="00FE7DD3"/>
    <w:rsid w:val="00FE7E88"/>
    <w:rsid w:val="00FF04D0"/>
    <w:rsid w:val="00FF0EAC"/>
    <w:rsid w:val="00FF119A"/>
    <w:rsid w:val="00FF1DCE"/>
    <w:rsid w:val="00FF206D"/>
    <w:rsid w:val="00FF2EBC"/>
    <w:rsid w:val="00FF3417"/>
    <w:rsid w:val="00FF4FA3"/>
    <w:rsid w:val="00FF531C"/>
    <w:rsid w:val="00FF53AC"/>
    <w:rsid w:val="00FF573D"/>
    <w:rsid w:val="00FF620C"/>
    <w:rsid w:val="00FF68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1381"/>
    <w:pPr>
      <w:keepLines/>
      <w:spacing w:after="240" w:line="260" w:lineRule="exact"/>
      <w:jc w:val="both"/>
    </w:pPr>
    <w:rPr>
      <w:rFonts w:ascii="Book Antiqua" w:hAnsi="Book Antiqua"/>
    </w:rPr>
  </w:style>
  <w:style w:type="paragraph" w:styleId="Heading1">
    <w:name w:val="heading 1"/>
    <w:basedOn w:val="Normal"/>
    <w:next w:val="Normal"/>
    <w:link w:val="Heading1Char"/>
    <w:qFormat/>
    <w:rsid w:val="00F51DAC"/>
    <w:pPr>
      <w:keepNext/>
      <w:spacing w:line="240" w:lineRule="auto"/>
      <w:jc w:val="center"/>
      <w:outlineLvl w:val="0"/>
    </w:pPr>
    <w:rPr>
      <w:rFonts w:ascii="Arial" w:hAnsi="Arial"/>
      <w:b/>
      <w:smallCaps/>
      <w:kern w:val="28"/>
      <w:sz w:val="34"/>
    </w:rPr>
  </w:style>
  <w:style w:type="paragraph" w:styleId="Heading2">
    <w:name w:val="heading 2"/>
    <w:basedOn w:val="Normal"/>
    <w:next w:val="Normal"/>
    <w:link w:val="Heading2Char"/>
    <w:qFormat/>
    <w:rsid w:val="00F51DAC"/>
    <w:pPr>
      <w:keepNext/>
      <w:spacing w:before="360" w:after="360" w:line="240" w:lineRule="auto"/>
      <w:jc w:val="left"/>
      <w:outlineLvl w:val="1"/>
    </w:pPr>
    <w:rPr>
      <w:rFonts w:ascii="Arial" w:hAnsi="Arial"/>
      <w:sz w:val="30"/>
    </w:rPr>
  </w:style>
  <w:style w:type="paragraph" w:styleId="Heading3">
    <w:name w:val="heading 3"/>
    <w:basedOn w:val="Normal"/>
    <w:next w:val="Normal"/>
    <w:link w:val="Heading3Char"/>
    <w:qFormat/>
    <w:rsid w:val="00F51DAC"/>
    <w:pPr>
      <w:keepNext/>
      <w:tabs>
        <w:tab w:val="left" w:pos="709"/>
      </w:tabs>
      <w:spacing w:before="240" w:line="240" w:lineRule="auto"/>
      <w:jc w:val="left"/>
      <w:outlineLvl w:val="2"/>
    </w:pPr>
    <w:rPr>
      <w:rFonts w:ascii="Arial" w:hAnsi="Arial"/>
      <w:b/>
      <w:smallCaps/>
      <w:sz w:val="26"/>
    </w:rPr>
  </w:style>
  <w:style w:type="paragraph" w:styleId="Heading4">
    <w:name w:val="heading 4"/>
    <w:basedOn w:val="Normal"/>
    <w:next w:val="Normal"/>
    <w:link w:val="Heading4Char"/>
    <w:qFormat/>
    <w:rsid w:val="003608C9"/>
    <w:pPr>
      <w:keepNext/>
      <w:spacing w:before="120" w:after="120" w:line="240" w:lineRule="auto"/>
      <w:jc w:val="left"/>
      <w:outlineLvl w:val="3"/>
    </w:pPr>
    <w:rPr>
      <w:rFonts w:ascii="Arial" w:hAnsi="Arial"/>
      <w:b/>
      <w:bCs/>
      <w:sz w:val="22"/>
    </w:rPr>
  </w:style>
  <w:style w:type="paragraph" w:styleId="Heading5">
    <w:name w:val="heading 5"/>
    <w:basedOn w:val="Normal"/>
    <w:next w:val="Normal"/>
    <w:link w:val="Heading5Char1"/>
    <w:qFormat/>
    <w:rsid w:val="00335776"/>
    <w:pPr>
      <w:spacing w:before="120" w:after="0"/>
      <w:outlineLvl w:val="4"/>
    </w:pPr>
    <w:rPr>
      <w:rFonts w:ascii="Arial" w:hAnsi="Arial"/>
      <w:b/>
      <w:bCs/>
      <w:iCs/>
      <w:sz w:val="22"/>
      <w:szCs w:val="26"/>
    </w:rPr>
  </w:style>
  <w:style w:type="paragraph" w:styleId="Heading6">
    <w:name w:val="heading 6"/>
    <w:basedOn w:val="ProgramHeading1"/>
    <w:next w:val="Normal"/>
    <w:link w:val="Heading6Char1"/>
    <w:qFormat/>
    <w:rsid w:val="008F6A0E"/>
    <w:pPr>
      <w:outlineLvl w:val="5"/>
    </w:pPr>
  </w:style>
  <w:style w:type="paragraph" w:styleId="Heading7">
    <w:name w:val="heading 7"/>
    <w:basedOn w:val="ProgramHeading2"/>
    <w:next w:val="Normal"/>
    <w:link w:val="Heading7Char"/>
    <w:qFormat/>
    <w:rsid w:val="005D6D56"/>
    <w:pPr>
      <w:outlineLvl w:val="6"/>
    </w:pPr>
  </w:style>
  <w:style w:type="paragraph" w:styleId="Heading8">
    <w:name w:val="heading 8"/>
    <w:basedOn w:val="ProgramHeading3"/>
    <w:next w:val="Normal"/>
    <w:link w:val="Heading8Char"/>
    <w:qFormat/>
    <w:rsid w:val="005D6D56"/>
    <w:pPr>
      <w:outlineLvl w:val="7"/>
    </w:pPr>
  </w:style>
  <w:style w:type="paragraph" w:styleId="Heading9">
    <w:name w:val="heading 9"/>
    <w:basedOn w:val="Normal"/>
    <w:next w:val="Normal"/>
    <w:link w:val="Heading9Char"/>
    <w:qFormat/>
    <w:rsid w:val="0083606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51DAC"/>
    <w:rPr>
      <w:rFonts w:ascii="Arial" w:hAnsi="Arial" w:cs="Times New Roman"/>
      <w:b/>
      <w:smallCaps/>
      <w:kern w:val="28"/>
      <w:sz w:val="20"/>
      <w:szCs w:val="20"/>
      <w:lang w:val="x-none" w:eastAsia="en-AU"/>
    </w:rPr>
  </w:style>
  <w:style w:type="character" w:customStyle="1" w:styleId="Heading2Char">
    <w:name w:val="Heading 2 Char"/>
    <w:link w:val="Heading2"/>
    <w:locked/>
    <w:rsid w:val="00F51DAC"/>
    <w:rPr>
      <w:rFonts w:ascii="Arial" w:hAnsi="Arial" w:cs="Times New Roman"/>
      <w:sz w:val="20"/>
      <w:szCs w:val="20"/>
      <w:lang w:val="x-none" w:eastAsia="en-AU"/>
    </w:rPr>
  </w:style>
  <w:style w:type="character" w:customStyle="1" w:styleId="Heading3Char">
    <w:name w:val="Heading 3 Char"/>
    <w:link w:val="Heading3"/>
    <w:locked/>
    <w:rsid w:val="00F51DAC"/>
    <w:rPr>
      <w:rFonts w:ascii="Arial" w:hAnsi="Arial" w:cs="Times New Roman"/>
      <w:b/>
      <w:smallCaps/>
      <w:sz w:val="20"/>
      <w:szCs w:val="20"/>
      <w:lang w:val="x-none" w:eastAsia="en-AU"/>
    </w:rPr>
  </w:style>
  <w:style w:type="character" w:customStyle="1" w:styleId="Heading4Char">
    <w:name w:val="Heading 4 Char"/>
    <w:link w:val="Heading4"/>
    <w:locked/>
    <w:rsid w:val="003608C9"/>
    <w:rPr>
      <w:rFonts w:ascii="Arial" w:hAnsi="Arial"/>
      <w:b/>
      <w:bCs/>
      <w:sz w:val="22"/>
    </w:rPr>
  </w:style>
  <w:style w:type="character" w:customStyle="1" w:styleId="Heading5Char">
    <w:name w:val="Heading 5 Char"/>
    <w:locked/>
    <w:rsid w:val="00BD73EB"/>
    <w:rPr>
      <w:rFonts w:ascii="Arial" w:hAnsi="Arial"/>
      <w:b/>
      <w:bCs/>
      <w:iCs/>
      <w:szCs w:val="26"/>
    </w:rPr>
  </w:style>
  <w:style w:type="character" w:customStyle="1" w:styleId="Heading6Char">
    <w:name w:val="Heading 6 Char"/>
    <w:locked/>
    <w:rsid w:val="00D413A5"/>
    <w:rPr>
      <w:rFonts w:ascii="Arial" w:hAnsi="Arial"/>
      <w:iCs/>
    </w:rPr>
  </w:style>
  <w:style w:type="character" w:customStyle="1" w:styleId="Heading7Char">
    <w:name w:val="Heading 7 Char"/>
    <w:link w:val="Heading7"/>
    <w:locked/>
    <w:rsid w:val="005D6D56"/>
    <w:rPr>
      <w:rFonts w:ascii="Arial" w:hAnsi="Arial"/>
      <w:b/>
      <w:lang w:val="en-GB"/>
    </w:rPr>
  </w:style>
  <w:style w:type="character" w:customStyle="1" w:styleId="Heading8Char">
    <w:name w:val="Heading 8 Char"/>
    <w:link w:val="Heading8"/>
    <w:locked/>
    <w:rsid w:val="005D6D56"/>
    <w:rPr>
      <w:rFonts w:ascii="Book Antiqua" w:hAnsi="Book Antiqua"/>
      <w:b/>
      <w:lang w:val="en-GB"/>
    </w:rPr>
  </w:style>
  <w:style w:type="character" w:customStyle="1" w:styleId="Heading9Char">
    <w:name w:val="Heading 9 Char"/>
    <w:link w:val="Heading9"/>
    <w:semiHidden/>
    <w:locked/>
    <w:rsid w:val="007B1BEA"/>
    <w:rPr>
      <w:rFonts w:ascii="Cambria" w:hAnsi="Cambria" w:cs="Times New Roman"/>
    </w:rPr>
  </w:style>
  <w:style w:type="paragraph" w:customStyle="1" w:styleId="TableColumnHeadingCentred">
    <w:name w:val="Table Column Heading Centred"/>
    <w:basedOn w:val="Normal"/>
    <w:rsid w:val="00F50B89"/>
    <w:pPr>
      <w:spacing w:before="60" w:after="60"/>
      <w:jc w:val="center"/>
    </w:pPr>
    <w:rPr>
      <w:rFonts w:ascii="Arial" w:hAnsi="Arial"/>
      <w:b/>
      <w:color w:val="000000"/>
      <w:sz w:val="16"/>
    </w:rPr>
  </w:style>
  <w:style w:type="paragraph" w:customStyle="1" w:styleId="TableColumnHeadingLeft">
    <w:name w:val="Table Column Heading Left"/>
    <w:basedOn w:val="Normal"/>
    <w:autoRedefine/>
    <w:rsid w:val="00836759"/>
    <w:pPr>
      <w:spacing w:before="60" w:after="60" w:line="240" w:lineRule="auto"/>
    </w:pPr>
    <w:rPr>
      <w:rFonts w:ascii="Arial" w:hAnsi="Arial"/>
      <w:b/>
      <w:color w:val="000000"/>
    </w:rPr>
  </w:style>
  <w:style w:type="paragraph" w:customStyle="1" w:styleId="TableColumnHeadingRight">
    <w:name w:val="Table Column Heading Right"/>
    <w:basedOn w:val="Normal"/>
    <w:link w:val="TableColumnHeadingRightChar"/>
    <w:rsid w:val="00F50B89"/>
    <w:pPr>
      <w:spacing w:before="60" w:after="60"/>
      <w:jc w:val="right"/>
    </w:pPr>
    <w:rPr>
      <w:rFonts w:ascii="Arial" w:hAnsi="Arial"/>
      <w:b/>
      <w:color w:val="000000"/>
      <w:sz w:val="16"/>
    </w:rPr>
  </w:style>
  <w:style w:type="character" w:customStyle="1" w:styleId="TableColumnHeadingRightChar">
    <w:name w:val="Table Column Heading Right Char"/>
    <w:link w:val="TableColumnHeadingRight"/>
    <w:locked/>
    <w:rsid w:val="00F50B89"/>
    <w:rPr>
      <w:rFonts w:ascii="Arial" w:hAnsi="Arial" w:cs="Times New Roman"/>
      <w:b/>
      <w:color w:val="000000"/>
      <w:sz w:val="20"/>
      <w:szCs w:val="20"/>
      <w:lang w:val="x-none" w:eastAsia="en-AU"/>
    </w:rPr>
  </w:style>
  <w:style w:type="paragraph" w:customStyle="1" w:styleId="Heading3ptafter">
    <w:name w:val="Heading 3 pt after"/>
    <w:basedOn w:val="Normal"/>
    <w:rsid w:val="0096764F"/>
    <w:pPr>
      <w:spacing w:after="60"/>
      <w:jc w:val="left"/>
    </w:pPr>
    <w:rPr>
      <w:rFonts w:ascii="Arial" w:hAnsi="Arial"/>
      <w:bCs/>
      <w:i/>
      <w:iCs/>
      <w:szCs w:val="22"/>
    </w:rPr>
  </w:style>
  <w:style w:type="paragraph" w:customStyle="1" w:styleId="ChartandTableFootnoteAlpha">
    <w:name w:val="Chart and Table Footnote Alpha"/>
    <w:basedOn w:val="Normal"/>
    <w:next w:val="Normal"/>
    <w:rsid w:val="00AA5656"/>
    <w:pPr>
      <w:keepNext/>
      <w:spacing w:after="0"/>
      <w:ind w:left="360" w:hanging="360"/>
    </w:pPr>
    <w:rPr>
      <w:rFonts w:ascii="Arial" w:hAnsi="Arial"/>
      <w:sz w:val="16"/>
    </w:rPr>
  </w:style>
  <w:style w:type="paragraph" w:styleId="Title">
    <w:name w:val="Title"/>
    <w:basedOn w:val="Normal"/>
    <w:link w:val="TitleChar"/>
    <w:qFormat/>
    <w:rsid w:val="005F3DC1"/>
    <w:pPr>
      <w:spacing w:after="0"/>
      <w:jc w:val="center"/>
      <w:outlineLvl w:val="0"/>
    </w:pPr>
    <w:rPr>
      <w:rFonts w:ascii="Arial" w:hAnsi="Arial" w:cs="Arial"/>
      <w:b/>
      <w:bCs/>
      <w:caps/>
      <w:kern w:val="28"/>
      <w:sz w:val="52"/>
      <w:szCs w:val="32"/>
    </w:rPr>
  </w:style>
  <w:style w:type="character" w:customStyle="1" w:styleId="TitleChar">
    <w:name w:val="Title Char"/>
    <w:link w:val="Title"/>
    <w:locked/>
    <w:rsid w:val="005F3DC1"/>
    <w:rPr>
      <w:rFonts w:ascii="Arial" w:hAnsi="Arial" w:cs="Arial"/>
      <w:b/>
      <w:bCs/>
      <w:caps/>
      <w:kern w:val="28"/>
      <w:sz w:val="32"/>
      <w:szCs w:val="32"/>
      <w:lang w:val="x-none" w:eastAsia="en-AU"/>
    </w:rPr>
  </w:style>
  <w:style w:type="paragraph" w:customStyle="1" w:styleId="Department">
    <w:name w:val="Department"/>
    <w:basedOn w:val="Normal"/>
    <w:rsid w:val="005F3DC1"/>
    <w:pPr>
      <w:spacing w:after="0"/>
      <w:jc w:val="left"/>
    </w:pPr>
    <w:rPr>
      <w:rFonts w:ascii="Arial" w:hAnsi="Arial"/>
      <w:b/>
      <w:sz w:val="52"/>
    </w:rPr>
  </w:style>
  <w:style w:type="paragraph" w:styleId="TOC2">
    <w:name w:val="toc 2"/>
    <w:basedOn w:val="Normal"/>
    <w:next w:val="Normal"/>
    <w:autoRedefine/>
    <w:rsid w:val="00D1795B"/>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F51DAC"/>
    <w:pPr>
      <w:keepNext/>
      <w:spacing w:after="0" w:line="240" w:lineRule="auto"/>
      <w:jc w:val="center"/>
    </w:pPr>
    <w:rPr>
      <w:rFonts w:ascii="Arial" w:hAnsi="Arial"/>
    </w:rPr>
  </w:style>
  <w:style w:type="paragraph" w:customStyle="1" w:styleId="TableHeading">
    <w:name w:val="Table Heading"/>
    <w:basedOn w:val="Normal"/>
    <w:next w:val="TableGraphic"/>
    <w:link w:val="TableHeadingChar"/>
    <w:rsid w:val="0040519B"/>
    <w:pPr>
      <w:keepNext/>
      <w:spacing w:before="240" w:after="20" w:line="240" w:lineRule="auto"/>
      <w:jc w:val="left"/>
    </w:pPr>
    <w:rPr>
      <w:rFonts w:ascii="Arial" w:hAnsi="Arial"/>
      <w:b/>
    </w:rPr>
  </w:style>
  <w:style w:type="paragraph" w:styleId="TOC1">
    <w:name w:val="toc 1"/>
    <w:basedOn w:val="Normal"/>
    <w:next w:val="Normal"/>
    <w:autoRedefine/>
    <w:rsid w:val="00D1795B"/>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uiPriority w:val="99"/>
    <w:rsid w:val="00F51DAC"/>
    <w:pPr>
      <w:tabs>
        <w:tab w:val="center" w:pos="4153"/>
        <w:tab w:val="right" w:pos="8306"/>
      </w:tabs>
      <w:spacing w:after="0" w:line="240" w:lineRule="auto"/>
      <w:jc w:val="left"/>
    </w:pPr>
    <w:rPr>
      <w:i/>
    </w:rPr>
  </w:style>
  <w:style w:type="character" w:customStyle="1" w:styleId="HeaderChar">
    <w:name w:val="Header Char"/>
    <w:link w:val="Header"/>
    <w:uiPriority w:val="99"/>
    <w:locked/>
    <w:rsid w:val="00F51DAC"/>
    <w:rPr>
      <w:rFonts w:ascii="Book Antiqua" w:hAnsi="Book Antiqua" w:cs="Times New Roman"/>
      <w:i/>
      <w:sz w:val="20"/>
      <w:szCs w:val="20"/>
      <w:lang w:val="x-none" w:eastAsia="en-AU"/>
    </w:rPr>
  </w:style>
  <w:style w:type="paragraph" w:styleId="Footer">
    <w:name w:val="footer"/>
    <w:basedOn w:val="Normal"/>
    <w:link w:val="FooterChar"/>
    <w:uiPriority w:val="99"/>
    <w:rsid w:val="00F51DAC"/>
    <w:pPr>
      <w:tabs>
        <w:tab w:val="center" w:pos="4153"/>
        <w:tab w:val="right" w:pos="8306"/>
      </w:tabs>
      <w:spacing w:after="0" w:line="240" w:lineRule="auto"/>
      <w:jc w:val="center"/>
    </w:pPr>
    <w:rPr>
      <w:rFonts w:ascii="Arial" w:hAnsi="Arial"/>
    </w:rPr>
  </w:style>
  <w:style w:type="character" w:customStyle="1" w:styleId="FooterChar">
    <w:name w:val="Footer Char"/>
    <w:link w:val="Footer"/>
    <w:uiPriority w:val="99"/>
    <w:locked/>
    <w:rsid w:val="00F51DAC"/>
    <w:rPr>
      <w:rFonts w:ascii="Arial" w:hAnsi="Arial" w:cs="Times New Roman"/>
      <w:sz w:val="20"/>
      <w:szCs w:val="20"/>
      <w:lang w:val="x-none" w:eastAsia="en-AU"/>
    </w:rPr>
  </w:style>
  <w:style w:type="character" w:styleId="PageNumber">
    <w:name w:val="page number"/>
    <w:rsid w:val="00F51DAC"/>
    <w:rPr>
      <w:rFonts w:ascii="Arial" w:hAnsi="Arial" w:cs="Arial"/>
    </w:rPr>
  </w:style>
  <w:style w:type="paragraph" w:customStyle="1" w:styleId="ContentsHeading">
    <w:name w:val="Contents Heading"/>
    <w:basedOn w:val="Normal"/>
    <w:next w:val="Normal"/>
    <w:rsid w:val="00F51DAC"/>
    <w:pPr>
      <w:keepNext/>
      <w:spacing w:after="360" w:line="240" w:lineRule="auto"/>
      <w:jc w:val="center"/>
    </w:pPr>
    <w:rPr>
      <w:rFonts w:ascii="Arial" w:hAnsi="Arial"/>
      <w:b/>
      <w:smallCaps/>
      <w:sz w:val="34"/>
    </w:rPr>
  </w:style>
  <w:style w:type="paragraph" w:customStyle="1" w:styleId="SinglePara">
    <w:name w:val="Single Para"/>
    <w:basedOn w:val="Normal"/>
    <w:rsid w:val="00476B2B"/>
    <w:pPr>
      <w:spacing w:after="0"/>
      <w:jc w:val="left"/>
    </w:pPr>
    <w:rPr>
      <w:sz w:val="16"/>
    </w:rPr>
  </w:style>
  <w:style w:type="paragraph" w:customStyle="1" w:styleId="ExampleText">
    <w:name w:val="Example Text"/>
    <w:basedOn w:val="Normal"/>
    <w:rsid w:val="00F51DAC"/>
    <w:pPr>
      <w:jc w:val="left"/>
    </w:pPr>
    <w:rPr>
      <w:i/>
      <w:color w:val="FF0000"/>
    </w:rPr>
  </w:style>
  <w:style w:type="paragraph" w:customStyle="1" w:styleId="HeaderEven">
    <w:name w:val="Header Even"/>
    <w:basedOn w:val="Normal"/>
    <w:uiPriority w:val="99"/>
    <w:rsid w:val="00F51DAC"/>
    <w:pPr>
      <w:spacing w:after="0" w:line="240" w:lineRule="auto"/>
      <w:jc w:val="left"/>
    </w:pPr>
    <w:rPr>
      <w:i/>
    </w:rPr>
  </w:style>
  <w:style w:type="paragraph" w:customStyle="1" w:styleId="HeaderOdd">
    <w:name w:val="Header Odd"/>
    <w:basedOn w:val="Normal"/>
    <w:uiPriority w:val="99"/>
    <w:rsid w:val="00F51DAC"/>
    <w:pPr>
      <w:spacing w:after="0" w:line="240" w:lineRule="auto"/>
      <w:jc w:val="right"/>
    </w:pPr>
    <w:rPr>
      <w:i/>
    </w:rPr>
  </w:style>
  <w:style w:type="paragraph" w:customStyle="1" w:styleId="OverviewParagraph">
    <w:name w:val="Overview Paragraph"/>
    <w:basedOn w:val="Normal"/>
    <w:link w:val="OverviewParagraphChar"/>
    <w:semiHidden/>
    <w:rsid w:val="00F51DAC"/>
    <w:pPr>
      <w:spacing w:before="120" w:after="120" w:line="240" w:lineRule="auto"/>
    </w:pPr>
  </w:style>
  <w:style w:type="paragraph" w:customStyle="1" w:styleId="SingleParagraph">
    <w:name w:val="Single Paragraph"/>
    <w:basedOn w:val="Normal"/>
    <w:rsid w:val="00F51DAC"/>
    <w:pPr>
      <w:spacing w:after="0"/>
    </w:pPr>
  </w:style>
  <w:style w:type="paragraph" w:customStyle="1" w:styleId="PartHeading">
    <w:name w:val="Part Heading"/>
    <w:basedOn w:val="Normal"/>
    <w:next w:val="Normal"/>
    <w:rsid w:val="00A15CAC"/>
    <w:pPr>
      <w:spacing w:before="240" w:line="240" w:lineRule="auto"/>
      <w:jc w:val="center"/>
    </w:pPr>
    <w:rPr>
      <w:rFonts w:ascii="Arial Bold" w:hAnsi="Arial Bold" w:cs="Arial"/>
      <w:b/>
      <w:smallCaps/>
      <w:sz w:val="52"/>
    </w:rPr>
  </w:style>
  <w:style w:type="paragraph" w:customStyle="1" w:styleId="Tabletextjustified">
    <w:name w:val="Table text justified"/>
    <w:basedOn w:val="Normal"/>
    <w:semiHidden/>
    <w:rsid w:val="00F51DAC"/>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F51DAC"/>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F51DAC"/>
    <w:pPr>
      <w:spacing w:before="100" w:after="100" w:line="250" w:lineRule="exact"/>
    </w:pPr>
  </w:style>
  <w:style w:type="character" w:customStyle="1" w:styleId="OverviewParagraphChar">
    <w:name w:val="Overview Paragraph Char"/>
    <w:link w:val="OverviewParagraph"/>
    <w:semiHidden/>
    <w:locked/>
    <w:rsid w:val="00F51DAC"/>
    <w:rPr>
      <w:rFonts w:ascii="Book Antiqua" w:hAnsi="Book Antiqua" w:cs="Times New Roman"/>
      <w:sz w:val="20"/>
      <w:szCs w:val="20"/>
      <w:lang w:val="x-none" w:eastAsia="en-AU"/>
    </w:rPr>
  </w:style>
  <w:style w:type="paragraph" w:customStyle="1" w:styleId="Area">
    <w:name w:val="Area"/>
    <w:basedOn w:val="Normal"/>
    <w:rsid w:val="00F51DAC"/>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F51DAC"/>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uiPriority w:val="99"/>
    <w:rsid w:val="00660127"/>
    <w:pPr>
      <w:spacing w:line="240" w:lineRule="auto"/>
      <w:ind w:right="-113"/>
    </w:pPr>
    <w:rPr>
      <w:i/>
      <w:color w:val="FF0000"/>
    </w:rPr>
  </w:style>
  <w:style w:type="paragraph" w:customStyle="1" w:styleId="Exampletext0">
    <w:name w:val="Example text"/>
    <w:basedOn w:val="Normal"/>
    <w:link w:val="ExampletextCharChar"/>
    <w:rsid w:val="00F51DAC"/>
    <w:rPr>
      <w:i/>
      <w:color w:val="FF0000"/>
    </w:rPr>
  </w:style>
  <w:style w:type="character" w:customStyle="1" w:styleId="ExampletextCharChar">
    <w:name w:val="Example text Char Char"/>
    <w:link w:val="Exampletext0"/>
    <w:locked/>
    <w:rsid w:val="00F51DAC"/>
    <w:rPr>
      <w:rFonts w:ascii="Book Antiqua" w:hAnsi="Book Antiqua" w:cs="Times New Roman"/>
      <w:i/>
      <w:color w:val="FF0000"/>
      <w:sz w:val="20"/>
      <w:szCs w:val="20"/>
      <w:lang w:val="x-none" w:eastAsia="en-AU"/>
    </w:rPr>
  </w:style>
  <w:style w:type="paragraph" w:customStyle="1" w:styleId="Source">
    <w:name w:val="Source"/>
    <w:basedOn w:val="Normal"/>
    <w:uiPriority w:val="99"/>
    <w:rsid w:val="00F51DAC"/>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1015C2"/>
    <w:pPr>
      <w:keepNext/>
      <w:spacing w:after="120" w:line="240" w:lineRule="auto"/>
      <w:jc w:val="left"/>
    </w:pPr>
    <w:rPr>
      <w:rFonts w:ascii="Arial" w:hAnsi="Arial"/>
      <w:b/>
    </w:rPr>
  </w:style>
  <w:style w:type="paragraph" w:customStyle="1" w:styleId="ChartandTableFootnote">
    <w:name w:val="Chart and Table Footnote"/>
    <w:basedOn w:val="Normal"/>
    <w:next w:val="Normal"/>
    <w:link w:val="ChartandTableFootnoteChar"/>
    <w:rsid w:val="00F51DAC"/>
    <w:pPr>
      <w:tabs>
        <w:tab w:val="left" w:pos="284"/>
      </w:tabs>
      <w:spacing w:after="0" w:line="240" w:lineRule="auto"/>
      <w:ind w:left="284" w:hanging="284"/>
    </w:pPr>
    <w:rPr>
      <w:rFonts w:ascii="Arial" w:hAnsi="Arial"/>
      <w:sz w:val="16"/>
    </w:rPr>
  </w:style>
  <w:style w:type="character" w:customStyle="1" w:styleId="TableHeadingChar">
    <w:name w:val="Table Heading Char"/>
    <w:link w:val="TableHeading"/>
    <w:locked/>
    <w:rsid w:val="0040519B"/>
    <w:rPr>
      <w:rFonts w:ascii="Arial" w:hAnsi="Arial"/>
      <w:b/>
    </w:rPr>
  </w:style>
  <w:style w:type="paragraph" w:customStyle="1" w:styleId="TPHeading1">
    <w:name w:val="TP Heading 1"/>
    <w:basedOn w:val="Normal"/>
    <w:rsid w:val="00F51DAC"/>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F51DAC"/>
    <w:pPr>
      <w:keepNext/>
      <w:spacing w:after="0" w:line="240" w:lineRule="auto"/>
      <w:ind w:left="1418"/>
      <w:jc w:val="left"/>
    </w:pPr>
    <w:rPr>
      <w:rFonts w:ascii="Arial" w:hAnsi="Arial" w:cs="Arial"/>
      <w:caps/>
      <w:sz w:val="24"/>
    </w:rPr>
  </w:style>
  <w:style w:type="paragraph" w:customStyle="1" w:styleId="TPHeading2">
    <w:name w:val="TP Heading 2"/>
    <w:basedOn w:val="TPHeading1"/>
    <w:rsid w:val="00F51DAC"/>
    <w:rPr>
      <w:b w:val="0"/>
    </w:rPr>
  </w:style>
  <w:style w:type="paragraph" w:styleId="BalloonText">
    <w:name w:val="Balloon Text"/>
    <w:basedOn w:val="Normal"/>
    <w:link w:val="BalloonTextChar"/>
    <w:semiHidden/>
    <w:rsid w:val="00F51DAC"/>
    <w:pPr>
      <w:spacing w:after="0" w:line="240" w:lineRule="auto"/>
    </w:pPr>
    <w:rPr>
      <w:rFonts w:ascii="Tahoma" w:hAnsi="Tahoma" w:cs="Tahoma"/>
      <w:sz w:val="16"/>
      <w:szCs w:val="16"/>
    </w:rPr>
  </w:style>
  <w:style w:type="character" w:customStyle="1" w:styleId="BalloonTextChar">
    <w:name w:val="Balloon Text Char"/>
    <w:link w:val="BalloonText"/>
    <w:semiHidden/>
    <w:locked/>
    <w:rsid w:val="00F51DAC"/>
    <w:rPr>
      <w:rFonts w:ascii="Tahoma" w:hAnsi="Tahoma" w:cs="Tahoma"/>
      <w:sz w:val="16"/>
      <w:szCs w:val="16"/>
      <w:lang w:val="x-none" w:eastAsia="en-AU"/>
    </w:rPr>
  </w:style>
  <w:style w:type="paragraph" w:styleId="TOC3">
    <w:name w:val="toc 3"/>
    <w:basedOn w:val="Normal"/>
    <w:next w:val="Normal"/>
    <w:autoRedefine/>
    <w:rsid w:val="00E15CF3"/>
    <w:pPr>
      <w:spacing w:after="100"/>
      <w:ind w:left="400"/>
    </w:pPr>
  </w:style>
  <w:style w:type="paragraph" w:customStyle="1" w:styleId="Outcomeheading">
    <w:name w:val="Outcome heading"/>
    <w:basedOn w:val="Heading3"/>
    <w:next w:val="NormalOutcome"/>
    <w:rsid w:val="00DD5C28"/>
    <w:pPr>
      <w:spacing w:before="60" w:after="60"/>
    </w:pPr>
    <w:rPr>
      <w:smallCaps w:val="0"/>
      <w:sz w:val="22"/>
    </w:rPr>
  </w:style>
  <w:style w:type="character" w:customStyle="1" w:styleId="TableTextBulletChar">
    <w:name w:val="Table Text Bullet Char"/>
    <w:link w:val="TableTextBullet"/>
    <w:locked/>
    <w:rsid w:val="008A3A4E"/>
    <w:rPr>
      <w:rFonts w:ascii="Book Antiqua" w:hAnsi="Book Antiqua"/>
      <w:sz w:val="22"/>
      <w:szCs w:val="22"/>
      <w:lang w:val="en-AU" w:eastAsia="en-US" w:bidi="ar-SA"/>
    </w:rPr>
  </w:style>
  <w:style w:type="paragraph" w:customStyle="1" w:styleId="TableTextBullet">
    <w:name w:val="Table Text Bullet"/>
    <w:basedOn w:val="Normal"/>
    <w:link w:val="TableTextBulletChar"/>
    <w:rsid w:val="008A3A4E"/>
    <w:pPr>
      <w:numPr>
        <w:numId w:val="13"/>
      </w:numPr>
      <w:spacing w:before="60" w:after="60" w:line="240" w:lineRule="auto"/>
      <w:jc w:val="left"/>
    </w:pPr>
    <w:rPr>
      <w:sz w:val="22"/>
      <w:szCs w:val="22"/>
      <w:lang w:eastAsia="en-US"/>
    </w:rPr>
  </w:style>
  <w:style w:type="paragraph" w:customStyle="1" w:styleId="TableTextDash">
    <w:name w:val="Table Text Dash"/>
    <w:basedOn w:val="Normal"/>
    <w:rsid w:val="008A3A4E"/>
    <w:pPr>
      <w:numPr>
        <w:ilvl w:val="1"/>
        <w:numId w:val="13"/>
      </w:numPr>
      <w:spacing w:before="60" w:after="60" w:line="240" w:lineRule="auto"/>
      <w:jc w:val="left"/>
    </w:pPr>
    <w:rPr>
      <w:rFonts w:ascii="Arial" w:hAnsi="Arial"/>
      <w:sz w:val="18"/>
    </w:rPr>
  </w:style>
  <w:style w:type="character" w:customStyle="1" w:styleId="TableTextNormalCharChar">
    <w:name w:val="Table Text Normal Char Char"/>
    <w:link w:val="TableTextNormal"/>
    <w:locked/>
    <w:rsid w:val="008A3A4E"/>
    <w:rPr>
      <w:rFonts w:ascii="Book Antiqua" w:hAnsi="Book Antiqua" w:cs="Times New Roman"/>
    </w:rPr>
  </w:style>
  <w:style w:type="paragraph" w:customStyle="1" w:styleId="TableTextNormal">
    <w:name w:val="Table Text Normal"/>
    <w:basedOn w:val="Normal"/>
    <w:link w:val="TableTextNormalCharChar"/>
    <w:rsid w:val="008A3A4E"/>
    <w:pPr>
      <w:spacing w:before="60" w:after="60" w:line="240" w:lineRule="auto"/>
    </w:pPr>
    <w:rPr>
      <w:sz w:val="22"/>
      <w:szCs w:val="22"/>
      <w:lang w:eastAsia="en-US"/>
    </w:rPr>
  </w:style>
  <w:style w:type="paragraph" w:styleId="BodyText">
    <w:name w:val="Body Text"/>
    <w:basedOn w:val="Normal"/>
    <w:link w:val="BodyTextChar"/>
    <w:locked/>
    <w:rsid w:val="005244BF"/>
    <w:pPr>
      <w:spacing w:after="120"/>
    </w:pPr>
  </w:style>
  <w:style w:type="character" w:customStyle="1" w:styleId="BodyTextChar">
    <w:name w:val="Body Text Char"/>
    <w:link w:val="BodyText"/>
    <w:semiHidden/>
    <w:locked/>
    <w:rsid w:val="007661A4"/>
    <w:rPr>
      <w:rFonts w:ascii="Book Antiqua" w:hAnsi="Book Antiqua" w:cs="Times New Roman"/>
      <w:sz w:val="20"/>
      <w:szCs w:val="20"/>
    </w:rPr>
  </w:style>
  <w:style w:type="paragraph" w:styleId="ListParagraph">
    <w:name w:val="List Paragraph"/>
    <w:basedOn w:val="Normal"/>
    <w:qFormat/>
    <w:rsid w:val="007A30AF"/>
    <w:pPr>
      <w:spacing w:after="200" w:line="276" w:lineRule="auto"/>
      <w:ind w:left="720"/>
      <w:contextualSpacing/>
      <w:jc w:val="left"/>
    </w:pPr>
    <w:rPr>
      <w:rFonts w:ascii="Arial" w:hAnsi="Arial"/>
      <w:sz w:val="22"/>
      <w:szCs w:val="22"/>
      <w:lang w:eastAsia="en-US"/>
    </w:rPr>
  </w:style>
  <w:style w:type="character" w:styleId="BookTitle">
    <w:name w:val="Book Title"/>
    <w:qFormat/>
    <w:rsid w:val="007A30AF"/>
    <w:rPr>
      <w:rFonts w:cs="Times New Roman"/>
      <w:i/>
      <w:smallCaps/>
      <w:spacing w:val="5"/>
    </w:rPr>
  </w:style>
  <w:style w:type="character" w:styleId="CommentReference">
    <w:name w:val="annotation reference"/>
    <w:semiHidden/>
    <w:locked/>
    <w:rsid w:val="007A30AF"/>
    <w:rPr>
      <w:rFonts w:cs="Times New Roman"/>
      <w:sz w:val="16"/>
      <w:szCs w:val="16"/>
    </w:rPr>
  </w:style>
  <w:style w:type="paragraph" w:styleId="CommentText">
    <w:name w:val="annotation text"/>
    <w:basedOn w:val="Normal"/>
    <w:link w:val="CommentTextChar"/>
    <w:uiPriority w:val="99"/>
    <w:semiHidden/>
    <w:locked/>
    <w:rsid w:val="007A30AF"/>
    <w:pPr>
      <w:spacing w:after="200" w:line="240" w:lineRule="auto"/>
      <w:jc w:val="left"/>
    </w:pPr>
    <w:rPr>
      <w:rFonts w:ascii="Arial" w:hAnsi="Arial"/>
      <w:lang w:eastAsia="en-US"/>
    </w:rPr>
  </w:style>
  <w:style w:type="character" w:customStyle="1" w:styleId="CommentTextChar">
    <w:name w:val="Comment Text Char"/>
    <w:link w:val="CommentText"/>
    <w:uiPriority w:val="99"/>
    <w:semiHidden/>
    <w:locked/>
    <w:rsid w:val="007A30AF"/>
    <w:rPr>
      <w:rFonts w:ascii="Arial" w:hAnsi="Arial" w:cs="Times New Roman"/>
      <w:lang w:val="en-AU" w:eastAsia="en-US" w:bidi="ar-SA"/>
    </w:rPr>
  </w:style>
  <w:style w:type="paragraph" w:styleId="CommentSubject">
    <w:name w:val="annotation subject"/>
    <w:basedOn w:val="CommentText"/>
    <w:next w:val="CommentText"/>
    <w:link w:val="CommentSubjectChar"/>
    <w:semiHidden/>
    <w:locked/>
    <w:rsid w:val="003A6EE1"/>
    <w:pPr>
      <w:spacing w:after="240" w:line="260" w:lineRule="exact"/>
      <w:jc w:val="both"/>
    </w:pPr>
    <w:rPr>
      <w:rFonts w:ascii="Book Antiqua" w:hAnsi="Book Antiqua"/>
      <w:b/>
      <w:bCs/>
      <w:lang w:eastAsia="en-AU"/>
    </w:rPr>
  </w:style>
  <w:style w:type="character" w:customStyle="1" w:styleId="CommentSubjectChar">
    <w:name w:val="Comment Subject Char"/>
    <w:link w:val="CommentSubject"/>
    <w:semiHidden/>
    <w:locked/>
    <w:rsid w:val="009F48E5"/>
    <w:rPr>
      <w:rFonts w:ascii="Book Antiqua" w:hAnsi="Book Antiqua" w:cs="Times New Roman"/>
      <w:b/>
      <w:bCs/>
      <w:sz w:val="20"/>
      <w:szCs w:val="20"/>
      <w:lang w:val="en-AU" w:eastAsia="en-US" w:bidi="ar-SA"/>
    </w:rPr>
  </w:style>
  <w:style w:type="paragraph" w:styleId="Caption">
    <w:name w:val="caption"/>
    <w:basedOn w:val="Normal"/>
    <w:next w:val="Normal"/>
    <w:qFormat/>
    <w:locked/>
    <w:rsid w:val="008F26A0"/>
    <w:pPr>
      <w:spacing w:after="0" w:line="240" w:lineRule="atLeast"/>
      <w:ind w:left="-1440" w:right="-1440"/>
      <w:jc w:val="center"/>
    </w:pPr>
    <w:rPr>
      <w:rFonts w:ascii="Times New Roman" w:hAnsi="Times New Roman"/>
      <w:sz w:val="24"/>
      <w:lang w:eastAsia="en-US"/>
    </w:rPr>
  </w:style>
  <w:style w:type="paragraph" w:styleId="BlockText">
    <w:name w:val="Block Text"/>
    <w:basedOn w:val="Normal"/>
    <w:locked/>
    <w:rsid w:val="00836067"/>
    <w:pPr>
      <w:spacing w:after="120"/>
      <w:ind w:left="1440" w:right="1440"/>
    </w:pPr>
  </w:style>
  <w:style w:type="paragraph" w:styleId="BodyText2">
    <w:name w:val="Body Text 2"/>
    <w:basedOn w:val="Normal"/>
    <w:link w:val="BodyText2Char"/>
    <w:locked/>
    <w:rsid w:val="00836067"/>
    <w:pPr>
      <w:spacing w:after="120" w:line="480" w:lineRule="auto"/>
    </w:pPr>
  </w:style>
  <w:style w:type="character" w:customStyle="1" w:styleId="BodyText2Char">
    <w:name w:val="Body Text 2 Char"/>
    <w:link w:val="BodyText2"/>
    <w:semiHidden/>
    <w:locked/>
    <w:rsid w:val="007B1BEA"/>
    <w:rPr>
      <w:rFonts w:ascii="Book Antiqua" w:hAnsi="Book Antiqua" w:cs="Times New Roman"/>
      <w:sz w:val="20"/>
      <w:szCs w:val="20"/>
    </w:rPr>
  </w:style>
  <w:style w:type="paragraph" w:styleId="BodyText3">
    <w:name w:val="Body Text 3"/>
    <w:basedOn w:val="Normal"/>
    <w:link w:val="BodyText3Char"/>
    <w:locked/>
    <w:rsid w:val="00836067"/>
    <w:pPr>
      <w:spacing w:after="120"/>
    </w:pPr>
    <w:rPr>
      <w:sz w:val="16"/>
      <w:szCs w:val="16"/>
    </w:rPr>
  </w:style>
  <w:style w:type="character" w:customStyle="1" w:styleId="BodyText3Char">
    <w:name w:val="Body Text 3 Char"/>
    <w:link w:val="BodyText3"/>
    <w:semiHidden/>
    <w:locked/>
    <w:rsid w:val="007B1BEA"/>
    <w:rPr>
      <w:rFonts w:ascii="Book Antiqua" w:hAnsi="Book Antiqua" w:cs="Times New Roman"/>
      <w:sz w:val="16"/>
      <w:szCs w:val="16"/>
    </w:rPr>
  </w:style>
  <w:style w:type="paragraph" w:styleId="BodyTextFirstIndent">
    <w:name w:val="Body Text First Indent"/>
    <w:basedOn w:val="BodyText"/>
    <w:link w:val="BodyTextFirstIndentChar"/>
    <w:locked/>
    <w:rsid w:val="00836067"/>
    <w:pPr>
      <w:ind w:firstLine="210"/>
    </w:pPr>
  </w:style>
  <w:style w:type="character" w:customStyle="1" w:styleId="BodyTextFirstIndentChar">
    <w:name w:val="Body Text First Indent Char"/>
    <w:basedOn w:val="BodyTextChar"/>
    <w:link w:val="BodyTextFirstIndent"/>
    <w:semiHidden/>
    <w:locked/>
    <w:rsid w:val="007B1BEA"/>
    <w:rPr>
      <w:rFonts w:ascii="Book Antiqua" w:hAnsi="Book Antiqua" w:cs="Times New Roman"/>
      <w:sz w:val="20"/>
      <w:szCs w:val="20"/>
    </w:rPr>
  </w:style>
  <w:style w:type="paragraph" w:styleId="BodyTextIndent">
    <w:name w:val="Body Text Indent"/>
    <w:basedOn w:val="Normal"/>
    <w:link w:val="BodyTextIndentChar"/>
    <w:locked/>
    <w:rsid w:val="00836067"/>
    <w:pPr>
      <w:spacing w:after="120"/>
      <w:ind w:left="283"/>
    </w:pPr>
  </w:style>
  <w:style w:type="character" w:customStyle="1" w:styleId="BodyTextIndentChar">
    <w:name w:val="Body Text Indent Char"/>
    <w:link w:val="BodyTextIndent"/>
    <w:semiHidden/>
    <w:locked/>
    <w:rsid w:val="007B1BEA"/>
    <w:rPr>
      <w:rFonts w:ascii="Book Antiqua" w:hAnsi="Book Antiqua" w:cs="Times New Roman"/>
      <w:sz w:val="20"/>
      <w:szCs w:val="20"/>
    </w:rPr>
  </w:style>
  <w:style w:type="paragraph" w:styleId="BodyTextFirstIndent2">
    <w:name w:val="Body Text First Indent 2"/>
    <w:basedOn w:val="BodyTextIndent"/>
    <w:link w:val="BodyTextFirstIndent2Char"/>
    <w:locked/>
    <w:rsid w:val="00836067"/>
    <w:pPr>
      <w:ind w:firstLine="210"/>
    </w:pPr>
  </w:style>
  <w:style w:type="character" w:customStyle="1" w:styleId="BodyTextFirstIndent2Char">
    <w:name w:val="Body Text First Indent 2 Char"/>
    <w:basedOn w:val="BodyTextIndentChar"/>
    <w:link w:val="BodyTextFirstIndent2"/>
    <w:semiHidden/>
    <w:locked/>
    <w:rsid w:val="007B1BEA"/>
    <w:rPr>
      <w:rFonts w:ascii="Book Antiqua" w:hAnsi="Book Antiqua" w:cs="Times New Roman"/>
      <w:sz w:val="20"/>
      <w:szCs w:val="20"/>
    </w:rPr>
  </w:style>
  <w:style w:type="paragraph" w:styleId="BodyTextIndent2">
    <w:name w:val="Body Text Indent 2"/>
    <w:basedOn w:val="Normal"/>
    <w:link w:val="BodyTextIndent2Char"/>
    <w:locked/>
    <w:rsid w:val="00836067"/>
    <w:pPr>
      <w:spacing w:after="120" w:line="480" w:lineRule="auto"/>
      <w:ind w:left="283"/>
    </w:pPr>
  </w:style>
  <w:style w:type="character" w:customStyle="1" w:styleId="BodyTextIndent2Char">
    <w:name w:val="Body Text Indent 2 Char"/>
    <w:link w:val="BodyTextIndent2"/>
    <w:semiHidden/>
    <w:locked/>
    <w:rsid w:val="007B1BEA"/>
    <w:rPr>
      <w:rFonts w:ascii="Book Antiqua" w:hAnsi="Book Antiqua" w:cs="Times New Roman"/>
      <w:sz w:val="20"/>
      <w:szCs w:val="20"/>
    </w:rPr>
  </w:style>
  <w:style w:type="paragraph" w:styleId="BodyTextIndent3">
    <w:name w:val="Body Text Indent 3"/>
    <w:basedOn w:val="Normal"/>
    <w:link w:val="BodyTextIndent3Char"/>
    <w:locked/>
    <w:rsid w:val="00836067"/>
    <w:pPr>
      <w:spacing w:after="120"/>
      <w:ind w:left="283"/>
    </w:pPr>
    <w:rPr>
      <w:sz w:val="16"/>
      <w:szCs w:val="16"/>
    </w:rPr>
  </w:style>
  <w:style w:type="character" w:customStyle="1" w:styleId="BodyTextIndent3Char">
    <w:name w:val="Body Text Indent 3 Char"/>
    <w:link w:val="BodyTextIndent3"/>
    <w:semiHidden/>
    <w:locked/>
    <w:rsid w:val="007B1BEA"/>
    <w:rPr>
      <w:rFonts w:ascii="Book Antiqua" w:hAnsi="Book Antiqua" w:cs="Times New Roman"/>
      <w:sz w:val="16"/>
      <w:szCs w:val="16"/>
    </w:rPr>
  </w:style>
  <w:style w:type="paragraph" w:styleId="Closing">
    <w:name w:val="Closing"/>
    <w:basedOn w:val="Normal"/>
    <w:link w:val="ClosingChar"/>
    <w:locked/>
    <w:rsid w:val="00836067"/>
    <w:pPr>
      <w:ind w:left="4252"/>
    </w:pPr>
  </w:style>
  <w:style w:type="character" w:customStyle="1" w:styleId="ClosingChar">
    <w:name w:val="Closing Char"/>
    <w:link w:val="Closing"/>
    <w:semiHidden/>
    <w:locked/>
    <w:rsid w:val="007B1BEA"/>
    <w:rPr>
      <w:rFonts w:ascii="Book Antiqua" w:hAnsi="Book Antiqua" w:cs="Times New Roman"/>
      <w:sz w:val="20"/>
      <w:szCs w:val="20"/>
    </w:rPr>
  </w:style>
  <w:style w:type="paragraph" w:styleId="Date">
    <w:name w:val="Date"/>
    <w:basedOn w:val="Normal"/>
    <w:next w:val="Normal"/>
    <w:link w:val="DateChar"/>
    <w:locked/>
    <w:rsid w:val="00836067"/>
  </w:style>
  <w:style w:type="character" w:customStyle="1" w:styleId="DateChar">
    <w:name w:val="Date Char"/>
    <w:link w:val="Date"/>
    <w:semiHidden/>
    <w:locked/>
    <w:rsid w:val="007B1BEA"/>
    <w:rPr>
      <w:rFonts w:ascii="Book Antiqua" w:hAnsi="Book Antiqua" w:cs="Times New Roman"/>
      <w:sz w:val="20"/>
      <w:szCs w:val="20"/>
    </w:rPr>
  </w:style>
  <w:style w:type="paragraph" w:styleId="DocumentMap">
    <w:name w:val="Document Map"/>
    <w:basedOn w:val="Normal"/>
    <w:link w:val="DocumentMapChar"/>
    <w:semiHidden/>
    <w:locked/>
    <w:rsid w:val="00836067"/>
    <w:pPr>
      <w:shd w:val="clear" w:color="auto" w:fill="000080"/>
    </w:pPr>
    <w:rPr>
      <w:rFonts w:ascii="Tahoma" w:hAnsi="Tahoma" w:cs="Tahoma"/>
    </w:rPr>
  </w:style>
  <w:style w:type="character" w:customStyle="1" w:styleId="DocumentMapChar">
    <w:name w:val="Document Map Char"/>
    <w:link w:val="DocumentMap"/>
    <w:semiHidden/>
    <w:locked/>
    <w:rsid w:val="007B1BEA"/>
    <w:rPr>
      <w:rFonts w:ascii="Times New Roman" w:hAnsi="Times New Roman" w:cs="Times New Roman"/>
      <w:sz w:val="2"/>
    </w:rPr>
  </w:style>
  <w:style w:type="paragraph" w:styleId="E-mailSignature">
    <w:name w:val="E-mail Signature"/>
    <w:basedOn w:val="Normal"/>
    <w:link w:val="E-mailSignatureChar"/>
    <w:locked/>
    <w:rsid w:val="00836067"/>
  </w:style>
  <w:style w:type="character" w:customStyle="1" w:styleId="E-mailSignatureChar">
    <w:name w:val="E-mail Signature Char"/>
    <w:link w:val="E-mailSignature"/>
    <w:semiHidden/>
    <w:locked/>
    <w:rsid w:val="007B1BEA"/>
    <w:rPr>
      <w:rFonts w:ascii="Book Antiqua" w:hAnsi="Book Antiqua" w:cs="Times New Roman"/>
      <w:sz w:val="20"/>
      <w:szCs w:val="20"/>
    </w:rPr>
  </w:style>
  <w:style w:type="paragraph" w:styleId="EndnoteText">
    <w:name w:val="endnote text"/>
    <w:basedOn w:val="Normal"/>
    <w:link w:val="EndnoteTextChar"/>
    <w:semiHidden/>
    <w:locked/>
    <w:rsid w:val="00836067"/>
  </w:style>
  <w:style w:type="character" w:customStyle="1" w:styleId="EndnoteTextChar">
    <w:name w:val="Endnote Text Char"/>
    <w:link w:val="EndnoteText"/>
    <w:semiHidden/>
    <w:locked/>
    <w:rsid w:val="007B1BEA"/>
    <w:rPr>
      <w:rFonts w:ascii="Book Antiqua" w:hAnsi="Book Antiqua" w:cs="Times New Roman"/>
      <w:sz w:val="20"/>
      <w:szCs w:val="20"/>
    </w:rPr>
  </w:style>
  <w:style w:type="paragraph" w:styleId="EnvelopeAddress">
    <w:name w:val="envelope address"/>
    <w:basedOn w:val="Normal"/>
    <w:locked/>
    <w:rsid w:val="0083606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locked/>
    <w:rsid w:val="00836067"/>
    <w:rPr>
      <w:rFonts w:ascii="Arial" w:hAnsi="Arial" w:cs="Arial"/>
    </w:rPr>
  </w:style>
  <w:style w:type="paragraph" w:styleId="FootnoteText">
    <w:name w:val="footnote text"/>
    <w:basedOn w:val="Normal"/>
    <w:link w:val="FootnoteTextChar"/>
    <w:autoRedefine/>
    <w:uiPriority w:val="99"/>
    <w:locked/>
    <w:rsid w:val="00937569"/>
    <w:pPr>
      <w:spacing w:after="60" w:line="240" w:lineRule="auto"/>
      <w:jc w:val="left"/>
    </w:pPr>
    <w:rPr>
      <w:sz w:val="16"/>
    </w:rPr>
  </w:style>
  <w:style w:type="character" w:customStyle="1" w:styleId="FootnoteTextChar">
    <w:name w:val="Footnote Text Char"/>
    <w:link w:val="FootnoteText"/>
    <w:uiPriority w:val="99"/>
    <w:locked/>
    <w:rsid w:val="00937569"/>
    <w:rPr>
      <w:rFonts w:ascii="Book Antiqua" w:hAnsi="Book Antiqua"/>
      <w:sz w:val="16"/>
    </w:rPr>
  </w:style>
  <w:style w:type="paragraph" w:styleId="HTMLAddress">
    <w:name w:val="HTML Address"/>
    <w:basedOn w:val="Normal"/>
    <w:link w:val="HTMLAddressChar"/>
    <w:locked/>
    <w:rsid w:val="00836067"/>
    <w:rPr>
      <w:i/>
      <w:iCs/>
    </w:rPr>
  </w:style>
  <w:style w:type="character" w:customStyle="1" w:styleId="HTMLAddressChar">
    <w:name w:val="HTML Address Char"/>
    <w:link w:val="HTMLAddress"/>
    <w:semiHidden/>
    <w:locked/>
    <w:rsid w:val="007B1BEA"/>
    <w:rPr>
      <w:rFonts w:ascii="Book Antiqua" w:hAnsi="Book Antiqua" w:cs="Times New Roman"/>
      <w:i/>
      <w:iCs/>
      <w:sz w:val="20"/>
      <w:szCs w:val="20"/>
    </w:rPr>
  </w:style>
  <w:style w:type="paragraph" w:styleId="HTMLPreformatted">
    <w:name w:val="HTML Preformatted"/>
    <w:basedOn w:val="Normal"/>
    <w:link w:val="HTMLPreformattedChar"/>
    <w:locked/>
    <w:rsid w:val="00836067"/>
    <w:rPr>
      <w:rFonts w:ascii="Courier New" w:hAnsi="Courier New" w:cs="Courier New"/>
    </w:rPr>
  </w:style>
  <w:style w:type="character" w:customStyle="1" w:styleId="HTMLPreformattedChar">
    <w:name w:val="HTML Preformatted Char"/>
    <w:link w:val="HTMLPreformatted"/>
    <w:semiHidden/>
    <w:locked/>
    <w:rsid w:val="007B1BEA"/>
    <w:rPr>
      <w:rFonts w:ascii="Courier New" w:hAnsi="Courier New" w:cs="Courier New"/>
      <w:sz w:val="20"/>
      <w:szCs w:val="20"/>
    </w:rPr>
  </w:style>
  <w:style w:type="paragraph" w:styleId="Index1">
    <w:name w:val="index 1"/>
    <w:basedOn w:val="Normal"/>
    <w:next w:val="Normal"/>
    <w:autoRedefine/>
    <w:semiHidden/>
    <w:locked/>
    <w:rsid w:val="00A51532"/>
    <w:pPr>
      <w:tabs>
        <w:tab w:val="right" w:leader="dot" w:pos="3485"/>
      </w:tabs>
      <w:spacing w:after="0"/>
      <w:ind w:left="200" w:hanging="200"/>
      <w:jc w:val="left"/>
    </w:pPr>
    <w:rPr>
      <w:rFonts w:ascii="Arial" w:hAnsi="Arial"/>
      <w:b/>
      <w:noProof/>
    </w:rPr>
  </w:style>
  <w:style w:type="paragraph" w:styleId="Index2">
    <w:name w:val="index 2"/>
    <w:basedOn w:val="Normal"/>
    <w:next w:val="Normal"/>
    <w:autoRedefine/>
    <w:semiHidden/>
    <w:locked/>
    <w:rsid w:val="00836067"/>
    <w:pPr>
      <w:spacing w:after="0"/>
      <w:ind w:left="400" w:hanging="200"/>
      <w:jc w:val="left"/>
    </w:pPr>
    <w:rPr>
      <w:rFonts w:ascii="Times New Roman" w:hAnsi="Times New Roman"/>
    </w:rPr>
  </w:style>
  <w:style w:type="paragraph" w:styleId="Index3">
    <w:name w:val="index 3"/>
    <w:basedOn w:val="Normal"/>
    <w:next w:val="Normal"/>
    <w:autoRedefine/>
    <w:semiHidden/>
    <w:locked/>
    <w:rsid w:val="00836067"/>
    <w:pPr>
      <w:spacing w:after="0"/>
      <w:ind w:left="600" w:hanging="200"/>
      <w:jc w:val="left"/>
    </w:pPr>
    <w:rPr>
      <w:rFonts w:ascii="Times New Roman" w:hAnsi="Times New Roman"/>
    </w:rPr>
  </w:style>
  <w:style w:type="paragraph" w:styleId="Index4">
    <w:name w:val="index 4"/>
    <w:basedOn w:val="Normal"/>
    <w:next w:val="Normal"/>
    <w:autoRedefine/>
    <w:semiHidden/>
    <w:locked/>
    <w:rsid w:val="00836067"/>
    <w:pPr>
      <w:spacing w:after="0"/>
      <w:ind w:left="800" w:hanging="200"/>
      <w:jc w:val="left"/>
    </w:pPr>
    <w:rPr>
      <w:rFonts w:ascii="Times New Roman" w:hAnsi="Times New Roman"/>
    </w:rPr>
  </w:style>
  <w:style w:type="paragraph" w:styleId="Index5">
    <w:name w:val="index 5"/>
    <w:basedOn w:val="Normal"/>
    <w:next w:val="Normal"/>
    <w:autoRedefine/>
    <w:semiHidden/>
    <w:locked/>
    <w:rsid w:val="00836067"/>
    <w:pPr>
      <w:spacing w:after="0"/>
      <w:ind w:left="1000" w:hanging="200"/>
      <w:jc w:val="left"/>
    </w:pPr>
    <w:rPr>
      <w:rFonts w:ascii="Times New Roman" w:hAnsi="Times New Roman"/>
    </w:rPr>
  </w:style>
  <w:style w:type="paragraph" w:styleId="Index6">
    <w:name w:val="index 6"/>
    <w:basedOn w:val="Normal"/>
    <w:next w:val="Normal"/>
    <w:autoRedefine/>
    <w:semiHidden/>
    <w:locked/>
    <w:rsid w:val="00836067"/>
    <w:pPr>
      <w:spacing w:after="0"/>
      <w:ind w:left="1200" w:hanging="200"/>
      <w:jc w:val="left"/>
    </w:pPr>
    <w:rPr>
      <w:rFonts w:ascii="Times New Roman" w:hAnsi="Times New Roman"/>
    </w:rPr>
  </w:style>
  <w:style w:type="paragraph" w:styleId="Index7">
    <w:name w:val="index 7"/>
    <w:basedOn w:val="Normal"/>
    <w:next w:val="Normal"/>
    <w:autoRedefine/>
    <w:semiHidden/>
    <w:locked/>
    <w:rsid w:val="00836067"/>
    <w:pPr>
      <w:spacing w:after="0"/>
      <w:ind w:left="1400" w:hanging="200"/>
      <w:jc w:val="left"/>
    </w:pPr>
    <w:rPr>
      <w:rFonts w:ascii="Times New Roman" w:hAnsi="Times New Roman"/>
    </w:rPr>
  </w:style>
  <w:style w:type="paragraph" w:styleId="Index8">
    <w:name w:val="index 8"/>
    <w:basedOn w:val="Normal"/>
    <w:next w:val="Normal"/>
    <w:autoRedefine/>
    <w:semiHidden/>
    <w:locked/>
    <w:rsid w:val="00836067"/>
    <w:pPr>
      <w:spacing w:after="0"/>
      <w:ind w:left="1600" w:hanging="200"/>
      <w:jc w:val="left"/>
    </w:pPr>
    <w:rPr>
      <w:rFonts w:ascii="Times New Roman" w:hAnsi="Times New Roman"/>
    </w:rPr>
  </w:style>
  <w:style w:type="paragraph" w:styleId="Index9">
    <w:name w:val="index 9"/>
    <w:basedOn w:val="Normal"/>
    <w:next w:val="Normal"/>
    <w:autoRedefine/>
    <w:semiHidden/>
    <w:locked/>
    <w:rsid w:val="00836067"/>
    <w:pPr>
      <w:spacing w:after="0"/>
      <w:ind w:left="1800" w:hanging="200"/>
      <w:jc w:val="left"/>
    </w:pPr>
    <w:rPr>
      <w:rFonts w:ascii="Times New Roman" w:hAnsi="Times New Roman"/>
    </w:rPr>
  </w:style>
  <w:style w:type="paragraph" w:styleId="IndexHeading">
    <w:name w:val="index heading"/>
    <w:basedOn w:val="Normal"/>
    <w:next w:val="Index1"/>
    <w:semiHidden/>
    <w:locked/>
    <w:rsid w:val="00836067"/>
    <w:pPr>
      <w:spacing w:after="0"/>
      <w:jc w:val="left"/>
    </w:pPr>
    <w:rPr>
      <w:rFonts w:ascii="Times New Roman" w:hAnsi="Times New Roman"/>
    </w:rPr>
  </w:style>
  <w:style w:type="paragraph" w:styleId="List">
    <w:name w:val="List"/>
    <w:basedOn w:val="Normal"/>
    <w:locked/>
    <w:rsid w:val="00836067"/>
    <w:pPr>
      <w:ind w:left="283" w:hanging="283"/>
    </w:pPr>
  </w:style>
  <w:style w:type="paragraph" w:styleId="List2">
    <w:name w:val="List 2"/>
    <w:basedOn w:val="Normal"/>
    <w:locked/>
    <w:rsid w:val="00836067"/>
    <w:pPr>
      <w:ind w:left="566" w:hanging="283"/>
    </w:pPr>
  </w:style>
  <w:style w:type="paragraph" w:styleId="List3">
    <w:name w:val="List 3"/>
    <w:basedOn w:val="Normal"/>
    <w:locked/>
    <w:rsid w:val="00836067"/>
    <w:pPr>
      <w:ind w:left="849" w:hanging="283"/>
    </w:pPr>
  </w:style>
  <w:style w:type="paragraph" w:styleId="List4">
    <w:name w:val="List 4"/>
    <w:basedOn w:val="Normal"/>
    <w:locked/>
    <w:rsid w:val="00836067"/>
    <w:pPr>
      <w:ind w:left="1132" w:hanging="283"/>
    </w:pPr>
  </w:style>
  <w:style w:type="paragraph" w:styleId="List5">
    <w:name w:val="List 5"/>
    <w:basedOn w:val="Normal"/>
    <w:locked/>
    <w:rsid w:val="00836067"/>
    <w:pPr>
      <w:ind w:left="1415" w:hanging="283"/>
    </w:pPr>
  </w:style>
  <w:style w:type="paragraph" w:styleId="ListBullet">
    <w:name w:val="List Bullet"/>
    <w:basedOn w:val="Normal"/>
    <w:locked/>
    <w:rsid w:val="00836067"/>
    <w:pPr>
      <w:tabs>
        <w:tab w:val="num" w:pos="643"/>
      </w:tabs>
      <w:ind w:left="360" w:hanging="360"/>
    </w:pPr>
  </w:style>
  <w:style w:type="paragraph" w:styleId="ListBullet2">
    <w:name w:val="List Bullet 2"/>
    <w:basedOn w:val="Normal"/>
    <w:locked/>
    <w:rsid w:val="00256C0F"/>
    <w:pPr>
      <w:tabs>
        <w:tab w:val="num" w:pos="643"/>
      </w:tabs>
      <w:spacing w:before="20" w:after="200"/>
      <w:ind w:left="643" w:hanging="360"/>
      <w:contextualSpacing/>
    </w:pPr>
  </w:style>
  <w:style w:type="paragraph" w:styleId="ListBullet3">
    <w:name w:val="List Bullet 3"/>
    <w:basedOn w:val="Normal"/>
    <w:locked/>
    <w:rsid w:val="00836067"/>
    <w:pPr>
      <w:tabs>
        <w:tab w:val="num" w:pos="926"/>
        <w:tab w:val="num" w:pos="1209"/>
      </w:tabs>
      <w:ind w:left="926" w:hanging="360"/>
    </w:pPr>
  </w:style>
  <w:style w:type="paragraph" w:styleId="ListBullet4">
    <w:name w:val="List Bullet 4"/>
    <w:basedOn w:val="Normal"/>
    <w:locked/>
    <w:rsid w:val="00836067"/>
    <w:pPr>
      <w:tabs>
        <w:tab w:val="num" w:pos="1209"/>
        <w:tab w:val="num" w:pos="1492"/>
      </w:tabs>
      <w:ind w:left="1209" w:hanging="360"/>
    </w:pPr>
  </w:style>
  <w:style w:type="paragraph" w:styleId="ListBullet5">
    <w:name w:val="List Bullet 5"/>
    <w:basedOn w:val="Normal"/>
    <w:locked/>
    <w:rsid w:val="00836067"/>
    <w:pPr>
      <w:tabs>
        <w:tab w:val="num" w:pos="1492"/>
      </w:tabs>
      <w:ind w:left="1492" w:hanging="360"/>
    </w:pPr>
  </w:style>
  <w:style w:type="paragraph" w:styleId="ListContinue">
    <w:name w:val="List Continue"/>
    <w:basedOn w:val="Normal"/>
    <w:locked/>
    <w:rsid w:val="00836067"/>
    <w:pPr>
      <w:spacing w:after="120"/>
      <w:ind w:left="283"/>
    </w:pPr>
  </w:style>
  <w:style w:type="paragraph" w:styleId="ListContinue2">
    <w:name w:val="List Continue 2"/>
    <w:basedOn w:val="Normal"/>
    <w:locked/>
    <w:rsid w:val="00836067"/>
    <w:pPr>
      <w:spacing w:after="120"/>
      <w:ind w:left="566"/>
    </w:pPr>
  </w:style>
  <w:style w:type="paragraph" w:styleId="ListContinue3">
    <w:name w:val="List Continue 3"/>
    <w:basedOn w:val="Normal"/>
    <w:locked/>
    <w:rsid w:val="00836067"/>
    <w:pPr>
      <w:spacing w:after="120"/>
      <w:ind w:left="849"/>
    </w:pPr>
  </w:style>
  <w:style w:type="paragraph" w:styleId="ListContinue4">
    <w:name w:val="List Continue 4"/>
    <w:basedOn w:val="Normal"/>
    <w:locked/>
    <w:rsid w:val="00836067"/>
    <w:pPr>
      <w:spacing w:after="120"/>
      <w:ind w:left="1132"/>
    </w:pPr>
  </w:style>
  <w:style w:type="paragraph" w:styleId="ListContinue5">
    <w:name w:val="List Continue 5"/>
    <w:basedOn w:val="Normal"/>
    <w:locked/>
    <w:rsid w:val="00836067"/>
    <w:pPr>
      <w:spacing w:after="120"/>
      <w:ind w:left="1415"/>
    </w:pPr>
  </w:style>
  <w:style w:type="paragraph" w:styleId="ListNumber">
    <w:name w:val="List Number"/>
    <w:basedOn w:val="Normal"/>
    <w:locked/>
    <w:rsid w:val="00836067"/>
    <w:pPr>
      <w:tabs>
        <w:tab w:val="num" w:pos="643"/>
      </w:tabs>
      <w:ind w:left="360" w:hanging="360"/>
    </w:pPr>
  </w:style>
  <w:style w:type="paragraph" w:styleId="ListNumber2">
    <w:name w:val="List Number 2"/>
    <w:basedOn w:val="Normal"/>
    <w:locked/>
    <w:rsid w:val="00836067"/>
    <w:pPr>
      <w:tabs>
        <w:tab w:val="num" w:pos="643"/>
        <w:tab w:val="num" w:pos="926"/>
      </w:tabs>
      <w:ind w:left="643" w:hanging="360"/>
    </w:pPr>
  </w:style>
  <w:style w:type="paragraph" w:styleId="ListNumber3">
    <w:name w:val="List Number 3"/>
    <w:basedOn w:val="Normal"/>
    <w:locked/>
    <w:rsid w:val="00836067"/>
    <w:pPr>
      <w:tabs>
        <w:tab w:val="num" w:pos="926"/>
        <w:tab w:val="num" w:pos="1209"/>
      </w:tabs>
      <w:ind w:left="926" w:hanging="360"/>
    </w:pPr>
  </w:style>
  <w:style w:type="paragraph" w:styleId="ListNumber4">
    <w:name w:val="List Number 4"/>
    <w:basedOn w:val="Normal"/>
    <w:locked/>
    <w:rsid w:val="00836067"/>
    <w:pPr>
      <w:tabs>
        <w:tab w:val="num" w:pos="1209"/>
        <w:tab w:val="num" w:pos="1492"/>
      </w:tabs>
      <w:ind w:left="1209" w:hanging="360"/>
    </w:pPr>
  </w:style>
  <w:style w:type="paragraph" w:styleId="ListNumber5">
    <w:name w:val="List Number 5"/>
    <w:basedOn w:val="Normal"/>
    <w:locked/>
    <w:rsid w:val="00836067"/>
    <w:pPr>
      <w:tabs>
        <w:tab w:val="num" w:pos="1492"/>
      </w:tabs>
      <w:ind w:left="1492" w:hanging="360"/>
    </w:pPr>
  </w:style>
  <w:style w:type="paragraph" w:styleId="MacroText">
    <w:name w:val="macro"/>
    <w:link w:val="MacroTextChar"/>
    <w:semiHidden/>
    <w:locked/>
    <w:rsid w:val="0083606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character" w:customStyle="1" w:styleId="MacroTextChar">
    <w:name w:val="Macro Text Char"/>
    <w:link w:val="MacroText"/>
    <w:semiHidden/>
    <w:locked/>
    <w:rsid w:val="007B1BEA"/>
    <w:rPr>
      <w:rFonts w:ascii="Courier New" w:hAnsi="Courier New" w:cs="Courier New"/>
      <w:lang w:val="en-AU" w:eastAsia="en-AU" w:bidi="ar-SA"/>
    </w:rPr>
  </w:style>
  <w:style w:type="paragraph" w:styleId="MessageHeader">
    <w:name w:val="Message Header"/>
    <w:basedOn w:val="Normal"/>
    <w:link w:val="MessageHeaderChar"/>
    <w:locked/>
    <w:rsid w:val="008360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semiHidden/>
    <w:locked/>
    <w:rsid w:val="007B1BEA"/>
    <w:rPr>
      <w:rFonts w:ascii="Cambria" w:hAnsi="Cambria" w:cs="Times New Roman"/>
      <w:sz w:val="24"/>
      <w:szCs w:val="24"/>
      <w:shd w:val="pct20" w:color="auto" w:fill="auto"/>
    </w:rPr>
  </w:style>
  <w:style w:type="paragraph" w:styleId="NormalWeb">
    <w:name w:val="Normal (Web)"/>
    <w:basedOn w:val="Normal"/>
    <w:locked/>
    <w:rsid w:val="00836067"/>
    <w:rPr>
      <w:rFonts w:ascii="Times New Roman" w:hAnsi="Times New Roman"/>
      <w:sz w:val="24"/>
      <w:szCs w:val="24"/>
    </w:rPr>
  </w:style>
  <w:style w:type="paragraph" w:styleId="NormalIndent">
    <w:name w:val="Normal Indent"/>
    <w:basedOn w:val="Normal"/>
    <w:locked/>
    <w:rsid w:val="00836067"/>
    <w:pPr>
      <w:ind w:left="720"/>
    </w:pPr>
  </w:style>
  <w:style w:type="paragraph" w:styleId="NoteHeading">
    <w:name w:val="Note Heading"/>
    <w:basedOn w:val="Normal"/>
    <w:next w:val="Normal"/>
    <w:link w:val="NoteHeadingChar"/>
    <w:locked/>
    <w:rsid w:val="00836067"/>
  </w:style>
  <w:style w:type="character" w:customStyle="1" w:styleId="NoteHeadingChar">
    <w:name w:val="Note Heading Char"/>
    <w:link w:val="NoteHeading"/>
    <w:semiHidden/>
    <w:locked/>
    <w:rsid w:val="007B1BEA"/>
    <w:rPr>
      <w:rFonts w:ascii="Book Antiqua" w:hAnsi="Book Antiqua" w:cs="Times New Roman"/>
      <w:sz w:val="20"/>
      <w:szCs w:val="20"/>
    </w:rPr>
  </w:style>
  <w:style w:type="paragraph" w:styleId="PlainText">
    <w:name w:val="Plain Text"/>
    <w:basedOn w:val="Normal"/>
    <w:link w:val="PlainTextChar"/>
    <w:locked/>
    <w:rsid w:val="00836067"/>
    <w:rPr>
      <w:rFonts w:ascii="Courier New" w:hAnsi="Courier New" w:cs="Courier New"/>
    </w:rPr>
  </w:style>
  <w:style w:type="character" w:customStyle="1" w:styleId="PlainTextChar">
    <w:name w:val="Plain Text Char"/>
    <w:link w:val="PlainText"/>
    <w:semiHidden/>
    <w:locked/>
    <w:rsid w:val="007B1BEA"/>
    <w:rPr>
      <w:rFonts w:ascii="Courier New" w:hAnsi="Courier New" w:cs="Courier New"/>
      <w:sz w:val="20"/>
      <w:szCs w:val="20"/>
    </w:rPr>
  </w:style>
  <w:style w:type="paragraph" w:styleId="Salutation">
    <w:name w:val="Salutation"/>
    <w:basedOn w:val="Normal"/>
    <w:next w:val="Normal"/>
    <w:link w:val="SalutationChar"/>
    <w:locked/>
    <w:rsid w:val="00836067"/>
  </w:style>
  <w:style w:type="character" w:customStyle="1" w:styleId="SalutationChar">
    <w:name w:val="Salutation Char"/>
    <w:link w:val="Salutation"/>
    <w:semiHidden/>
    <w:locked/>
    <w:rsid w:val="007B1BEA"/>
    <w:rPr>
      <w:rFonts w:ascii="Book Antiqua" w:hAnsi="Book Antiqua" w:cs="Times New Roman"/>
      <w:sz w:val="20"/>
      <w:szCs w:val="20"/>
    </w:rPr>
  </w:style>
  <w:style w:type="paragraph" w:styleId="Signature">
    <w:name w:val="Signature"/>
    <w:basedOn w:val="Normal"/>
    <w:link w:val="SignatureChar"/>
    <w:locked/>
    <w:rsid w:val="00836067"/>
    <w:pPr>
      <w:ind w:left="4252"/>
    </w:pPr>
  </w:style>
  <w:style w:type="character" w:customStyle="1" w:styleId="SignatureChar">
    <w:name w:val="Signature Char"/>
    <w:link w:val="Signature"/>
    <w:semiHidden/>
    <w:locked/>
    <w:rsid w:val="007B1BEA"/>
    <w:rPr>
      <w:rFonts w:ascii="Book Antiqua" w:hAnsi="Book Antiqua" w:cs="Times New Roman"/>
      <w:sz w:val="20"/>
      <w:szCs w:val="20"/>
    </w:rPr>
  </w:style>
  <w:style w:type="paragraph" w:styleId="Subtitle">
    <w:name w:val="Subtitle"/>
    <w:basedOn w:val="Normal"/>
    <w:link w:val="SubtitleChar"/>
    <w:qFormat/>
    <w:rsid w:val="00836067"/>
    <w:pPr>
      <w:spacing w:after="60"/>
      <w:jc w:val="center"/>
      <w:outlineLvl w:val="1"/>
    </w:pPr>
    <w:rPr>
      <w:rFonts w:ascii="Arial" w:hAnsi="Arial" w:cs="Arial"/>
      <w:sz w:val="24"/>
      <w:szCs w:val="24"/>
    </w:rPr>
  </w:style>
  <w:style w:type="character" w:customStyle="1" w:styleId="SubtitleChar">
    <w:name w:val="Subtitle Char"/>
    <w:link w:val="Subtitle"/>
    <w:locked/>
    <w:rsid w:val="007B1BEA"/>
    <w:rPr>
      <w:rFonts w:ascii="Cambria" w:hAnsi="Cambria" w:cs="Times New Roman"/>
      <w:sz w:val="24"/>
      <w:szCs w:val="24"/>
    </w:rPr>
  </w:style>
  <w:style w:type="paragraph" w:styleId="TableofAuthorities">
    <w:name w:val="table of authorities"/>
    <w:basedOn w:val="Normal"/>
    <w:next w:val="Normal"/>
    <w:semiHidden/>
    <w:locked/>
    <w:rsid w:val="00836067"/>
    <w:pPr>
      <w:ind w:left="200" w:hanging="200"/>
    </w:pPr>
  </w:style>
  <w:style w:type="paragraph" w:styleId="TableofFigures">
    <w:name w:val="table of figures"/>
    <w:basedOn w:val="Normal"/>
    <w:next w:val="Normal"/>
    <w:semiHidden/>
    <w:locked/>
    <w:rsid w:val="00836067"/>
  </w:style>
  <w:style w:type="paragraph" w:styleId="TOAHeading">
    <w:name w:val="toa heading"/>
    <w:basedOn w:val="Normal"/>
    <w:next w:val="Normal"/>
    <w:semiHidden/>
    <w:locked/>
    <w:rsid w:val="00836067"/>
    <w:pPr>
      <w:spacing w:before="120"/>
    </w:pPr>
    <w:rPr>
      <w:rFonts w:ascii="Arial" w:hAnsi="Arial" w:cs="Arial"/>
      <w:b/>
      <w:bCs/>
      <w:sz w:val="24"/>
      <w:szCs w:val="24"/>
    </w:rPr>
  </w:style>
  <w:style w:type="paragraph" w:styleId="TOC4">
    <w:name w:val="toc 4"/>
    <w:basedOn w:val="Normal"/>
    <w:next w:val="Normal"/>
    <w:autoRedefine/>
    <w:semiHidden/>
    <w:rsid w:val="00836067"/>
    <w:pPr>
      <w:ind w:left="600"/>
    </w:pPr>
  </w:style>
  <w:style w:type="paragraph" w:styleId="TOC5">
    <w:name w:val="toc 5"/>
    <w:basedOn w:val="Normal"/>
    <w:next w:val="Normal"/>
    <w:autoRedefine/>
    <w:semiHidden/>
    <w:rsid w:val="00836067"/>
    <w:pPr>
      <w:ind w:left="800"/>
    </w:pPr>
  </w:style>
  <w:style w:type="paragraph" w:styleId="TOC6">
    <w:name w:val="toc 6"/>
    <w:basedOn w:val="Normal"/>
    <w:next w:val="Normal"/>
    <w:autoRedefine/>
    <w:semiHidden/>
    <w:rsid w:val="00836067"/>
    <w:pPr>
      <w:ind w:left="1000"/>
    </w:pPr>
  </w:style>
  <w:style w:type="paragraph" w:styleId="TOC7">
    <w:name w:val="toc 7"/>
    <w:basedOn w:val="Normal"/>
    <w:next w:val="Normal"/>
    <w:autoRedefine/>
    <w:semiHidden/>
    <w:rsid w:val="00836067"/>
    <w:pPr>
      <w:ind w:left="1200"/>
    </w:pPr>
  </w:style>
  <w:style w:type="paragraph" w:styleId="TOC8">
    <w:name w:val="toc 8"/>
    <w:basedOn w:val="Normal"/>
    <w:next w:val="Normal"/>
    <w:autoRedefine/>
    <w:semiHidden/>
    <w:rsid w:val="00836067"/>
    <w:pPr>
      <w:ind w:left="1400"/>
    </w:pPr>
  </w:style>
  <w:style w:type="paragraph" w:styleId="TOC9">
    <w:name w:val="toc 9"/>
    <w:basedOn w:val="Normal"/>
    <w:next w:val="Normal"/>
    <w:autoRedefine/>
    <w:semiHidden/>
    <w:rsid w:val="00836067"/>
    <w:pPr>
      <w:ind w:left="1600"/>
    </w:pPr>
  </w:style>
  <w:style w:type="character" w:styleId="FollowedHyperlink">
    <w:name w:val="FollowedHyperlink"/>
    <w:locked/>
    <w:rsid w:val="00404FCB"/>
    <w:rPr>
      <w:rFonts w:cs="Times New Roman"/>
      <w:color w:val="800080"/>
      <w:u w:val="single"/>
    </w:rPr>
  </w:style>
  <w:style w:type="paragraph" w:customStyle="1" w:styleId="tableheading0">
    <w:name w:val="table heading"/>
    <w:basedOn w:val="Normal"/>
    <w:rsid w:val="005D772B"/>
    <w:pPr>
      <w:spacing w:after="0" w:line="240" w:lineRule="auto"/>
      <w:jc w:val="left"/>
    </w:pPr>
    <w:rPr>
      <w:rFonts w:ascii="Arial" w:hAnsi="Arial" w:cs="Arial"/>
      <w:b/>
      <w:bCs/>
      <w:szCs w:val="15"/>
    </w:rPr>
  </w:style>
  <w:style w:type="paragraph" w:customStyle="1" w:styleId="Style1">
    <w:name w:val="Style1"/>
    <w:basedOn w:val="ExampleText"/>
    <w:rsid w:val="0017347B"/>
    <w:rPr>
      <w:i w:val="0"/>
      <w:color w:val="auto"/>
      <w:lang w:val="en-GB"/>
    </w:rPr>
  </w:style>
  <w:style w:type="paragraph" w:customStyle="1" w:styleId="ChartandTableFootnotenumbered">
    <w:name w:val="Chart and Table Footnote numbered"/>
    <w:basedOn w:val="Normal"/>
    <w:next w:val="Normal"/>
    <w:rsid w:val="00B54965"/>
    <w:pPr>
      <w:keepNext/>
      <w:numPr>
        <w:numId w:val="17"/>
      </w:numPr>
      <w:spacing w:after="0"/>
    </w:pPr>
    <w:rPr>
      <w:rFonts w:ascii="Arial" w:hAnsi="Arial"/>
      <w:sz w:val="16"/>
    </w:rPr>
  </w:style>
  <w:style w:type="paragraph" w:customStyle="1" w:styleId="Bullet">
    <w:name w:val="Bullet"/>
    <w:basedOn w:val="Normal"/>
    <w:link w:val="BulletChar"/>
    <w:uiPriority w:val="99"/>
    <w:rsid w:val="00727D69"/>
    <w:pPr>
      <w:numPr>
        <w:numId w:val="19"/>
      </w:numPr>
      <w:spacing w:after="120"/>
      <w:ind w:left="284" w:hanging="284"/>
    </w:pPr>
  </w:style>
  <w:style w:type="paragraph" w:customStyle="1" w:styleId="Dash">
    <w:name w:val="Dash"/>
    <w:basedOn w:val="Normal"/>
    <w:uiPriority w:val="99"/>
    <w:rsid w:val="00727D69"/>
    <w:pPr>
      <w:numPr>
        <w:ilvl w:val="1"/>
        <w:numId w:val="19"/>
      </w:numPr>
      <w:spacing w:after="120" w:line="240" w:lineRule="exact"/>
      <w:ind w:left="568"/>
    </w:pPr>
  </w:style>
  <w:style w:type="paragraph" w:customStyle="1" w:styleId="DoubleDot">
    <w:name w:val="Double Dot"/>
    <w:basedOn w:val="Normal"/>
    <w:uiPriority w:val="99"/>
    <w:rsid w:val="00DB4336"/>
    <w:pPr>
      <w:numPr>
        <w:ilvl w:val="2"/>
        <w:numId w:val="19"/>
      </w:numPr>
    </w:pPr>
  </w:style>
  <w:style w:type="character" w:customStyle="1" w:styleId="BulletChar">
    <w:name w:val="Bullet Char"/>
    <w:link w:val="Bullet"/>
    <w:uiPriority w:val="99"/>
    <w:locked/>
    <w:rsid w:val="00727D69"/>
    <w:rPr>
      <w:rFonts w:ascii="Book Antiqua" w:hAnsi="Book Antiqua"/>
    </w:rPr>
  </w:style>
  <w:style w:type="paragraph" w:customStyle="1" w:styleId="BulletIntro">
    <w:name w:val="BulletIntro"/>
    <w:basedOn w:val="Normal"/>
    <w:link w:val="BulletIntroChar"/>
    <w:uiPriority w:val="99"/>
    <w:rsid w:val="00DB4336"/>
    <w:pPr>
      <w:keepNext/>
      <w:spacing w:after="120"/>
    </w:pPr>
  </w:style>
  <w:style w:type="character" w:customStyle="1" w:styleId="BulletIntroChar">
    <w:name w:val="BulletIntro Char"/>
    <w:link w:val="BulletIntro"/>
    <w:uiPriority w:val="99"/>
    <w:locked/>
    <w:rsid w:val="00DB4336"/>
    <w:rPr>
      <w:rFonts w:ascii="Book Antiqua" w:hAnsi="Book Antiqua"/>
    </w:rPr>
  </w:style>
  <w:style w:type="character" w:styleId="Hyperlink">
    <w:name w:val="Hyperlink"/>
    <w:uiPriority w:val="99"/>
    <w:unhideWhenUsed/>
    <w:locked/>
    <w:rsid w:val="002A770D"/>
    <w:rPr>
      <w:rFonts w:ascii="Book Antiqua" w:hAnsi="Book Antiqua"/>
      <w:color w:val="auto"/>
      <w:sz w:val="20"/>
      <w:u w:val="none"/>
    </w:rPr>
  </w:style>
  <w:style w:type="character" w:customStyle="1" w:styleId="A5">
    <w:name w:val="A5"/>
    <w:uiPriority w:val="99"/>
    <w:rsid w:val="009A7B26"/>
    <w:rPr>
      <w:rFonts w:ascii="Swiss 721 BT" w:hAnsi="Swiss 721 BT" w:cs="Swiss 721 BT" w:hint="default"/>
      <w:color w:val="000000"/>
      <w:sz w:val="20"/>
      <w:szCs w:val="20"/>
    </w:rPr>
  </w:style>
  <w:style w:type="paragraph" w:customStyle="1" w:styleId="AlphaParagraph">
    <w:name w:val="Alpha Paragraph"/>
    <w:basedOn w:val="Normal"/>
    <w:uiPriority w:val="99"/>
    <w:rsid w:val="00892823"/>
    <w:pPr>
      <w:numPr>
        <w:numId w:val="20"/>
      </w:numPr>
    </w:pPr>
  </w:style>
  <w:style w:type="paragraph" w:customStyle="1" w:styleId="BoxBullet">
    <w:name w:val="Box Bullet"/>
    <w:basedOn w:val="Normal"/>
    <w:autoRedefine/>
    <w:uiPriority w:val="99"/>
    <w:rsid w:val="00662D19"/>
    <w:pPr>
      <w:numPr>
        <w:numId w:val="21"/>
      </w:numPr>
      <w:pBdr>
        <w:top w:val="single" w:sz="4" w:space="3" w:color="auto"/>
        <w:left w:val="single" w:sz="4" w:space="0" w:color="auto"/>
        <w:bottom w:val="single" w:sz="4" w:space="3" w:color="auto"/>
        <w:right w:val="single" w:sz="4" w:space="0" w:color="auto"/>
      </w:pBdr>
      <w:spacing w:after="120" w:line="240" w:lineRule="auto"/>
      <w:ind w:left="284" w:hanging="284"/>
    </w:pPr>
    <w:rPr>
      <w:color w:val="000000"/>
    </w:rPr>
  </w:style>
  <w:style w:type="character" w:customStyle="1" w:styleId="FramedHeader">
    <w:name w:val="Framed Header"/>
    <w:uiPriority w:val="99"/>
    <w:rsid w:val="00892823"/>
    <w:rPr>
      <w:rFonts w:ascii="Book Antiqua" w:hAnsi="Book Antiqua" w:cs="Times New Roman"/>
      <w:i/>
      <w:color w:val="auto"/>
      <w:sz w:val="18"/>
      <w:vertAlign w:val="baseline"/>
    </w:rPr>
  </w:style>
  <w:style w:type="paragraph" w:customStyle="1" w:styleId="ProgramHeading1">
    <w:name w:val="Program Heading 1"/>
    <w:basedOn w:val="Normal"/>
    <w:next w:val="NoSpacing"/>
    <w:autoRedefine/>
    <w:uiPriority w:val="99"/>
    <w:rsid w:val="0084266F"/>
    <w:pPr>
      <w:keepNext/>
      <w:pBdr>
        <w:top w:val="single" w:sz="2" w:space="3" w:color="auto"/>
        <w:left w:val="single" w:sz="2" w:space="0" w:color="auto"/>
        <w:bottom w:val="single" w:sz="2" w:space="3" w:color="auto"/>
        <w:right w:val="single" w:sz="2" w:space="0" w:color="auto"/>
      </w:pBdr>
      <w:shd w:val="clear" w:color="auto" w:fill="E6E6E6"/>
      <w:spacing w:after="0" w:line="240" w:lineRule="auto"/>
      <w:jc w:val="left"/>
    </w:pPr>
    <w:rPr>
      <w:rFonts w:ascii="Arial" w:hAnsi="Arial"/>
      <w:b/>
    </w:rPr>
  </w:style>
  <w:style w:type="paragraph" w:customStyle="1" w:styleId="PBStext">
    <w:name w:val="PBS text"/>
    <w:basedOn w:val="Normal"/>
    <w:uiPriority w:val="99"/>
    <w:rsid w:val="00892823"/>
    <w:pPr>
      <w:spacing w:after="120" w:line="240" w:lineRule="auto"/>
    </w:pPr>
  </w:style>
  <w:style w:type="paragraph" w:customStyle="1" w:styleId="Editornote">
    <w:name w:val="Editor note"/>
    <w:basedOn w:val="Normal"/>
    <w:qFormat/>
    <w:rsid w:val="001475FD"/>
    <w:pPr>
      <w:jc w:val="left"/>
    </w:pPr>
    <w:rPr>
      <w:i/>
      <w:color w:val="7030A0"/>
    </w:rPr>
  </w:style>
  <w:style w:type="paragraph" w:styleId="Revision">
    <w:name w:val="Revision"/>
    <w:hidden/>
    <w:uiPriority w:val="99"/>
    <w:semiHidden/>
    <w:rsid w:val="00727D69"/>
    <w:rPr>
      <w:rFonts w:ascii="Book Antiqua" w:hAnsi="Book Antiqua"/>
    </w:rPr>
  </w:style>
  <w:style w:type="character" w:customStyle="1" w:styleId="ChartandTableFootnoteChar">
    <w:name w:val="Chart and Table Footnote Char"/>
    <w:link w:val="ChartandTableFootnote"/>
    <w:rsid w:val="001475FD"/>
    <w:rPr>
      <w:rFonts w:ascii="Arial" w:hAnsi="Arial"/>
      <w:sz w:val="16"/>
    </w:rPr>
  </w:style>
  <w:style w:type="character" w:customStyle="1" w:styleId="Heading5Char1">
    <w:name w:val="Heading 5 Char1"/>
    <w:link w:val="Heading5"/>
    <w:rsid w:val="00335776"/>
    <w:rPr>
      <w:rFonts w:ascii="Arial" w:hAnsi="Arial"/>
      <w:b/>
      <w:bCs/>
      <w:iCs/>
      <w:sz w:val="22"/>
      <w:szCs w:val="26"/>
    </w:rPr>
  </w:style>
  <w:style w:type="paragraph" w:customStyle="1" w:styleId="BulletLast">
    <w:name w:val="BulletLast"/>
    <w:basedOn w:val="Bullet"/>
    <w:qFormat/>
    <w:rsid w:val="00DC48F4"/>
    <w:pPr>
      <w:spacing w:after="240"/>
    </w:pPr>
  </w:style>
  <w:style w:type="character" w:styleId="FootnoteReference">
    <w:name w:val="footnote reference"/>
    <w:uiPriority w:val="99"/>
    <w:locked/>
    <w:rsid w:val="00432DD9"/>
    <w:rPr>
      <w:rFonts w:ascii="Book Antiqua" w:hAnsi="Book Antiqua"/>
      <w:b w:val="0"/>
      <w:i w:val="0"/>
      <w:sz w:val="20"/>
      <w:vertAlign w:val="superscript"/>
    </w:rPr>
  </w:style>
  <w:style w:type="paragraph" w:customStyle="1" w:styleId="NormalOutcome">
    <w:name w:val="Normal Outcome"/>
    <w:basedOn w:val="Normal"/>
    <w:next w:val="Heading4"/>
    <w:autoRedefine/>
    <w:qFormat/>
    <w:rsid w:val="00BD3613"/>
    <w:pPr>
      <w:spacing w:before="60" w:after="60" w:line="240" w:lineRule="exact"/>
    </w:pPr>
    <w:rPr>
      <w:rFonts w:ascii="Arial" w:hAnsi="Arial"/>
    </w:rPr>
  </w:style>
  <w:style w:type="paragraph" w:styleId="NoSpacing">
    <w:name w:val="No Spacing"/>
    <w:uiPriority w:val="1"/>
    <w:qFormat/>
    <w:rsid w:val="004C0FEC"/>
    <w:pPr>
      <w:jc w:val="both"/>
    </w:pPr>
    <w:rPr>
      <w:rFonts w:ascii="Book Antiqua" w:hAnsi="Book Antiqua"/>
    </w:rPr>
  </w:style>
  <w:style w:type="paragraph" w:customStyle="1" w:styleId="ProgramHeading2">
    <w:name w:val="Program Heading 2"/>
    <w:basedOn w:val="ProgramHeading1"/>
    <w:next w:val="NormalBox"/>
    <w:qFormat/>
    <w:rsid w:val="0084266F"/>
    <w:pPr>
      <w:shd w:val="clear" w:color="auto" w:fill="auto"/>
      <w:spacing w:after="120"/>
    </w:pPr>
    <w:rPr>
      <w:lang w:val="en-GB"/>
    </w:rPr>
  </w:style>
  <w:style w:type="paragraph" w:customStyle="1" w:styleId="NormalBox">
    <w:name w:val="Normal Box"/>
    <w:basedOn w:val="Normal"/>
    <w:next w:val="Normal"/>
    <w:qFormat/>
    <w:rsid w:val="008D6567"/>
    <w:pPr>
      <w:pBdr>
        <w:top w:val="single" w:sz="2" w:space="3" w:color="auto"/>
        <w:left w:val="single" w:sz="2" w:space="0" w:color="auto"/>
        <w:bottom w:val="single" w:sz="2" w:space="3" w:color="auto"/>
        <w:right w:val="single" w:sz="2" w:space="0" w:color="auto"/>
      </w:pBdr>
      <w:spacing w:after="120"/>
    </w:pPr>
    <w:rPr>
      <w:lang w:val="en-GB"/>
    </w:rPr>
  </w:style>
  <w:style w:type="paragraph" w:customStyle="1" w:styleId="ProgramHeading4">
    <w:name w:val="Program Heading 4"/>
    <w:basedOn w:val="ProgramHeading2"/>
    <w:next w:val="NormalBox"/>
    <w:autoRedefine/>
    <w:qFormat/>
    <w:rsid w:val="006F624A"/>
    <w:pPr>
      <w:spacing w:before="60" w:after="60"/>
    </w:pPr>
    <w:rPr>
      <w:rFonts w:ascii="Book Antiqua" w:hAnsi="Book Antiqua"/>
      <w:b w:val="0"/>
      <w:i/>
    </w:rPr>
  </w:style>
  <w:style w:type="paragraph" w:customStyle="1" w:styleId="BulletBox">
    <w:name w:val="Bullet Box"/>
    <w:basedOn w:val="Bullet"/>
    <w:qFormat/>
    <w:rsid w:val="00704365"/>
    <w:pPr>
      <w:pBdr>
        <w:top w:val="single" w:sz="2" w:space="3" w:color="auto"/>
        <w:left w:val="single" w:sz="2" w:space="0" w:color="auto"/>
        <w:bottom w:val="single" w:sz="2" w:space="3" w:color="auto"/>
        <w:right w:val="single" w:sz="2" w:space="0" w:color="auto"/>
      </w:pBdr>
      <w:spacing w:after="60"/>
    </w:pPr>
    <w:rPr>
      <w:lang w:val="en-GB"/>
    </w:rPr>
  </w:style>
  <w:style w:type="paragraph" w:customStyle="1" w:styleId="ProgramHeading3">
    <w:name w:val="Program Heading 3"/>
    <w:basedOn w:val="NormalBox"/>
    <w:next w:val="BulletBox"/>
    <w:autoRedefine/>
    <w:qFormat/>
    <w:rsid w:val="009227D1"/>
    <w:pPr>
      <w:keepNext/>
      <w:spacing w:before="60" w:after="60"/>
    </w:pPr>
    <w:rPr>
      <w:b/>
    </w:rPr>
  </w:style>
  <w:style w:type="character" w:customStyle="1" w:styleId="Heading6Char1">
    <w:name w:val="Heading 6 Char1"/>
    <w:basedOn w:val="DefaultParagraphFont"/>
    <w:link w:val="Heading6"/>
    <w:rsid w:val="008F6A0E"/>
    <w:rPr>
      <w:rFonts w:ascii="Arial" w:hAnsi="Arial"/>
      <w:b/>
      <w:shd w:val="clear" w:color="auto" w:fill="E6E6E6"/>
    </w:rPr>
  </w:style>
  <w:style w:type="table" w:styleId="TableGrid">
    <w:name w:val="Table Grid"/>
    <w:basedOn w:val="TableNormal"/>
    <w:rsid w:val="008367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3pt1">
    <w:name w:val="H3 pt1"/>
    <w:basedOn w:val="Heading3"/>
    <w:next w:val="Normal"/>
    <w:qFormat/>
    <w:rsid w:val="00245865"/>
    <w:pPr>
      <w:spacing w:before="120" w:after="120"/>
    </w:pPr>
    <w:rPr>
      <w:rFonts w:ascii="Arial Bold" w:hAnsi="Arial Bold"/>
      <w:smallCaps w:val="0"/>
      <w:sz w:val="22"/>
    </w:rPr>
  </w:style>
  <w:style w:type="paragraph" w:customStyle="1" w:styleId="H6">
    <w:name w:val="H6"/>
    <w:basedOn w:val="Heading6"/>
    <w:next w:val="Normal"/>
    <w:qFormat/>
    <w:rsid w:val="0017779B"/>
    <w:pPr>
      <w:pBdr>
        <w:top w:val="none" w:sz="0" w:space="0" w:color="auto"/>
        <w:left w:val="none" w:sz="0" w:space="0" w:color="auto"/>
        <w:bottom w:val="none" w:sz="0" w:space="0" w:color="auto"/>
        <w:right w:val="none" w:sz="0" w:space="0" w:color="auto"/>
      </w:pBdr>
      <w:shd w:val="clear" w:color="auto" w:fill="auto"/>
      <w:spacing w:after="120"/>
    </w:pPr>
    <w:rPr>
      <w:b w:val="0"/>
    </w:rPr>
  </w:style>
  <w:style w:type="paragraph" w:customStyle="1" w:styleId="H6-ILC">
    <w:name w:val="H6 - ILC"/>
    <w:basedOn w:val="Heading6"/>
    <w:next w:val="Normal"/>
    <w:qFormat/>
    <w:rsid w:val="00F7530C"/>
    <w:pPr>
      <w:pBdr>
        <w:top w:val="none" w:sz="0" w:space="0" w:color="auto"/>
        <w:left w:val="none" w:sz="0" w:space="0" w:color="auto"/>
        <w:bottom w:val="none" w:sz="0" w:space="0" w:color="auto"/>
        <w:right w:val="none" w:sz="0" w:space="0" w:color="auto"/>
      </w:pBdr>
      <w:shd w:val="clear" w:color="auto" w:fill="auto"/>
      <w:spacing w:after="120"/>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1381"/>
    <w:pPr>
      <w:keepLines/>
      <w:spacing w:after="240" w:line="260" w:lineRule="exact"/>
      <w:jc w:val="both"/>
    </w:pPr>
    <w:rPr>
      <w:rFonts w:ascii="Book Antiqua" w:hAnsi="Book Antiqua"/>
    </w:rPr>
  </w:style>
  <w:style w:type="paragraph" w:styleId="Heading1">
    <w:name w:val="heading 1"/>
    <w:basedOn w:val="Normal"/>
    <w:next w:val="Normal"/>
    <w:link w:val="Heading1Char"/>
    <w:qFormat/>
    <w:rsid w:val="00F51DAC"/>
    <w:pPr>
      <w:keepNext/>
      <w:spacing w:line="240" w:lineRule="auto"/>
      <w:jc w:val="center"/>
      <w:outlineLvl w:val="0"/>
    </w:pPr>
    <w:rPr>
      <w:rFonts w:ascii="Arial" w:hAnsi="Arial"/>
      <w:b/>
      <w:smallCaps/>
      <w:kern w:val="28"/>
      <w:sz w:val="34"/>
    </w:rPr>
  </w:style>
  <w:style w:type="paragraph" w:styleId="Heading2">
    <w:name w:val="heading 2"/>
    <w:basedOn w:val="Normal"/>
    <w:next w:val="Normal"/>
    <w:link w:val="Heading2Char"/>
    <w:qFormat/>
    <w:rsid w:val="00F51DAC"/>
    <w:pPr>
      <w:keepNext/>
      <w:spacing w:before="360" w:after="360" w:line="240" w:lineRule="auto"/>
      <w:jc w:val="left"/>
      <w:outlineLvl w:val="1"/>
    </w:pPr>
    <w:rPr>
      <w:rFonts w:ascii="Arial" w:hAnsi="Arial"/>
      <w:sz w:val="30"/>
    </w:rPr>
  </w:style>
  <w:style w:type="paragraph" w:styleId="Heading3">
    <w:name w:val="heading 3"/>
    <w:basedOn w:val="Normal"/>
    <w:next w:val="Normal"/>
    <w:link w:val="Heading3Char"/>
    <w:qFormat/>
    <w:rsid w:val="00F51DAC"/>
    <w:pPr>
      <w:keepNext/>
      <w:tabs>
        <w:tab w:val="left" w:pos="709"/>
      </w:tabs>
      <w:spacing w:before="240" w:line="240" w:lineRule="auto"/>
      <w:jc w:val="left"/>
      <w:outlineLvl w:val="2"/>
    </w:pPr>
    <w:rPr>
      <w:rFonts w:ascii="Arial" w:hAnsi="Arial"/>
      <w:b/>
      <w:smallCaps/>
      <w:sz w:val="26"/>
    </w:rPr>
  </w:style>
  <w:style w:type="paragraph" w:styleId="Heading4">
    <w:name w:val="heading 4"/>
    <w:basedOn w:val="Normal"/>
    <w:next w:val="Normal"/>
    <w:link w:val="Heading4Char"/>
    <w:qFormat/>
    <w:rsid w:val="003608C9"/>
    <w:pPr>
      <w:keepNext/>
      <w:spacing w:before="120" w:after="120" w:line="240" w:lineRule="auto"/>
      <w:jc w:val="left"/>
      <w:outlineLvl w:val="3"/>
    </w:pPr>
    <w:rPr>
      <w:rFonts w:ascii="Arial" w:hAnsi="Arial"/>
      <w:b/>
      <w:bCs/>
      <w:sz w:val="22"/>
    </w:rPr>
  </w:style>
  <w:style w:type="paragraph" w:styleId="Heading5">
    <w:name w:val="heading 5"/>
    <w:basedOn w:val="Normal"/>
    <w:next w:val="Normal"/>
    <w:link w:val="Heading5Char1"/>
    <w:qFormat/>
    <w:rsid w:val="00335776"/>
    <w:pPr>
      <w:spacing w:before="120" w:after="0"/>
      <w:outlineLvl w:val="4"/>
    </w:pPr>
    <w:rPr>
      <w:rFonts w:ascii="Arial" w:hAnsi="Arial"/>
      <w:b/>
      <w:bCs/>
      <w:iCs/>
      <w:sz w:val="22"/>
      <w:szCs w:val="26"/>
    </w:rPr>
  </w:style>
  <w:style w:type="paragraph" w:styleId="Heading6">
    <w:name w:val="heading 6"/>
    <w:basedOn w:val="ProgramHeading1"/>
    <w:next w:val="Normal"/>
    <w:link w:val="Heading6Char1"/>
    <w:qFormat/>
    <w:rsid w:val="008F6A0E"/>
    <w:pPr>
      <w:outlineLvl w:val="5"/>
    </w:pPr>
  </w:style>
  <w:style w:type="paragraph" w:styleId="Heading7">
    <w:name w:val="heading 7"/>
    <w:basedOn w:val="ProgramHeading2"/>
    <w:next w:val="Normal"/>
    <w:link w:val="Heading7Char"/>
    <w:qFormat/>
    <w:rsid w:val="005D6D56"/>
    <w:pPr>
      <w:outlineLvl w:val="6"/>
    </w:pPr>
  </w:style>
  <w:style w:type="paragraph" w:styleId="Heading8">
    <w:name w:val="heading 8"/>
    <w:basedOn w:val="ProgramHeading3"/>
    <w:next w:val="Normal"/>
    <w:link w:val="Heading8Char"/>
    <w:qFormat/>
    <w:rsid w:val="005D6D56"/>
    <w:pPr>
      <w:outlineLvl w:val="7"/>
    </w:pPr>
  </w:style>
  <w:style w:type="paragraph" w:styleId="Heading9">
    <w:name w:val="heading 9"/>
    <w:basedOn w:val="Normal"/>
    <w:next w:val="Normal"/>
    <w:link w:val="Heading9Char"/>
    <w:qFormat/>
    <w:rsid w:val="0083606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51DAC"/>
    <w:rPr>
      <w:rFonts w:ascii="Arial" w:hAnsi="Arial" w:cs="Times New Roman"/>
      <w:b/>
      <w:smallCaps/>
      <w:kern w:val="28"/>
      <w:sz w:val="20"/>
      <w:szCs w:val="20"/>
      <w:lang w:val="x-none" w:eastAsia="en-AU"/>
    </w:rPr>
  </w:style>
  <w:style w:type="character" w:customStyle="1" w:styleId="Heading2Char">
    <w:name w:val="Heading 2 Char"/>
    <w:link w:val="Heading2"/>
    <w:locked/>
    <w:rsid w:val="00F51DAC"/>
    <w:rPr>
      <w:rFonts w:ascii="Arial" w:hAnsi="Arial" w:cs="Times New Roman"/>
      <w:sz w:val="20"/>
      <w:szCs w:val="20"/>
      <w:lang w:val="x-none" w:eastAsia="en-AU"/>
    </w:rPr>
  </w:style>
  <w:style w:type="character" w:customStyle="1" w:styleId="Heading3Char">
    <w:name w:val="Heading 3 Char"/>
    <w:link w:val="Heading3"/>
    <w:locked/>
    <w:rsid w:val="00F51DAC"/>
    <w:rPr>
      <w:rFonts w:ascii="Arial" w:hAnsi="Arial" w:cs="Times New Roman"/>
      <w:b/>
      <w:smallCaps/>
      <w:sz w:val="20"/>
      <w:szCs w:val="20"/>
      <w:lang w:val="x-none" w:eastAsia="en-AU"/>
    </w:rPr>
  </w:style>
  <w:style w:type="character" w:customStyle="1" w:styleId="Heading4Char">
    <w:name w:val="Heading 4 Char"/>
    <w:link w:val="Heading4"/>
    <w:locked/>
    <w:rsid w:val="003608C9"/>
    <w:rPr>
      <w:rFonts w:ascii="Arial" w:hAnsi="Arial"/>
      <w:b/>
      <w:bCs/>
      <w:sz w:val="22"/>
    </w:rPr>
  </w:style>
  <w:style w:type="character" w:customStyle="1" w:styleId="Heading5Char">
    <w:name w:val="Heading 5 Char"/>
    <w:locked/>
    <w:rsid w:val="00BD73EB"/>
    <w:rPr>
      <w:rFonts w:ascii="Arial" w:hAnsi="Arial"/>
      <w:b/>
      <w:bCs/>
      <w:iCs/>
      <w:szCs w:val="26"/>
    </w:rPr>
  </w:style>
  <w:style w:type="character" w:customStyle="1" w:styleId="Heading6Char">
    <w:name w:val="Heading 6 Char"/>
    <w:locked/>
    <w:rsid w:val="00D413A5"/>
    <w:rPr>
      <w:rFonts w:ascii="Arial" w:hAnsi="Arial"/>
      <w:iCs/>
    </w:rPr>
  </w:style>
  <w:style w:type="character" w:customStyle="1" w:styleId="Heading7Char">
    <w:name w:val="Heading 7 Char"/>
    <w:link w:val="Heading7"/>
    <w:locked/>
    <w:rsid w:val="005D6D56"/>
    <w:rPr>
      <w:rFonts w:ascii="Arial" w:hAnsi="Arial"/>
      <w:b/>
      <w:lang w:val="en-GB"/>
    </w:rPr>
  </w:style>
  <w:style w:type="character" w:customStyle="1" w:styleId="Heading8Char">
    <w:name w:val="Heading 8 Char"/>
    <w:link w:val="Heading8"/>
    <w:locked/>
    <w:rsid w:val="005D6D56"/>
    <w:rPr>
      <w:rFonts w:ascii="Book Antiqua" w:hAnsi="Book Antiqua"/>
      <w:b/>
      <w:lang w:val="en-GB"/>
    </w:rPr>
  </w:style>
  <w:style w:type="character" w:customStyle="1" w:styleId="Heading9Char">
    <w:name w:val="Heading 9 Char"/>
    <w:link w:val="Heading9"/>
    <w:semiHidden/>
    <w:locked/>
    <w:rsid w:val="007B1BEA"/>
    <w:rPr>
      <w:rFonts w:ascii="Cambria" w:hAnsi="Cambria" w:cs="Times New Roman"/>
    </w:rPr>
  </w:style>
  <w:style w:type="paragraph" w:customStyle="1" w:styleId="TableColumnHeadingCentred">
    <w:name w:val="Table Column Heading Centred"/>
    <w:basedOn w:val="Normal"/>
    <w:rsid w:val="00F50B89"/>
    <w:pPr>
      <w:spacing w:before="60" w:after="60"/>
      <w:jc w:val="center"/>
    </w:pPr>
    <w:rPr>
      <w:rFonts w:ascii="Arial" w:hAnsi="Arial"/>
      <w:b/>
      <w:color w:val="000000"/>
      <w:sz w:val="16"/>
    </w:rPr>
  </w:style>
  <w:style w:type="paragraph" w:customStyle="1" w:styleId="TableColumnHeadingLeft">
    <w:name w:val="Table Column Heading Left"/>
    <w:basedOn w:val="Normal"/>
    <w:autoRedefine/>
    <w:rsid w:val="00836759"/>
    <w:pPr>
      <w:spacing w:before="60" w:after="60" w:line="240" w:lineRule="auto"/>
    </w:pPr>
    <w:rPr>
      <w:rFonts w:ascii="Arial" w:hAnsi="Arial"/>
      <w:b/>
      <w:color w:val="000000"/>
    </w:rPr>
  </w:style>
  <w:style w:type="paragraph" w:customStyle="1" w:styleId="TableColumnHeadingRight">
    <w:name w:val="Table Column Heading Right"/>
    <w:basedOn w:val="Normal"/>
    <w:link w:val="TableColumnHeadingRightChar"/>
    <w:rsid w:val="00F50B89"/>
    <w:pPr>
      <w:spacing w:before="60" w:after="60"/>
      <w:jc w:val="right"/>
    </w:pPr>
    <w:rPr>
      <w:rFonts w:ascii="Arial" w:hAnsi="Arial"/>
      <w:b/>
      <w:color w:val="000000"/>
      <w:sz w:val="16"/>
    </w:rPr>
  </w:style>
  <w:style w:type="character" w:customStyle="1" w:styleId="TableColumnHeadingRightChar">
    <w:name w:val="Table Column Heading Right Char"/>
    <w:link w:val="TableColumnHeadingRight"/>
    <w:locked/>
    <w:rsid w:val="00F50B89"/>
    <w:rPr>
      <w:rFonts w:ascii="Arial" w:hAnsi="Arial" w:cs="Times New Roman"/>
      <w:b/>
      <w:color w:val="000000"/>
      <w:sz w:val="20"/>
      <w:szCs w:val="20"/>
      <w:lang w:val="x-none" w:eastAsia="en-AU"/>
    </w:rPr>
  </w:style>
  <w:style w:type="paragraph" w:customStyle="1" w:styleId="Heading3ptafter">
    <w:name w:val="Heading 3 pt after"/>
    <w:basedOn w:val="Normal"/>
    <w:rsid w:val="0096764F"/>
    <w:pPr>
      <w:spacing w:after="60"/>
      <w:jc w:val="left"/>
    </w:pPr>
    <w:rPr>
      <w:rFonts w:ascii="Arial" w:hAnsi="Arial"/>
      <w:bCs/>
      <w:i/>
      <w:iCs/>
      <w:szCs w:val="22"/>
    </w:rPr>
  </w:style>
  <w:style w:type="paragraph" w:customStyle="1" w:styleId="ChartandTableFootnoteAlpha">
    <w:name w:val="Chart and Table Footnote Alpha"/>
    <w:basedOn w:val="Normal"/>
    <w:next w:val="Normal"/>
    <w:rsid w:val="00AA5656"/>
    <w:pPr>
      <w:keepNext/>
      <w:spacing w:after="0"/>
      <w:ind w:left="360" w:hanging="360"/>
    </w:pPr>
    <w:rPr>
      <w:rFonts w:ascii="Arial" w:hAnsi="Arial"/>
      <w:sz w:val="16"/>
    </w:rPr>
  </w:style>
  <w:style w:type="paragraph" w:styleId="Title">
    <w:name w:val="Title"/>
    <w:basedOn w:val="Normal"/>
    <w:link w:val="TitleChar"/>
    <w:qFormat/>
    <w:rsid w:val="005F3DC1"/>
    <w:pPr>
      <w:spacing w:after="0"/>
      <w:jc w:val="center"/>
      <w:outlineLvl w:val="0"/>
    </w:pPr>
    <w:rPr>
      <w:rFonts w:ascii="Arial" w:hAnsi="Arial" w:cs="Arial"/>
      <w:b/>
      <w:bCs/>
      <w:caps/>
      <w:kern w:val="28"/>
      <w:sz w:val="52"/>
      <w:szCs w:val="32"/>
    </w:rPr>
  </w:style>
  <w:style w:type="character" w:customStyle="1" w:styleId="TitleChar">
    <w:name w:val="Title Char"/>
    <w:link w:val="Title"/>
    <w:locked/>
    <w:rsid w:val="005F3DC1"/>
    <w:rPr>
      <w:rFonts w:ascii="Arial" w:hAnsi="Arial" w:cs="Arial"/>
      <w:b/>
      <w:bCs/>
      <w:caps/>
      <w:kern w:val="28"/>
      <w:sz w:val="32"/>
      <w:szCs w:val="32"/>
      <w:lang w:val="x-none" w:eastAsia="en-AU"/>
    </w:rPr>
  </w:style>
  <w:style w:type="paragraph" w:customStyle="1" w:styleId="Department">
    <w:name w:val="Department"/>
    <w:basedOn w:val="Normal"/>
    <w:rsid w:val="005F3DC1"/>
    <w:pPr>
      <w:spacing w:after="0"/>
      <w:jc w:val="left"/>
    </w:pPr>
    <w:rPr>
      <w:rFonts w:ascii="Arial" w:hAnsi="Arial"/>
      <w:b/>
      <w:sz w:val="52"/>
    </w:rPr>
  </w:style>
  <w:style w:type="paragraph" w:styleId="TOC2">
    <w:name w:val="toc 2"/>
    <w:basedOn w:val="Normal"/>
    <w:next w:val="Normal"/>
    <w:autoRedefine/>
    <w:rsid w:val="00D1795B"/>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F51DAC"/>
    <w:pPr>
      <w:keepNext/>
      <w:spacing w:after="0" w:line="240" w:lineRule="auto"/>
      <w:jc w:val="center"/>
    </w:pPr>
    <w:rPr>
      <w:rFonts w:ascii="Arial" w:hAnsi="Arial"/>
    </w:rPr>
  </w:style>
  <w:style w:type="paragraph" w:customStyle="1" w:styleId="TableHeading">
    <w:name w:val="Table Heading"/>
    <w:basedOn w:val="Normal"/>
    <w:next w:val="TableGraphic"/>
    <w:link w:val="TableHeadingChar"/>
    <w:rsid w:val="0040519B"/>
    <w:pPr>
      <w:keepNext/>
      <w:spacing w:before="240" w:after="20" w:line="240" w:lineRule="auto"/>
      <w:jc w:val="left"/>
    </w:pPr>
    <w:rPr>
      <w:rFonts w:ascii="Arial" w:hAnsi="Arial"/>
      <w:b/>
    </w:rPr>
  </w:style>
  <w:style w:type="paragraph" w:styleId="TOC1">
    <w:name w:val="toc 1"/>
    <w:basedOn w:val="Normal"/>
    <w:next w:val="Normal"/>
    <w:autoRedefine/>
    <w:rsid w:val="00D1795B"/>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uiPriority w:val="99"/>
    <w:rsid w:val="00F51DAC"/>
    <w:pPr>
      <w:tabs>
        <w:tab w:val="center" w:pos="4153"/>
        <w:tab w:val="right" w:pos="8306"/>
      </w:tabs>
      <w:spacing w:after="0" w:line="240" w:lineRule="auto"/>
      <w:jc w:val="left"/>
    </w:pPr>
    <w:rPr>
      <w:i/>
    </w:rPr>
  </w:style>
  <w:style w:type="character" w:customStyle="1" w:styleId="HeaderChar">
    <w:name w:val="Header Char"/>
    <w:link w:val="Header"/>
    <w:uiPriority w:val="99"/>
    <w:locked/>
    <w:rsid w:val="00F51DAC"/>
    <w:rPr>
      <w:rFonts w:ascii="Book Antiqua" w:hAnsi="Book Antiqua" w:cs="Times New Roman"/>
      <w:i/>
      <w:sz w:val="20"/>
      <w:szCs w:val="20"/>
      <w:lang w:val="x-none" w:eastAsia="en-AU"/>
    </w:rPr>
  </w:style>
  <w:style w:type="paragraph" w:styleId="Footer">
    <w:name w:val="footer"/>
    <w:basedOn w:val="Normal"/>
    <w:link w:val="FooterChar"/>
    <w:uiPriority w:val="99"/>
    <w:rsid w:val="00F51DAC"/>
    <w:pPr>
      <w:tabs>
        <w:tab w:val="center" w:pos="4153"/>
        <w:tab w:val="right" w:pos="8306"/>
      </w:tabs>
      <w:spacing w:after="0" w:line="240" w:lineRule="auto"/>
      <w:jc w:val="center"/>
    </w:pPr>
    <w:rPr>
      <w:rFonts w:ascii="Arial" w:hAnsi="Arial"/>
    </w:rPr>
  </w:style>
  <w:style w:type="character" w:customStyle="1" w:styleId="FooterChar">
    <w:name w:val="Footer Char"/>
    <w:link w:val="Footer"/>
    <w:uiPriority w:val="99"/>
    <w:locked/>
    <w:rsid w:val="00F51DAC"/>
    <w:rPr>
      <w:rFonts w:ascii="Arial" w:hAnsi="Arial" w:cs="Times New Roman"/>
      <w:sz w:val="20"/>
      <w:szCs w:val="20"/>
      <w:lang w:val="x-none" w:eastAsia="en-AU"/>
    </w:rPr>
  </w:style>
  <w:style w:type="character" w:styleId="PageNumber">
    <w:name w:val="page number"/>
    <w:rsid w:val="00F51DAC"/>
    <w:rPr>
      <w:rFonts w:ascii="Arial" w:hAnsi="Arial" w:cs="Arial"/>
    </w:rPr>
  </w:style>
  <w:style w:type="paragraph" w:customStyle="1" w:styleId="ContentsHeading">
    <w:name w:val="Contents Heading"/>
    <w:basedOn w:val="Normal"/>
    <w:next w:val="Normal"/>
    <w:rsid w:val="00F51DAC"/>
    <w:pPr>
      <w:keepNext/>
      <w:spacing w:after="360" w:line="240" w:lineRule="auto"/>
      <w:jc w:val="center"/>
    </w:pPr>
    <w:rPr>
      <w:rFonts w:ascii="Arial" w:hAnsi="Arial"/>
      <w:b/>
      <w:smallCaps/>
      <w:sz w:val="34"/>
    </w:rPr>
  </w:style>
  <w:style w:type="paragraph" w:customStyle="1" w:styleId="SinglePara">
    <w:name w:val="Single Para"/>
    <w:basedOn w:val="Normal"/>
    <w:rsid w:val="00476B2B"/>
    <w:pPr>
      <w:spacing w:after="0"/>
      <w:jc w:val="left"/>
    </w:pPr>
    <w:rPr>
      <w:sz w:val="16"/>
    </w:rPr>
  </w:style>
  <w:style w:type="paragraph" w:customStyle="1" w:styleId="ExampleText">
    <w:name w:val="Example Text"/>
    <w:basedOn w:val="Normal"/>
    <w:rsid w:val="00F51DAC"/>
    <w:pPr>
      <w:jc w:val="left"/>
    </w:pPr>
    <w:rPr>
      <w:i/>
      <w:color w:val="FF0000"/>
    </w:rPr>
  </w:style>
  <w:style w:type="paragraph" w:customStyle="1" w:styleId="HeaderEven">
    <w:name w:val="Header Even"/>
    <w:basedOn w:val="Normal"/>
    <w:uiPriority w:val="99"/>
    <w:rsid w:val="00F51DAC"/>
    <w:pPr>
      <w:spacing w:after="0" w:line="240" w:lineRule="auto"/>
      <w:jc w:val="left"/>
    </w:pPr>
    <w:rPr>
      <w:i/>
    </w:rPr>
  </w:style>
  <w:style w:type="paragraph" w:customStyle="1" w:styleId="HeaderOdd">
    <w:name w:val="Header Odd"/>
    <w:basedOn w:val="Normal"/>
    <w:uiPriority w:val="99"/>
    <w:rsid w:val="00F51DAC"/>
    <w:pPr>
      <w:spacing w:after="0" w:line="240" w:lineRule="auto"/>
      <w:jc w:val="right"/>
    </w:pPr>
    <w:rPr>
      <w:i/>
    </w:rPr>
  </w:style>
  <w:style w:type="paragraph" w:customStyle="1" w:styleId="OverviewParagraph">
    <w:name w:val="Overview Paragraph"/>
    <w:basedOn w:val="Normal"/>
    <w:link w:val="OverviewParagraphChar"/>
    <w:semiHidden/>
    <w:rsid w:val="00F51DAC"/>
    <w:pPr>
      <w:spacing w:before="120" w:after="120" w:line="240" w:lineRule="auto"/>
    </w:pPr>
  </w:style>
  <w:style w:type="paragraph" w:customStyle="1" w:styleId="SingleParagraph">
    <w:name w:val="Single Paragraph"/>
    <w:basedOn w:val="Normal"/>
    <w:rsid w:val="00F51DAC"/>
    <w:pPr>
      <w:spacing w:after="0"/>
    </w:pPr>
  </w:style>
  <w:style w:type="paragraph" w:customStyle="1" w:styleId="PartHeading">
    <w:name w:val="Part Heading"/>
    <w:basedOn w:val="Normal"/>
    <w:next w:val="Normal"/>
    <w:rsid w:val="00A15CAC"/>
    <w:pPr>
      <w:spacing w:before="240" w:line="240" w:lineRule="auto"/>
      <w:jc w:val="center"/>
    </w:pPr>
    <w:rPr>
      <w:rFonts w:ascii="Arial Bold" w:hAnsi="Arial Bold" w:cs="Arial"/>
      <w:b/>
      <w:smallCaps/>
      <w:sz w:val="52"/>
    </w:rPr>
  </w:style>
  <w:style w:type="paragraph" w:customStyle="1" w:styleId="Tabletextjustified">
    <w:name w:val="Table text justified"/>
    <w:basedOn w:val="Normal"/>
    <w:semiHidden/>
    <w:rsid w:val="00F51DAC"/>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F51DAC"/>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F51DAC"/>
    <w:pPr>
      <w:spacing w:before="100" w:after="100" w:line="250" w:lineRule="exact"/>
    </w:pPr>
  </w:style>
  <w:style w:type="character" w:customStyle="1" w:styleId="OverviewParagraphChar">
    <w:name w:val="Overview Paragraph Char"/>
    <w:link w:val="OverviewParagraph"/>
    <w:semiHidden/>
    <w:locked/>
    <w:rsid w:val="00F51DAC"/>
    <w:rPr>
      <w:rFonts w:ascii="Book Antiqua" w:hAnsi="Book Antiqua" w:cs="Times New Roman"/>
      <w:sz w:val="20"/>
      <w:szCs w:val="20"/>
      <w:lang w:val="x-none" w:eastAsia="en-AU"/>
    </w:rPr>
  </w:style>
  <w:style w:type="paragraph" w:customStyle="1" w:styleId="Area">
    <w:name w:val="Area"/>
    <w:basedOn w:val="Normal"/>
    <w:rsid w:val="00F51DAC"/>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F51DAC"/>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uiPriority w:val="99"/>
    <w:rsid w:val="00660127"/>
    <w:pPr>
      <w:spacing w:line="240" w:lineRule="auto"/>
      <w:ind w:right="-113"/>
    </w:pPr>
    <w:rPr>
      <w:i/>
      <w:color w:val="FF0000"/>
    </w:rPr>
  </w:style>
  <w:style w:type="paragraph" w:customStyle="1" w:styleId="Exampletext0">
    <w:name w:val="Example text"/>
    <w:basedOn w:val="Normal"/>
    <w:link w:val="ExampletextCharChar"/>
    <w:rsid w:val="00F51DAC"/>
    <w:rPr>
      <w:i/>
      <w:color w:val="FF0000"/>
    </w:rPr>
  </w:style>
  <w:style w:type="character" w:customStyle="1" w:styleId="ExampletextCharChar">
    <w:name w:val="Example text Char Char"/>
    <w:link w:val="Exampletext0"/>
    <w:locked/>
    <w:rsid w:val="00F51DAC"/>
    <w:rPr>
      <w:rFonts w:ascii="Book Antiqua" w:hAnsi="Book Antiqua" w:cs="Times New Roman"/>
      <w:i/>
      <w:color w:val="FF0000"/>
      <w:sz w:val="20"/>
      <w:szCs w:val="20"/>
      <w:lang w:val="x-none" w:eastAsia="en-AU"/>
    </w:rPr>
  </w:style>
  <w:style w:type="paragraph" w:customStyle="1" w:styleId="Source">
    <w:name w:val="Source"/>
    <w:basedOn w:val="Normal"/>
    <w:uiPriority w:val="99"/>
    <w:rsid w:val="00F51DAC"/>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1015C2"/>
    <w:pPr>
      <w:keepNext/>
      <w:spacing w:after="120" w:line="240" w:lineRule="auto"/>
      <w:jc w:val="left"/>
    </w:pPr>
    <w:rPr>
      <w:rFonts w:ascii="Arial" w:hAnsi="Arial"/>
      <w:b/>
    </w:rPr>
  </w:style>
  <w:style w:type="paragraph" w:customStyle="1" w:styleId="ChartandTableFootnote">
    <w:name w:val="Chart and Table Footnote"/>
    <w:basedOn w:val="Normal"/>
    <w:next w:val="Normal"/>
    <w:link w:val="ChartandTableFootnoteChar"/>
    <w:rsid w:val="00F51DAC"/>
    <w:pPr>
      <w:tabs>
        <w:tab w:val="left" w:pos="284"/>
      </w:tabs>
      <w:spacing w:after="0" w:line="240" w:lineRule="auto"/>
      <w:ind w:left="284" w:hanging="284"/>
    </w:pPr>
    <w:rPr>
      <w:rFonts w:ascii="Arial" w:hAnsi="Arial"/>
      <w:sz w:val="16"/>
    </w:rPr>
  </w:style>
  <w:style w:type="character" w:customStyle="1" w:styleId="TableHeadingChar">
    <w:name w:val="Table Heading Char"/>
    <w:link w:val="TableHeading"/>
    <w:locked/>
    <w:rsid w:val="0040519B"/>
    <w:rPr>
      <w:rFonts w:ascii="Arial" w:hAnsi="Arial"/>
      <w:b/>
    </w:rPr>
  </w:style>
  <w:style w:type="paragraph" w:customStyle="1" w:styleId="TPHeading1">
    <w:name w:val="TP Heading 1"/>
    <w:basedOn w:val="Normal"/>
    <w:rsid w:val="00F51DAC"/>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F51DAC"/>
    <w:pPr>
      <w:keepNext/>
      <w:spacing w:after="0" w:line="240" w:lineRule="auto"/>
      <w:ind w:left="1418"/>
      <w:jc w:val="left"/>
    </w:pPr>
    <w:rPr>
      <w:rFonts w:ascii="Arial" w:hAnsi="Arial" w:cs="Arial"/>
      <w:caps/>
      <w:sz w:val="24"/>
    </w:rPr>
  </w:style>
  <w:style w:type="paragraph" w:customStyle="1" w:styleId="TPHeading2">
    <w:name w:val="TP Heading 2"/>
    <w:basedOn w:val="TPHeading1"/>
    <w:rsid w:val="00F51DAC"/>
    <w:rPr>
      <w:b w:val="0"/>
    </w:rPr>
  </w:style>
  <w:style w:type="paragraph" w:styleId="BalloonText">
    <w:name w:val="Balloon Text"/>
    <w:basedOn w:val="Normal"/>
    <w:link w:val="BalloonTextChar"/>
    <w:semiHidden/>
    <w:rsid w:val="00F51DAC"/>
    <w:pPr>
      <w:spacing w:after="0" w:line="240" w:lineRule="auto"/>
    </w:pPr>
    <w:rPr>
      <w:rFonts w:ascii="Tahoma" w:hAnsi="Tahoma" w:cs="Tahoma"/>
      <w:sz w:val="16"/>
      <w:szCs w:val="16"/>
    </w:rPr>
  </w:style>
  <w:style w:type="character" w:customStyle="1" w:styleId="BalloonTextChar">
    <w:name w:val="Balloon Text Char"/>
    <w:link w:val="BalloonText"/>
    <w:semiHidden/>
    <w:locked/>
    <w:rsid w:val="00F51DAC"/>
    <w:rPr>
      <w:rFonts w:ascii="Tahoma" w:hAnsi="Tahoma" w:cs="Tahoma"/>
      <w:sz w:val="16"/>
      <w:szCs w:val="16"/>
      <w:lang w:val="x-none" w:eastAsia="en-AU"/>
    </w:rPr>
  </w:style>
  <w:style w:type="paragraph" w:styleId="TOC3">
    <w:name w:val="toc 3"/>
    <w:basedOn w:val="Normal"/>
    <w:next w:val="Normal"/>
    <w:autoRedefine/>
    <w:rsid w:val="00E15CF3"/>
    <w:pPr>
      <w:spacing w:after="100"/>
      <w:ind w:left="400"/>
    </w:pPr>
  </w:style>
  <w:style w:type="paragraph" w:customStyle="1" w:styleId="Outcomeheading">
    <w:name w:val="Outcome heading"/>
    <w:basedOn w:val="Heading3"/>
    <w:next w:val="NormalOutcome"/>
    <w:rsid w:val="00DD5C28"/>
    <w:pPr>
      <w:spacing w:before="60" w:after="60"/>
    </w:pPr>
    <w:rPr>
      <w:smallCaps w:val="0"/>
      <w:sz w:val="22"/>
    </w:rPr>
  </w:style>
  <w:style w:type="character" w:customStyle="1" w:styleId="TableTextBulletChar">
    <w:name w:val="Table Text Bullet Char"/>
    <w:link w:val="TableTextBullet"/>
    <w:locked/>
    <w:rsid w:val="008A3A4E"/>
    <w:rPr>
      <w:rFonts w:ascii="Book Antiqua" w:hAnsi="Book Antiqua"/>
      <w:sz w:val="22"/>
      <w:szCs w:val="22"/>
      <w:lang w:val="en-AU" w:eastAsia="en-US" w:bidi="ar-SA"/>
    </w:rPr>
  </w:style>
  <w:style w:type="paragraph" w:customStyle="1" w:styleId="TableTextBullet">
    <w:name w:val="Table Text Bullet"/>
    <w:basedOn w:val="Normal"/>
    <w:link w:val="TableTextBulletChar"/>
    <w:rsid w:val="008A3A4E"/>
    <w:pPr>
      <w:numPr>
        <w:numId w:val="13"/>
      </w:numPr>
      <w:spacing w:before="60" w:after="60" w:line="240" w:lineRule="auto"/>
      <w:jc w:val="left"/>
    </w:pPr>
    <w:rPr>
      <w:sz w:val="22"/>
      <w:szCs w:val="22"/>
      <w:lang w:eastAsia="en-US"/>
    </w:rPr>
  </w:style>
  <w:style w:type="paragraph" w:customStyle="1" w:styleId="TableTextDash">
    <w:name w:val="Table Text Dash"/>
    <w:basedOn w:val="Normal"/>
    <w:rsid w:val="008A3A4E"/>
    <w:pPr>
      <w:numPr>
        <w:ilvl w:val="1"/>
        <w:numId w:val="13"/>
      </w:numPr>
      <w:spacing w:before="60" w:after="60" w:line="240" w:lineRule="auto"/>
      <w:jc w:val="left"/>
    </w:pPr>
    <w:rPr>
      <w:rFonts w:ascii="Arial" w:hAnsi="Arial"/>
      <w:sz w:val="18"/>
    </w:rPr>
  </w:style>
  <w:style w:type="character" w:customStyle="1" w:styleId="TableTextNormalCharChar">
    <w:name w:val="Table Text Normal Char Char"/>
    <w:link w:val="TableTextNormal"/>
    <w:locked/>
    <w:rsid w:val="008A3A4E"/>
    <w:rPr>
      <w:rFonts w:ascii="Book Antiqua" w:hAnsi="Book Antiqua" w:cs="Times New Roman"/>
    </w:rPr>
  </w:style>
  <w:style w:type="paragraph" w:customStyle="1" w:styleId="TableTextNormal">
    <w:name w:val="Table Text Normal"/>
    <w:basedOn w:val="Normal"/>
    <w:link w:val="TableTextNormalCharChar"/>
    <w:rsid w:val="008A3A4E"/>
    <w:pPr>
      <w:spacing w:before="60" w:after="60" w:line="240" w:lineRule="auto"/>
    </w:pPr>
    <w:rPr>
      <w:sz w:val="22"/>
      <w:szCs w:val="22"/>
      <w:lang w:eastAsia="en-US"/>
    </w:rPr>
  </w:style>
  <w:style w:type="paragraph" w:styleId="BodyText">
    <w:name w:val="Body Text"/>
    <w:basedOn w:val="Normal"/>
    <w:link w:val="BodyTextChar"/>
    <w:locked/>
    <w:rsid w:val="005244BF"/>
    <w:pPr>
      <w:spacing w:after="120"/>
    </w:pPr>
  </w:style>
  <w:style w:type="character" w:customStyle="1" w:styleId="BodyTextChar">
    <w:name w:val="Body Text Char"/>
    <w:link w:val="BodyText"/>
    <w:semiHidden/>
    <w:locked/>
    <w:rsid w:val="007661A4"/>
    <w:rPr>
      <w:rFonts w:ascii="Book Antiqua" w:hAnsi="Book Antiqua" w:cs="Times New Roman"/>
      <w:sz w:val="20"/>
      <w:szCs w:val="20"/>
    </w:rPr>
  </w:style>
  <w:style w:type="paragraph" w:styleId="ListParagraph">
    <w:name w:val="List Paragraph"/>
    <w:basedOn w:val="Normal"/>
    <w:qFormat/>
    <w:rsid w:val="007A30AF"/>
    <w:pPr>
      <w:spacing w:after="200" w:line="276" w:lineRule="auto"/>
      <w:ind w:left="720"/>
      <w:contextualSpacing/>
      <w:jc w:val="left"/>
    </w:pPr>
    <w:rPr>
      <w:rFonts w:ascii="Arial" w:hAnsi="Arial"/>
      <w:sz w:val="22"/>
      <w:szCs w:val="22"/>
      <w:lang w:eastAsia="en-US"/>
    </w:rPr>
  </w:style>
  <w:style w:type="character" w:styleId="BookTitle">
    <w:name w:val="Book Title"/>
    <w:qFormat/>
    <w:rsid w:val="007A30AF"/>
    <w:rPr>
      <w:rFonts w:cs="Times New Roman"/>
      <w:i/>
      <w:smallCaps/>
      <w:spacing w:val="5"/>
    </w:rPr>
  </w:style>
  <w:style w:type="character" w:styleId="CommentReference">
    <w:name w:val="annotation reference"/>
    <w:semiHidden/>
    <w:locked/>
    <w:rsid w:val="007A30AF"/>
    <w:rPr>
      <w:rFonts w:cs="Times New Roman"/>
      <w:sz w:val="16"/>
      <w:szCs w:val="16"/>
    </w:rPr>
  </w:style>
  <w:style w:type="paragraph" w:styleId="CommentText">
    <w:name w:val="annotation text"/>
    <w:basedOn w:val="Normal"/>
    <w:link w:val="CommentTextChar"/>
    <w:uiPriority w:val="99"/>
    <w:semiHidden/>
    <w:locked/>
    <w:rsid w:val="007A30AF"/>
    <w:pPr>
      <w:spacing w:after="200" w:line="240" w:lineRule="auto"/>
      <w:jc w:val="left"/>
    </w:pPr>
    <w:rPr>
      <w:rFonts w:ascii="Arial" w:hAnsi="Arial"/>
      <w:lang w:eastAsia="en-US"/>
    </w:rPr>
  </w:style>
  <w:style w:type="character" w:customStyle="1" w:styleId="CommentTextChar">
    <w:name w:val="Comment Text Char"/>
    <w:link w:val="CommentText"/>
    <w:uiPriority w:val="99"/>
    <w:semiHidden/>
    <w:locked/>
    <w:rsid w:val="007A30AF"/>
    <w:rPr>
      <w:rFonts w:ascii="Arial" w:hAnsi="Arial" w:cs="Times New Roman"/>
      <w:lang w:val="en-AU" w:eastAsia="en-US" w:bidi="ar-SA"/>
    </w:rPr>
  </w:style>
  <w:style w:type="paragraph" w:styleId="CommentSubject">
    <w:name w:val="annotation subject"/>
    <w:basedOn w:val="CommentText"/>
    <w:next w:val="CommentText"/>
    <w:link w:val="CommentSubjectChar"/>
    <w:semiHidden/>
    <w:locked/>
    <w:rsid w:val="003A6EE1"/>
    <w:pPr>
      <w:spacing w:after="240" w:line="260" w:lineRule="exact"/>
      <w:jc w:val="both"/>
    </w:pPr>
    <w:rPr>
      <w:rFonts w:ascii="Book Antiqua" w:hAnsi="Book Antiqua"/>
      <w:b/>
      <w:bCs/>
      <w:lang w:eastAsia="en-AU"/>
    </w:rPr>
  </w:style>
  <w:style w:type="character" w:customStyle="1" w:styleId="CommentSubjectChar">
    <w:name w:val="Comment Subject Char"/>
    <w:link w:val="CommentSubject"/>
    <w:semiHidden/>
    <w:locked/>
    <w:rsid w:val="009F48E5"/>
    <w:rPr>
      <w:rFonts w:ascii="Book Antiqua" w:hAnsi="Book Antiqua" w:cs="Times New Roman"/>
      <w:b/>
      <w:bCs/>
      <w:sz w:val="20"/>
      <w:szCs w:val="20"/>
      <w:lang w:val="en-AU" w:eastAsia="en-US" w:bidi="ar-SA"/>
    </w:rPr>
  </w:style>
  <w:style w:type="paragraph" w:styleId="Caption">
    <w:name w:val="caption"/>
    <w:basedOn w:val="Normal"/>
    <w:next w:val="Normal"/>
    <w:qFormat/>
    <w:locked/>
    <w:rsid w:val="008F26A0"/>
    <w:pPr>
      <w:spacing w:after="0" w:line="240" w:lineRule="atLeast"/>
      <w:ind w:left="-1440" w:right="-1440"/>
      <w:jc w:val="center"/>
    </w:pPr>
    <w:rPr>
      <w:rFonts w:ascii="Times New Roman" w:hAnsi="Times New Roman"/>
      <w:sz w:val="24"/>
      <w:lang w:eastAsia="en-US"/>
    </w:rPr>
  </w:style>
  <w:style w:type="paragraph" w:styleId="BlockText">
    <w:name w:val="Block Text"/>
    <w:basedOn w:val="Normal"/>
    <w:locked/>
    <w:rsid w:val="00836067"/>
    <w:pPr>
      <w:spacing w:after="120"/>
      <w:ind w:left="1440" w:right="1440"/>
    </w:pPr>
  </w:style>
  <w:style w:type="paragraph" w:styleId="BodyText2">
    <w:name w:val="Body Text 2"/>
    <w:basedOn w:val="Normal"/>
    <w:link w:val="BodyText2Char"/>
    <w:locked/>
    <w:rsid w:val="00836067"/>
    <w:pPr>
      <w:spacing w:after="120" w:line="480" w:lineRule="auto"/>
    </w:pPr>
  </w:style>
  <w:style w:type="character" w:customStyle="1" w:styleId="BodyText2Char">
    <w:name w:val="Body Text 2 Char"/>
    <w:link w:val="BodyText2"/>
    <w:semiHidden/>
    <w:locked/>
    <w:rsid w:val="007B1BEA"/>
    <w:rPr>
      <w:rFonts w:ascii="Book Antiqua" w:hAnsi="Book Antiqua" w:cs="Times New Roman"/>
      <w:sz w:val="20"/>
      <w:szCs w:val="20"/>
    </w:rPr>
  </w:style>
  <w:style w:type="paragraph" w:styleId="BodyText3">
    <w:name w:val="Body Text 3"/>
    <w:basedOn w:val="Normal"/>
    <w:link w:val="BodyText3Char"/>
    <w:locked/>
    <w:rsid w:val="00836067"/>
    <w:pPr>
      <w:spacing w:after="120"/>
    </w:pPr>
    <w:rPr>
      <w:sz w:val="16"/>
      <w:szCs w:val="16"/>
    </w:rPr>
  </w:style>
  <w:style w:type="character" w:customStyle="1" w:styleId="BodyText3Char">
    <w:name w:val="Body Text 3 Char"/>
    <w:link w:val="BodyText3"/>
    <w:semiHidden/>
    <w:locked/>
    <w:rsid w:val="007B1BEA"/>
    <w:rPr>
      <w:rFonts w:ascii="Book Antiqua" w:hAnsi="Book Antiqua" w:cs="Times New Roman"/>
      <w:sz w:val="16"/>
      <w:szCs w:val="16"/>
    </w:rPr>
  </w:style>
  <w:style w:type="paragraph" w:styleId="BodyTextFirstIndent">
    <w:name w:val="Body Text First Indent"/>
    <w:basedOn w:val="BodyText"/>
    <w:link w:val="BodyTextFirstIndentChar"/>
    <w:locked/>
    <w:rsid w:val="00836067"/>
    <w:pPr>
      <w:ind w:firstLine="210"/>
    </w:pPr>
  </w:style>
  <w:style w:type="character" w:customStyle="1" w:styleId="BodyTextFirstIndentChar">
    <w:name w:val="Body Text First Indent Char"/>
    <w:basedOn w:val="BodyTextChar"/>
    <w:link w:val="BodyTextFirstIndent"/>
    <w:semiHidden/>
    <w:locked/>
    <w:rsid w:val="007B1BEA"/>
    <w:rPr>
      <w:rFonts w:ascii="Book Antiqua" w:hAnsi="Book Antiqua" w:cs="Times New Roman"/>
      <w:sz w:val="20"/>
      <w:szCs w:val="20"/>
    </w:rPr>
  </w:style>
  <w:style w:type="paragraph" w:styleId="BodyTextIndent">
    <w:name w:val="Body Text Indent"/>
    <w:basedOn w:val="Normal"/>
    <w:link w:val="BodyTextIndentChar"/>
    <w:locked/>
    <w:rsid w:val="00836067"/>
    <w:pPr>
      <w:spacing w:after="120"/>
      <w:ind w:left="283"/>
    </w:pPr>
  </w:style>
  <w:style w:type="character" w:customStyle="1" w:styleId="BodyTextIndentChar">
    <w:name w:val="Body Text Indent Char"/>
    <w:link w:val="BodyTextIndent"/>
    <w:semiHidden/>
    <w:locked/>
    <w:rsid w:val="007B1BEA"/>
    <w:rPr>
      <w:rFonts w:ascii="Book Antiqua" w:hAnsi="Book Antiqua" w:cs="Times New Roman"/>
      <w:sz w:val="20"/>
      <w:szCs w:val="20"/>
    </w:rPr>
  </w:style>
  <w:style w:type="paragraph" w:styleId="BodyTextFirstIndent2">
    <w:name w:val="Body Text First Indent 2"/>
    <w:basedOn w:val="BodyTextIndent"/>
    <w:link w:val="BodyTextFirstIndent2Char"/>
    <w:locked/>
    <w:rsid w:val="00836067"/>
    <w:pPr>
      <w:ind w:firstLine="210"/>
    </w:pPr>
  </w:style>
  <w:style w:type="character" w:customStyle="1" w:styleId="BodyTextFirstIndent2Char">
    <w:name w:val="Body Text First Indent 2 Char"/>
    <w:basedOn w:val="BodyTextIndentChar"/>
    <w:link w:val="BodyTextFirstIndent2"/>
    <w:semiHidden/>
    <w:locked/>
    <w:rsid w:val="007B1BEA"/>
    <w:rPr>
      <w:rFonts w:ascii="Book Antiqua" w:hAnsi="Book Antiqua" w:cs="Times New Roman"/>
      <w:sz w:val="20"/>
      <w:szCs w:val="20"/>
    </w:rPr>
  </w:style>
  <w:style w:type="paragraph" w:styleId="BodyTextIndent2">
    <w:name w:val="Body Text Indent 2"/>
    <w:basedOn w:val="Normal"/>
    <w:link w:val="BodyTextIndent2Char"/>
    <w:locked/>
    <w:rsid w:val="00836067"/>
    <w:pPr>
      <w:spacing w:after="120" w:line="480" w:lineRule="auto"/>
      <w:ind w:left="283"/>
    </w:pPr>
  </w:style>
  <w:style w:type="character" w:customStyle="1" w:styleId="BodyTextIndent2Char">
    <w:name w:val="Body Text Indent 2 Char"/>
    <w:link w:val="BodyTextIndent2"/>
    <w:semiHidden/>
    <w:locked/>
    <w:rsid w:val="007B1BEA"/>
    <w:rPr>
      <w:rFonts w:ascii="Book Antiqua" w:hAnsi="Book Antiqua" w:cs="Times New Roman"/>
      <w:sz w:val="20"/>
      <w:szCs w:val="20"/>
    </w:rPr>
  </w:style>
  <w:style w:type="paragraph" w:styleId="BodyTextIndent3">
    <w:name w:val="Body Text Indent 3"/>
    <w:basedOn w:val="Normal"/>
    <w:link w:val="BodyTextIndent3Char"/>
    <w:locked/>
    <w:rsid w:val="00836067"/>
    <w:pPr>
      <w:spacing w:after="120"/>
      <w:ind w:left="283"/>
    </w:pPr>
    <w:rPr>
      <w:sz w:val="16"/>
      <w:szCs w:val="16"/>
    </w:rPr>
  </w:style>
  <w:style w:type="character" w:customStyle="1" w:styleId="BodyTextIndent3Char">
    <w:name w:val="Body Text Indent 3 Char"/>
    <w:link w:val="BodyTextIndent3"/>
    <w:semiHidden/>
    <w:locked/>
    <w:rsid w:val="007B1BEA"/>
    <w:rPr>
      <w:rFonts w:ascii="Book Antiqua" w:hAnsi="Book Antiqua" w:cs="Times New Roman"/>
      <w:sz w:val="16"/>
      <w:szCs w:val="16"/>
    </w:rPr>
  </w:style>
  <w:style w:type="paragraph" w:styleId="Closing">
    <w:name w:val="Closing"/>
    <w:basedOn w:val="Normal"/>
    <w:link w:val="ClosingChar"/>
    <w:locked/>
    <w:rsid w:val="00836067"/>
    <w:pPr>
      <w:ind w:left="4252"/>
    </w:pPr>
  </w:style>
  <w:style w:type="character" w:customStyle="1" w:styleId="ClosingChar">
    <w:name w:val="Closing Char"/>
    <w:link w:val="Closing"/>
    <w:semiHidden/>
    <w:locked/>
    <w:rsid w:val="007B1BEA"/>
    <w:rPr>
      <w:rFonts w:ascii="Book Antiqua" w:hAnsi="Book Antiqua" w:cs="Times New Roman"/>
      <w:sz w:val="20"/>
      <w:szCs w:val="20"/>
    </w:rPr>
  </w:style>
  <w:style w:type="paragraph" w:styleId="Date">
    <w:name w:val="Date"/>
    <w:basedOn w:val="Normal"/>
    <w:next w:val="Normal"/>
    <w:link w:val="DateChar"/>
    <w:locked/>
    <w:rsid w:val="00836067"/>
  </w:style>
  <w:style w:type="character" w:customStyle="1" w:styleId="DateChar">
    <w:name w:val="Date Char"/>
    <w:link w:val="Date"/>
    <w:semiHidden/>
    <w:locked/>
    <w:rsid w:val="007B1BEA"/>
    <w:rPr>
      <w:rFonts w:ascii="Book Antiqua" w:hAnsi="Book Antiqua" w:cs="Times New Roman"/>
      <w:sz w:val="20"/>
      <w:szCs w:val="20"/>
    </w:rPr>
  </w:style>
  <w:style w:type="paragraph" w:styleId="DocumentMap">
    <w:name w:val="Document Map"/>
    <w:basedOn w:val="Normal"/>
    <w:link w:val="DocumentMapChar"/>
    <w:semiHidden/>
    <w:locked/>
    <w:rsid w:val="00836067"/>
    <w:pPr>
      <w:shd w:val="clear" w:color="auto" w:fill="000080"/>
    </w:pPr>
    <w:rPr>
      <w:rFonts w:ascii="Tahoma" w:hAnsi="Tahoma" w:cs="Tahoma"/>
    </w:rPr>
  </w:style>
  <w:style w:type="character" w:customStyle="1" w:styleId="DocumentMapChar">
    <w:name w:val="Document Map Char"/>
    <w:link w:val="DocumentMap"/>
    <w:semiHidden/>
    <w:locked/>
    <w:rsid w:val="007B1BEA"/>
    <w:rPr>
      <w:rFonts w:ascii="Times New Roman" w:hAnsi="Times New Roman" w:cs="Times New Roman"/>
      <w:sz w:val="2"/>
    </w:rPr>
  </w:style>
  <w:style w:type="paragraph" w:styleId="E-mailSignature">
    <w:name w:val="E-mail Signature"/>
    <w:basedOn w:val="Normal"/>
    <w:link w:val="E-mailSignatureChar"/>
    <w:locked/>
    <w:rsid w:val="00836067"/>
  </w:style>
  <w:style w:type="character" w:customStyle="1" w:styleId="E-mailSignatureChar">
    <w:name w:val="E-mail Signature Char"/>
    <w:link w:val="E-mailSignature"/>
    <w:semiHidden/>
    <w:locked/>
    <w:rsid w:val="007B1BEA"/>
    <w:rPr>
      <w:rFonts w:ascii="Book Antiqua" w:hAnsi="Book Antiqua" w:cs="Times New Roman"/>
      <w:sz w:val="20"/>
      <w:szCs w:val="20"/>
    </w:rPr>
  </w:style>
  <w:style w:type="paragraph" w:styleId="EndnoteText">
    <w:name w:val="endnote text"/>
    <w:basedOn w:val="Normal"/>
    <w:link w:val="EndnoteTextChar"/>
    <w:semiHidden/>
    <w:locked/>
    <w:rsid w:val="00836067"/>
  </w:style>
  <w:style w:type="character" w:customStyle="1" w:styleId="EndnoteTextChar">
    <w:name w:val="Endnote Text Char"/>
    <w:link w:val="EndnoteText"/>
    <w:semiHidden/>
    <w:locked/>
    <w:rsid w:val="007B1BEA"/>
    <w:rPr>
      <w:rFonts w:ascii="Book Antiqua" w:hAnsi="Book Antiqua" w:cs="Times New Roman"/>
      <w:sz w:val="20"/>
      <w:szCs w:val="20"/>
    </w:rPr>
  </w:style>
  <w:style w:type="paragraph" w:styleId="EnvelopeAddress">
    <w:name w:val="envelope address"/>
    <w:basedOn w:val="Normal"/>
    <w:locked/>
    <w:rsid w:val="0083606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locked/>
    <w:rsid w:val="00836067"/>
    <w:rPr>
      <w:rFonts w:ascii="Arial" w:hAnsi="Arial" w:cs="Arial"/>
    </w:rPr>
  </w:style>
  <w:style w:type="paragraph" w:styleId="FootnoteText">
    <w:name w:val="footnote text"/>
    <w:basedOn w:val="Normal"/>
    <w:link w:val="FootnoteTextChar"/>
    <w:autoRedefine/>
    <w:uiPriority w:val="99"/>
    <w:locked/>
    <w:rsid w:val="00937569"/>
    <w:pPr>
      <w:spacing w:after="60" w:line="240" w:lineRule="auto"/>
      <w:jc w:val="left"/>
    </w:pPr>
    <w:rPr>
      <w:sz w:val="16"/>
    </w:rPr>
  </w:style>
  <w:style w:type="character" w:customStyle="1" w:styleId="FootnoteTextChar">
    <w:name w:val="Footnote Text Char"/>
    <w:link w:val="FootnoteText"/>
    <w:uiPriority w:val="99"/>
    <w:locked/>
    <w:rsid w:val="00937569"/>
    <w:rPr>
      <w:rFonts w:ascii="Book Antiqua" w:hAnsi="Book Antiqua"/>
      <w:sz w:val="16"/>
    </w:rPr>
  </w:style>
  <w:style w:type="paragraph" w:styleId="HTMLAddress">
    <w:name w:val="HTML Address"/>
    <w:basedOn w:val="Normal"/>
    <w:link w:val="HTMLAddressChar"/>
    <w:locked/>
    <w:rsid w:val="00836067"/>
    <w:rPr>
      <w:i/>
      <w:iCs/>
    </w:rPr>
  </w:style>
  <w:style w:type="character" w:customStyle="1" w:styleId="HTMLAddressChar">
    <w:name w:val="HTML Address Char"/>
    <w:link w:val="HTMLAddress"/>
    <w:semiHidden/>
    <w:locked/>
    <w:rsid w:val="007B1BEA"/>
    <w:rPr>
      <w:rFonts w:ascii="Book Antiqua" w:hAnsi="Book Antiqua" w:cs="Times New Roman"/>
      <w:i/>
      <w:iCs/>
      <w:sz w:val="20"/>
      <w:szCs w:val="20"/>
    </w:rPr>
  </w:style>
  <w:style w:type="paragraph" w:styleId="HTMLPreformatted">
    <w:name w:val="HTML Preformatted"/>
    <w:basedOn w:val="Normal"/>
    <w:link w:val="HTMLPreformattedChar"/>
    <w:locked/>
    <w:rsid w:val="00836067"/>
    <w:rPr>
      <w:rFonts w:ascii="Courier New" w:hAnsi="Courier New" w:cs="Courier New"/>
    </w:rPr>
  </w:style>
  <w:style w:type="character" w:customStyle="1" w:styleId="HTMLPreformattedChar">
    <w:name w:val="HTML Preformatted Char"/>
    <w:link w:val="HTMLPreformatted"/>
    <w:semiHidden/>
    <w:locked/>
    <w:rsid w:val="007B1BEA"/>
    <w:rPr>
      <w:rFonts w:ascii="Courier New" w:hAnsi="Courier New" w:cs="Courier New"/>
      <w:sz w:val="20"/>
      <w:szCs w:val="20"/>
    </w:rPr>
  </w:style>
  <w:style w:type="paragraph" w:styleId="Index1">
    <w:name w:val="index 1"/>
    <w:basedOn w:val="Normal"/>
    <w:next w:val="Normal"/>
    <w:autoRedefine/>
    <w:semiHidden/>
    <w:locked/>
    <w:rsid w:val="00A51532"/>
    <w:pPr>
      <w:tabs>
        <w:tab w:val="right" w:leader="dot" w:pos="3485"/>
      </w:tabs>
      <w:spacing w:after="0"/>
      <w:ind w:left="200" w:hanging="200"/>
      <w:jc w:val="left"/>
    </w:pPr>
    <w:rPr>
      <w:rFonts w:ascii="Arial" w:hAnsi="Arial"/>
      <w:b/>
      <w:noProof/>
    </w:rPr>
  </w:style>
  <w:style w:type="paragraph" w:styleId="Index2">
    <w:name w:val="index 2"/>
    <w:basedOn w:val="Normal"/>
    <w:next w:val="Normal"/>
    <w:autoRedefine/>
    <w:semiHidden/>
    <w:locked/>
    <w:rsid w:val="00836067"/>
    <w:pPr>
      <w:spacing w:after="0"/>
      <w:ind w:left="400" w:hanging="200"/>
      <w:jc w:val="left"/>
    </w:pPr>
    <w:rPr>
      <w:rFonts w:ascii="Times New Roman" w:hAnsi="Times New Roman"/>
    </w:rPr>
  </w:style>
  <w:style w:type="paragraph" w:styleId="Index3">
    <w:name w:val="index 3"/>
    <w:basedOn w:val="Normal"/>
    <w:next w:val="Normal"/>
    <w:autoRedefine/>
    <w:semiHidden/>
    <w:locked/>
    <w:rsid w:val="00836067"/>
    <w:pPr>
      <w:spacing w:after="0"/>
      <w:ind w:left="600" w:hanging="200"/>
      <w:jc w:val="left"/>
    </w:pPr>
    <w:rPr>
      <w:rFonts w:ascii="Times New Roman" w:hAnsi="Times New Roman"/>
    </w:rPr>
  </w:style>
  <w:style w:type="paragraph" w:styleId="Index4">
    <w:name w:val="index 4"/>
    <w:basedOn w:val="Normal"/>
    <w:next w:val="Normal"/>
    <w:autoRedefine/>
    <w:semiHidden/>
    <w:locked/>
    <w:rsid w:val="00836067"/>
    <w:pPr>
      <w:spacing w:after="0"/>
      <w:ind w:left="800" w:hanging="200"/>
      <w:jc w:val="left"/>
    </w:pPr>
    <w:rPr>
      <w:rFonts w:ascii="Times New Roman" w:hAnsi="Times New Roman"/>
    </w:rPr>
  </w:style>
  <w:style w:type="paragraph" w:styleId="Index5">
    <w:name w:val="index 5"/>
    <w:basedOn w:val="Normal"/>
    <w:next w:val="Normal"/>
    <w:autoRedefine/>
    <w:semiHidden/>
    <w:locked/>
    <w:rsid w:val="00836067"/>
    <w:pPr>
      <w:spacing w:after="0"/>
      <w:ind w:left="1000" w:hanging="200"/>
      <w:jc w:val="left"/>
    </w:pPr>
    <w:rPr>
      <w:rFonts w:ascii="Times New Roman" w:hAnsi="Times New Roman"/>
    </w:rPr>
  </w:style>
  <w:style w:type="paragraph" w:styleId="Index6">
    <w:name w:val="index 6"/>
    <w:basedOn w:val="Normal"/>
    <w:next w:val="Normal"/>
    <w:autoRedefine/>
    <w:semiHidden/>
    <w:locked/>
    <w:rsid w:val="00836067"/>
    <w:pPr>
      <w:spacing w:after="0"/>
      <w:ind w:left="1200" w:hanging="200"/>
      <w:jc w:val="left"/>
    </w:pPr>
    <w:rPr>
      <w:rFonts w:ascii="Times New Roman" w:hAnsi="Times New Roman"/>
    </w:rPr>
  </w:style>
  <w:style w:type="paragraph" w:styleId="Index7">
    <w:name w:val="index 7"/>
    <w:basedOn w:val="Normal"/>
    <w:next w:val="Normal"/>
    <w:autoRedefine/>
    <w:semiHidden/>
    <w:locked/>
    <w:rsid w:val="00836067"/>
    <w:pPr>
      <w:spacing w:after="0"/>
      <w:ind w:left="1400" w:hanging="200"/>
      <w:jc w:val="left"/>
    </w:pPr>
    <w:rPr>
      <w:rFonts w:ascii="Times New Roman" w:hAnsi="Times New Roman"/>
    </w:rPr>
  </w:style>
  <w:style w:type="paragraph" w:styleId="Index8">
    <w:name w:val="index 8"/>
    <w:basedOn w:val="Normal"/>
    <w:next w:val="Normal"/>
    <w:autoRedefine/>
    <w:semiHidden/>
    <w:locked/>
    <w:rsid w:val="00836067"/>
    <w:pPr>
      <w:spacing w:after="0"/>
      <w:ind w:left="1600" w:hanging="200"/>
      <w:jc w:val="left"/>
    </w:pPr>
    <w:rPr>
      <w:rFonts w:ascii="Times New Roman" w:hAnsi="Times New Roman"/>
    </w:rPr>
  </w:style>
  <w:style w:type="paragraph" w:styleId="Index9">
    <w:name w:val="index 9"/>
    <w:basedOn w:val="Normal"/>
    <w:next w:val="Normal"/>
    <w:autoRedefine/>
    <w:semiHidden/>
    <w:locked/>
    <w:rsid w:val="00836067"/>
    <w:pPr>
      <w:spacing w:after="0"/>
      <w:ind w:left="1800" w:hanging="200"/>
      <w:jc w:val="left"/>
    </w:pPr>
    <w:rPr>
      <w:rFonts w:ascii="Times New Roman" w:hAnsi="Times New Roman"/>
    </w:rPr>
  </w:style>
  <w:style w:type="paragraph" w:styleId="IndexHeading">
    <w:name w:val="index heading"/>
    <w:basedOn w:val="Normal"/>
    <w:next w:val="Index1"/>
    <w:semiHidden/>
    <w:locked/>
    <w:rsid w:val="00836067"/>
    <w:pPr>
      <w:spacing w:after="0"/>
      <w:jc w:val="left"/>
    </w:pPr>
    <w:rPr>
      <w:rFonts w:ascii="Times New Roman" w:hAnsi="Times New Roman"/>
    </w:rPr>
  </w:style>
  <w:style w:type="paragraph" w:styleId="List">
    <w:name w:val="List"/>
    <w:basedOn w:val="Normal"/>
    <w:locked/>
    <w:rsid w:val="00836067"/>
    <w:pPr>
      <w:ind w:left="283" w:hanging="283"/>
    </w:pPr>
  </w:style>
  <w:style w:type="paragraph" w:styleId="List2">
    <w:name w:val="List 2"/>
    <w:basedOn w:val="Normal"/>
    <w:locked/>
    <w:rsid w:val="00836067"/>
    <w:pPr>
      <w:ind w:left="566" w:hanging="283"/>
    </w:pPr>
  </w:style>
  <w:style w:type="paragraph" w:styleId="List3">
    <w:name w:val="List 3"/>
    <w:basedOn w:val="Normal"/>
    <w:locked/>
    <w:rsid w:val="00836067"/>
    <w:pPr>
      <w:ind w:left="849" w:hanging="283"/>
    </w:pPr>
  </w:style>
  <w:style w:type="paragraph" w:styleId="List4">
    <w:name w:val="List 4"/>
    <w:basedOn w:val="Normal"/>
    <w:locked/>
    <w:rsid w:val="00836067"/>
    <w:pPr>
      <w:ind w:left="1132" w:hanging="283"/>
    </w:pPr>
  </w:style>
  <w:style w:type="paragraph" w:styleId="List5">
    <w:name w:val="List 5"/>
    <w:basedOn w:val="Normal"/>
    <w:locked/>
    <w:rsid w:val="00836067"/>
    <w:pPr>
      <w:ind w:left="1415" w:hanging="283"/>
    </w:pPr>
  </w:style>
  <w:style w:type="paragraph" w:styleId="ListBullet">
    <w:name w:val="List Bullet"/>
    <w:basedOn w:val="Normal"/>
    <w:locked/>
    <w:rsid w:val="00836067"/>
    <w:pPr>
      <w:tabs>
        <w:tab w:val="num" w:pos="643"/>
      </w:tabs>
      <w:ind w:left="360" w:hanging="360"/>
    </w:pPr>
  </w:style>
  <w:style w:type="paragraph" w:styleId="ListBullet2">
    <w:name w:val="List Bullet 2"/>
    <w:basedOn w:val="Normal"/>
    <w:locked/>
    <w:rsid w:val="00256C0F"/>
    <w:pPr>
      <w:tabs>
        <w:tab w:val="num" w:pos="643"/>
      </w:tabs>
      <w:spacing w:before="20" w:after="200"/>
      <w:ind w:left="643" w:hanging="360"/>
      <w:contextualSpacing/>
    </w:pPr>
  </w:style>
  <w:style w:type="paragraph" w:styleId="ListBullet3">
    <w:name w:val="List Bullet 3"/>
    <w:basedOn w:val="Normal"/>
    <w:locked/>
    <w:rsid w:val="00836067"/>
    <w:pPr>
      <w:tabs>
        <w:tab w:val="num" w:pos="926"/>
        <w:tab w:val="num" w:pos="1209"/>
      </w:tabs>
      <w:ind w:left="926" w:hanging="360"/>
    </w:pPr>
  </w:style>
  <w:style w:type="paragraph" w:styleId="ListBullet4">
    <w:name w:val="List Bullet 4"/>
    <w:basedOn w:val="Normal"/>
    <w:locked/>
    <w:rsid w:val="00836067"/>
    <w:pPr>
      <w:tabs>
        <w:tab w:val="num" w:pos="1209"/>
        <w:tab w:val="num" w:pos="1492"/>
      </w:tabs>
      <w:ind w:left="1209" w:hanging="360"/>
    </w:pPr>
  </w:style>
  <w:style w:type="paragraph" w:styleId="ListBullet5">
    <w:name w:val="List Bullet 5"/>
    <w:basedOn w:val="Normal"/>
    <w:locked/>
    <w:rsid w:val="00836067"/>
    <w:pPr>
      <w:tabs>
        <w:tab w:val="num" w:pos="1492"/>
      </w:tabs>
      <w:ind w:left="1492" w:hanging="360"/>
    </w:pPr>
  </w:style>
  <w:style w:type="paragraph" w:styleId="ListContinue">
    <w:name w:val="List Continue"/>
    <w:basedOn w:val="Normal"/>
    <w:locked/>
    <w:rsid w:val="00836067"/>
    <w:pPr>
      <w:spacing w:after="120"/>
      <w:ind w:left="283"/>
    </w:pPr>
  </w:style>
  <w:style w:type="paragraph" w:styleId="ListContinue2">
    <w:name w:val="List Continue 2"/>
    <w:basedOn w:val="Normal"/>
    <w:locked/>
    <w:rsid w:val="00836067"/>
    <w:pPr>
      <w:spacing w:after="120"/>
      <w:ind w:left="566"/>
    </w:pPr>
  </w:style>
  <w:style w:type="paragraph" w:styleId="ListContinue3">
    <w:name w:val="List Continue 3"/>
    <w:basedOn w:val="Normal"/>
    <w:locked/>
    <w:rsid w:val="00836067"/>
    <w:pPr>
      <w:spacing w:after="120"/>
      <w:ind w:left="849"/>
    </w:pPr>
  </w:style>
  <w:style w:type="paragraph" w:styleId="ListContinue4">
    <w:name w:val="List Continue 4"/>
    <w:basedOn w:val="Normal"/>
    <w:locked/>
    <w:rsid w:val="00836067"/>
    <w:pPr>
      <w:spacing w:after="120"/>
      <w:ind w:left="1132"/>
    </w:pPr>
  </w:style>
  <w:style w:type="paragraph" w:styleId="ListContinue5">
    <w:name w:val="List Continue 5"/>
    <w:basedOn w:val="Normal"/>
    <w:locked/>
    <w:rsid w:val="00836067"/>
    <w:pPr>
      <w:spacing w:after="120"/>
      <w:ind w:left="1415"/>
    </w:pPr>
  </w:style>
  <w:style w:type="paragraph" w:styleId="ListNumber">
    <w:name w:val="List Number"/>
    <w:basedOn w:val="Normal"/>
    <w:locked/>
    <w:rsid w:val="00836067"/>
    <w:pPr>
      <w:tabs>
        <w:tab w:val="num" w:pos="643"/>
      </w:tabs>
      <w:ind w:left="360" w:hanging="360"/>
    </w:pPr>
  </w:style>
  <w:style w:type="paragraph" w:styleId="ListNumber2">
    <w:name w:val="List Number 2"/>
    <w:basedOn w:val="Normal"/>
    <w:locked/>
    <w:rsid w:val="00836067"/>
    <w:pPr>
      <w:tabs>
        <w:tab w:val="num" w:pos="643"/>
        <w:tab w:val="num" w:pos="926"/>
      </w:tabs>
      <w:ind w:left="643" w:hanging="360"/>
    </w:pPr>
  </w:style>
  <w:style w:type="paragraph" w:styleId="ListNumber3">
    <w:name w:val="List Number 3"/>
    <w:basedOn w:val="Normal"/>
    <w:locked/>
    <w:rsid w:val="00836067"/>
    <w:pPr>
      <w:tabs>
        <w:tab w:val="num" w:pos="926"/>
        <w:tab w:val="num" w:pos="1209"/>
      </w:tabs>
      <w:ind w:left="926" w:hanging="360"/>
    </w:pPr>
  </w:style>
  <w:style w:type="paragraph" w:styleId="ListNumber4">
    <w:name w:val="List Number 4"/>
    <w:basedOn w:val="Normal"/>
    <w:locked/>
    <w:rsid w:val="00836067"/>
    <w:pPr>
      <w:tabs>
        <w:tab w:val="num" w:pos="1209"/>
        <w:tab w:val="num" w:pos="1492"/>
      </w:tabs>
      <w:ind w:left="1209" w:hanging="360"/>
    </w:pPr>
  </w:style>
  <w:style w:type="paragraph" w:styleId="ListNumber5">
    <w:name w:val="List Number 5"/>
    <w:basedOn w:val="Normal"/>
    <w:locked/>
    <w:rsid w:val="00836067"/>
    <w:pPr>
      <w:tabs>
        <w:tab w:val="num" w:pos="1492"/>
      </w:tabs>
      <w:ind w:left="1492" w:hanging="360"/>
    </w:pPr>
  </w:style>
  <w:style w:type="paragraph" w:styleId="MacroText">
    <w:name w:val="macro"/>
    <w:link w:val="MacroTextChar"/>
    <w:semiHidden/>
    <w:locked/>
    <w:rsid w:val="0083606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character" w:customStyle="1" w:styleId="MacroTextChar">
    <w:name w:val="Macro Text Char"/>
    <w:link w:val="MacroText"/>
    <w:semiHidden/>
    <w:locked/>
    <w:rsid w:val="007B1BEA"/>
    <w:rPr>
      <w:rFonts w:ascii="Courier New" w:hAnsi="Courier New" w:cs="Courier New"/>
      <w:lang w:val="en-AU" w:eastAsia="en-AU" w:bidi="ar-SA"/>
    </w:rPr>
  </w:style>
  <w:style w:type="paragraph" w:styleId="MessageHeader">
    <w:name w:val="Message Header"/>
    <w:basedOn w:val="Normal"/>
    <w:link w:val="MessageHeaderChar"/>
    <w:locked/>
    <w:rsid w:val="008360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semiHidden/>
    <w:locked/>
    <w:rsid w:val="007B1BEA"/>
    <w:rPr>
      <w:rFonts w:ascii="Cambria" w:hAnsi="Cambria" w:cs="Times New Roman"/>
      <w:sz w:val="24"/>
      <w:szCs w:val="24"/>
      <w:shd w:val="pct20" w:color="auto" w:fill="auto"/>
    </w:rPr>
  </w:style>
  <w:style w:type="paragraph" w:styleId="NormalWeb">
    <w:name w:val="Normal (Web)"/>
    <w:basedOn w:val="Normal"/>
    <w:locked/>
    <w:rsid w:val="00836067"/>
    <w:rPr>
      <w:rFonts w:ascii="Times New Roman" w:hAnsi="Times New Roman"/>
      <w:sz w:val="24"/>
      <w:szCs w:val="24"/>
    </w:rPr>
  </w:style>
  <w:style w:type="paragraph" w:styleId="NormalIndent">
    <w:name w:val="Normal Indent"/>
    <w:basedOn w:val="Normal"/>
    <w:locked/>
    <w:rsid w:val="00836067"/>
    <w:pPr>
      <w:ind w:left="720"/>
    </w:pPr>
  </w:style>
  <w:style w:type="paragraph" w:styleId="NoteHeading">
    <w:name w:val="Note Heading"/>
    <w:basedOn w:val="Normal"/>
    <w:next w:val="Normal"/>
    <w:link w:val="NoteHeadingChar"/>
    <w:locked/>
    <w:rsid w:val="00836067"/>
  </w:style>
  <w:style w:type="character" w:customStyle="1" w:styleId="NoteHeadingChar">
    <w:name w:val="Note Heading Char"/>
    <w:link w:val="NoteHeading"/>
    <w:semiHidden/>
    <w:locked/>
    <w:rsid w:val="007B1BEA"/>
    <w:rPr>
      <w:rFonts w:ascii="Book Antiqua" w:hAnsi="Book Antiqua" w:cs="Times New Roman"/>
      <w:sz w:val="20"/>
      <w:szCs w:val="20"/>
    </w:rPr>
  </w:style>
  <w:style w:type="paragraph" w:styleId="PlainText">
    <w:name w:val="Plain Text"/>
    <w:basedOn w:val="Normal"/>
    <w:link w:val="PlainTextChar"/>
    <w:locked/>
    <w:rsid w:val="00836067"/>
    <w:rPr>
      <w:rFonts w:ascii="Courier New" w:hAnsi="Courier New" w:cs="Courier New"/>
    </w:rPr>
  </w:style>
  <w:style w:type="character" w:customStyle="1" w:styleId="PlainTextChar">
    <w:name w:val="Plain Text Char"/>
    <w:link w:val="PlainText"/>
    <w:semiHidden/>
    <w:locked/>
    <w:rsid w:val="007B1BEA"/>
    <w:rPr>
      <w:rFonts w:ascii="Courier New" w:hAnsi="Courier New" w:cs="Courier New"/>
      <w:sz w:val="20"/>
      <w:szCs w:val="20"/>
    </w:rPr>
  </w:style>
  <w:style w:type="paragraph" w:styleId="Salutation">
    <w:name w:val="Salutation"/>
    <w:basedOn w:val="Normal"/>
    <w:next w:val="Normal"/>
    <w:link w:val="SalutationChar"/>
    <w:locked/>
    <w:rsid w:val="00836067"/>
  </w:style>
  <w:style w:type="character" w:customStyle="1" w:styleId="SalutationChar">
    <w:name w:val="Salutation Char"/>
    <w:link w:val="Salutation"/>
    <w:semiHidden/>
    <w:locked/>
    <w:rsid w:val="007B1BEA"/>
    <w:rPr>
      <w:rFonts w:ascii="Book Antiqua" w:hAnsi="Book Antiqua" w:cs="Times New Roman"/>
      <w:sz w:val="20"/>
      <w:szCs w:val="20"/>
    </w:rPr>
  </w:style>
  <w:style w:type="paragraph" w:styleId="Signature">
    <w:name w:val="Signature"/>
    <w:basedOn w:val="Normal"/>
    <w:link w:val="SignatureChar"/>
    <w:locked/>
    <w:rsid w:val="00836067"/>
    <w:pPr>
      <w:ind w:left="4252"/>
    </w:pPr>
  </w:style>
  <w:style w:type="character" w:customStyle="1" w:styleId="SignatureChar">
    <w:name w:val="Signature Char"/>
    <w:link w:val="Signature"/>
    <w:semiHidden/>
    <w:locked/>
    <w:rsid w:val="007B1BEA"/>
    <w:rPr>
      <w:rFonts w:ascii="Book Antiqua" w:hAnsi="Book Antiqua" w:cs="Times New Roman"/>
      <w:sz w:val="20"/>
      <w:szCs w:val="20"/>
    </w:rPr>
  </w:style>
  <w:style w:type="paragraph" w:styleId="Subtitle">
    <w:name w:val="Subtitle"/>
    <w:basedOn w:val="Normal"/>
    <w:link w:val="SubtitleChar"/>
    <w:qFormat/>
    <w:rsid w:val="00836067"/>
    <w:pPr>
      <w:spacing w:after="60"/>
      <w:jc w:val="center"/>
      <w:outlineLvl w:val="1"/>
    </w:pPr>
    <w:rPr>
      <w:rFonts w:ascii="Arial" w:hAnsi="Arial" w:cs="Arial"/>
      <w:sz w:val="24"/>
      <w:szCs w:val="24"/>
    </w:rPr>
  </w:style>
  <w:style w:type="character" w:customStyle="1" w:styleId="SubtitleChar">
    <w:name w:val="Subtitle Char"/>
    <w:link w:val="Subtitle"/>
    <w:locked/>
    <w:rsid w:val="007B1BEA"/>
    <w:rPr>
      <w:rFonts w:ascii="Cambria" w:hAnsi="Cambria" w:cs="Times New Roman"/>
      <w:sz w:val="24"/>
      <w:szCs w:val="24"/>
    </w:rPr>
  </w:style>
  <w:style w:type="paragraph" w:styleId="TableofAuthorities">
    <w:name w:val="table of authorities"/>
    <w:basedOn w:val="Normal"/>
    <w:next w:val="Normal"/>
    <w:semiHidden/>
    <w:locked/>
    <w:rsid w:val="00836067"/>
    <w:pPr>
      <w:ind w:left="200" w:hanging="200"/>
    </w:pPr>
  </w:style>
  <w:style w:type="paragraph" w:styleId="TableofFigures">
    <w:name w:val="table of figures"/>
    <w:basedOn w:val="Normal"/>
    <w:next w:val="Normal"/>
    <w:semiHidden/>
    <w:locked/>
    <w:rsid w:val="00836067"/>
  </w:style>
  <w:style w:type="paragraph" w:styleId="TOAHeading">
    <w:name w:val="toa heading"/>
    <w:basedOn w:val="Normal"/>
    <w:next w:val="Normal"/>
    <w:semiHidden/>
    <w:locked/>
    <w:rsid w:val="00836067"/>
    <w:pPr>
      <w:spacing w:before="120"/>
    </w:pPr>
    <w:rPr>
      <w:rFonts w:ascii="Arial" w:hAnsi="Arial" w:cs="Arial"/>
      <w:b/>
      <w:bCs/>
      <w:sz w:val="24"/>
      <w:szCs w:val="24"/>
    </w:rPr>
  </w:style>
  <w:style w:type="paragraph" w:styleId="TOC4">
    <w:name w:val="toc 4"/>
    <w:basedOn w:val="Normal"/>
    <w:next w:val="Normal"/>
    <w:autoRedefine/>
    <w:semiHidden/>
    <w:rsid w:val="00836067"/>
    <w:pPr>
      <w:ind w:left="600"/>
    </w:pPr>
  </w:style>
  <w:style w:type="paragraph" w:styleId="TOC5">
    <w:name w:val="toc 5"/>
    <w:basedOn w:val="Normal"/>
    <w:next w:val="Normal"/>
    <w:autoRedefine/>
    <w:semiHidden/>
    <w:rsid w:val="00836067"/>
    <w:pPr>
      <w:ind w:left="800"/>
    </w:pPr>
  </w:style>
  <w:style w:type="paragraph" w:styleId="TOC6">
    <w:name w:val="toc 6"/>
    <w:basedOn w:val="Normal"/>
    <w:next w:val="Normal"/>
    <w:autoRedefine/>
    <w:semiHidden/>
    <w:rsid w:val="00836067"/>
    <w:pPr>
      <w:ind w:left="1000"/>
    </w:pPr>
  </w:style>
  <w:style w:type="paragraph" w:styleId="TOC7">
    <w:name w:val="toc 7"/>
    <w:basedOn w:val="Normal"/>
    <w:next w:val="Normal"/>
    <w:autoRedefine/>
    <w:semiHidden/>
    <w:rsid w:val="00836067"/>
    <w:pPr>
      <w:ind w:left="1200"/>
    </w:pPr>
  </w:style>
  <w:style w:type="paragraph" w:styleId="TOC8">
    <w:name w:val="toc 8"/>
    <w:basedOn w:val="Normal"/>
    <w:next w:val="Normal"/>
    <w:autoRedefine/>
    <w:semiHidden/>
    <w:rsid w:val="00836067"/>
    <w:pPr>
      <w:ind w:left="1400"/>
    </w:pPr>
  </w:style>
  <w:style w:type="paragraph" w:styleId="TOC9">
    <w:name w:val="toc 9"/>
    <w:basedOn w:val="Normal"/>
    <w:next w:val="Normal"/>
    <w:autoRedefine/>
    <w:semiHidden/>
    <w:rsid w:val="00836067"/>
    <w:pPr>
      <w:ind w:left="1600"/>
    </w:pPr>
  </w:style>
  <w:style w:type="character" w:styleId="FollowedHyperlink">
    <w:name w:val="FollowedHyperlink"/>
    <w:locked/>
    <w:rsid w:val="00404FCB"/>
    <w:rPr>
      <w:rFonts w:cs="Times New Roman"/>
      <w:color w:val="800080"/>
      <w:u w:val="single"/>
    </w:rPr>
  </w:style>
  <w:style w:type="paragraph" w:customStyle="1" w:styleId="tableheading0">
    <w:name w:val="table heading"/>
    <w:basedOn w:val="Normal"/>
    <w:rsid w:val="005D772B"/>
    <w:pPr>
      <w:spacing w:after="0" w:line="240" w:lineRule="auto"/>
      <w:jc w:val="left"/>
    </w:pPr>
    <w:rPr>
      <w:rFonts w:ascii="Arial" w:hAnsi="Arial" w:cs="Arial"/>
      <w:b/>
      <w:bCs/>
      <w:szCs w:val="15"/>
    </w:rPr>
  </w:style>
  <w:style w:type="paragraph" w:customStyle="1" w:styleId="Style1">
    <w:name w:val="Style1"/>
    <w:basedOn w:val="ExampleText"/>
    <w:rsid w:val="0017347B"/>
    <w:rPr>
      <w:i w:val="0"/>
      <w:color w:val="auto"/>
      <w:lang w:val="en-GB"/>
    </w:rPr>
  </w:style>
  <w:style w:type="paragraph" w:customStyle="1" w:styleId="ChartandTableFootnotenumbered">
    <w:name w:val="Chart and Table Footnote numbered"/>
    <w:basedOn w:val="Normal"/>
    <w:next w:val="Normal"/>
    <w:rsid w:val="00B54965"/>
    <w:pPr>
      <w:keepNext/>
      <w:numPr>
        <w:numId w:val="17"/>
      </w:numPr>
      <w:spacing w:after="0"/>
    </w:pPr>
    <w:rPr>
      <w:rFonts w:ascii="Arial" w:hAnsi="Arial"/>
      <w:sz w:val="16"/>
    </w:rPr>
  </w:style>
  <w:style w:type="paragraph" w:customStyle="1" w:styleId="Bullet">
    <w:name w:val="Bullet"/>
    <w:basedOn w:val="Normal"/>
    <w:link w:val="BulletChar"/>
    <w:uiPriority w:val="99"/>
    <w:rsid w:val="00727D69"/>
    <w:pPr>
      <w:numPr>
        <w:numId w:val="19"/>
      </w:numPr>
      <w:spacing w:after="120"/>
      <w:ind w:left="284" w:hanging="284"/>
    </w:pPr>
  </w:style>
  <w:style w:type="paragraph" w:customStyle="1" w:styleId="Dash">
    <w:name w:val="Dash"/>
    <w:basedOn w:val="Normal"/>
    <w:uiPriority w:val="99"/>
    <w:rsid w:val="00727D69"/>
    <w:pPr>
      <w:numPr>
        <w:ilvl w:val="1"/>
        <w:numId w:val="19"/>
      </w:numPr>
      <w:spacing w:after="120" w:line="240" w:lineRule="exact"/>
      <w:ind w:left="568"/>
    </w:pPr>
  </w:style>
  <w:style w:type="paragraph" w:customStyle="1" w:styleId="DoubleDot">
    <w:name w:val="Double Dot"/>
    <w:basedOn w:val="Normal"/>
    <w:uiPriority w:val="99"/>
    <w:rsid w:val="00DB4336"/>
    <w:pPr>
      <w:numPr>
        <w:ilvl w:val="2"/>
        <w:numId w:val="19"/>
      </w:numPr>
    </w:pPr>
  </w:style>
  <w:style w:type="character" w:customStyle="1" w:styleId="BulletChar">
    <w:name w:val="Bullet Char"/>
    <w:link w:val="Bullet"/>
    <w:uiPriority w:val="99"/>
    <w:locked/>
    <w:rsid w:val="00727D69"/>
    <w:rPr>
      <w:rFonts w:ascii="Book Antiqua" w:hAnsi="Book Antiqua"/>
    </w:rPr>
  </w:style>
  <w:style w:type="paragraph" w:customStyle="1" w:styleId="BulletIntro">
    <w:name w:val="BulletIntro"/>
    <w:basedOn w:val="Normal"/>
    <w:link w:val="BulletIntroChar"/>
    <w:uiPriority w:val="99"/>
    <w:rsid w:val="00DB4336"/>
    <w:pPr>
      <w:keepNext/>
      <w:spacing w:after="120"/>
    </w:pPr>
  </w:style>
  <w:style w:type="character" w:customStyle="1" w:styleId="BulletIntroChar">
    <w:name w:val="BulletIntro Char"/>
    <w:link w:val="BulletIntro"/>
    <w:uiPriority w:val="99"/>
    <w:locked/>
    <w:rsid w:val="00DB4336"/>
    <w:rPr>
      <w:rFonts w:ascii="Book Antiqua" w:hAnsi="Book Antiqua"/>
    </w:rPr>
  </w:style>
  <w:style w:type="character" w:styleId="Hyperlink">
    <w:name w:val="Hyperlink"/>
    <w:uiPriority w:val="99"/>
    <w:unhideWhenUsed/>
    <w:locked/>
    <w:rsid w:val="002A770D"/>
    <w:rPr>
      <w:rFonts w:ascii="Book Antiqua" w:hAnsi="Book Antiqua"/>
      <w:color w:val="auto"/>
      <w:sz w:val="20"/>
      <w:u w:val="none"/>
    </w:rPr>
  </w:style>
  <w:style w:type="character" w:customStyle="1" w:styleId="A5">
    <w:name w:val="A5"/>
    <w:uiPriority w:val="99"/>
    <w:rsid w:val="009A7B26"/>
    <w:rPr>
      <w:rFonts w:ascii="Swiss 721 BT" w:hAnsi="Swiss 721 BT" w:cs="Swiss 721 BT" w:hint="default"/>
      <w:color w:val="000000"/>
      <w:sz w:val="20"/>
      <w:szCs w:val="20"/>
    </w:rPr>
  </w:style>
  <w:style w:type="paragraph" w:customStyle="1" w:styleId="AlphaParagraph">
    <w:name w:val="Alpha Paragraph"/>
    <w:basedOn w:val="Normal"/>
    <w:uiPriority w:val="99"/>
    <w:rsid w:val="00892823"/>
    <w:pPr>
      <w:numPr>
        <w:numId w:val="20"/>
      </w:numPr>
    </w:pPr>
  </w:style>
  <w:style w:type="paragraph" w:customStyle="1" w:styleId="BoxBullet">
    <w:name w:val="Box Bullet"/>
    <w:basedOn w:val="Normal"/>
    <w:autoRedefine/>
    <w:uiPriority w:val="99"/>
    <w:rsid w:val="00662D19"/>
    <w:pPr>
      <w:numPr>
        <w:numId w:val="21"/>
      </w:numPr>
      <w:pBdr>
        <w:top w:val="single" w:sz="4" w:space="3" w:color="auto"/>
        <w:left w:val="single" w:sz="4" w:space="0" w:color="auto"/>
        <w:bottom w:val="single" w:sz="4" w:space="3" w:color="auto"/>
        <w:right w:val="single" w:sz="4" w:space="0" w:color="auto"/>
      </w:pBdr>
      <w:spacing w:after="120" w:line="240" w:lineRule="auto"/>
      <w:ind w:left="284" w:hanging="284"/>
    </w:pPr>
    <w:rPr>
      <w:color w:val="000000"/>
    </w:rPr>
  </w:style>
  <w:style w:type="character" w:customStyle="1" w:styleId="FramedHeader">
    <w:name w:val="Framed Header"/>
    <w:uiPriority w:val="99"/>
    <w:rsid w:val="00892823"/>
    <w:rPr>
      <w:rFonts w:ascii="Book Antiqua" w:hAnsi="Book Antiqua" w:cs="Times New Roman"/>
      <w:i/>
      <w:color w:val="auto"/>
      <w:sz w:val="18"/>
      <w:vertAlign w:val="baseline"/>
    </w:rPr>
  </w:style>
  <w:style w:type="paragraph" w:customStyle="1" w:styleId="ProgramHeading1">
    <w:name w:val="Program Heading 1"/>
    <w:basedOn w:val="Normal"/>
    <w:next w:val="NoSpacing"/>
    <w:autoRedefine/>
    <w:uiPriority w:val="99"/>
    <w:rsid w:val="0084266F"/>
    <w:pPr>
      <w:keepNext/>
      <w:pBdr>
        <w:top w:val="single" w:sz="2" w:space="3" w:color="auto"/>
        <w:left w:val="single" w:sz="2" w:space="0" w:color="auto"/>
        <w:bottom w:val="single" w:sz="2" w:space="3" w:color="auto"/>
        <w:right w:val="single" w:sz="2" w:space="0" w:color="auto"/>
      </w:pBdr>
      <w:shd w:val="clear" w:color="auto" w:fill="E6E6E6"/>
      <w:spacing w:after="0" w:line="240" w:lineRule="auto"/>
      <w:jc w:val="left"/>
    </w:pPr>
    <w:rPr>
      <w:rFonts w:ascii="Arial" w:hAnsi="Arial"/>
      <w:b/>
    </w:rPr>
  </w:style>
  <w:style w:type="paragraph" w:customStyle="1" w:styleId="PBStext">
    <w:name w:val="PBS text"/>
    <w:basedOn w:val="Normal"/>
    <w:uiPriority w:val="99"/>
    <w:rsid w:val="00892823"/>
    <w:pPr>
      <w:spacing w:after="120" w:line="240" w:lineRule="auto"/>
    </w:pPr>
  </w:style>
  <w:style w:type="paragraph" w:customStyle="1" w:styleId="Editornote">
    <w:name w:val="Editor note"/>
    <w:basedOn w:val="Normal"/>
    <w:qFormat/>
    <w:rsid w:val="001475FD"/>
    <w:pPr>
      <w:jc w:val="left"/>
    </w:pPr>
    <w:rPr>
      <w:i/>
      <w:color w:val="7030A0"/>
    </w:rPr>
  </w:style>
  <w:style w:type="paragraph" w:styleId="Revision">
    <w:name w:val="Revision"/>
    <w:hidden/>
    <w:uiPriority w:val="99"/>
    <w:semiHidden/>
    <w:rsid w:val="00727D69"/>
    <w:rPr>
      <w:rFonts w:ascii="Book Antiqua" w:hAnsi="Book Antiqua"/>
    </w:rPr>
  </w:style>
  <w:style w:type="character" w:customStyle="1" w:styleId="ChartandTableFootnoteChar">
    <w:name w:val="Chart and Table Footnote Char"/>
    <w:link w:val="ChartandTableFootnote"/>
    <w:rsid w:val="001475FD"/>
    <w:rPr>
      <w:rFonts w:ascii="Arial" w:hAnsi="Arial"/>
      <w:sz w:val="16"/>
    </w:rPr>
  </w:style>
  <w:style w:type="character" w:customStyle="1" w:styleId="Heading5Char1">
    <w:name w:val="Heading 5 Char1"/>
    <w:link w:val="Heading5"/>
    <w:rsid w:val="00335776"/>
    <w:rPr>
      <w:rFonts w:ascii="Arial" w:hAnsi="Arial"/>
      <w:b/>
      <w:bCs/>
      <w:iCs/>
      <w:sz w:val="22"/>
      <w:szCs w:val="26"/>
    </w:rPr>
  </w:style>
  <w:style w:type="paragraph" w:customStyle="1" w:styleId="BulletLast">
    <w:name w:val="BulletLast"/>
    <w:basedOn w:val="Bullet"/>
    <w:qFormat/>
    <w:rsid w:val="00DC48F4"/>
    <w:pPr>
      <w:spacing w:after="240"/>
    </w:pPr>
  </w:style>
  <w:style w:type="character" w:styleId="FootnoteReference">
    <w:name w:val="footnote reference"/>
    <w:uiPriority w:val="99"/>
    <w:locked/>
    <w:rsid w:val="00432DD9"/>
    <w:rPr>
      <w:rFonts w:ascii="Book Antiqua" w:hAnsi="Book Antiqua"/>
      <w:b w:val="0"/>
      <w:i w:val="0"/>
      <w:sz w:val="20"/>
      <w:vertAlign w:val="superscript"/>
    </w:rPr>
  </w:style>
  <w:style w:type="paragraph" w:customStyle="1" w:styleId="NormalOutcome">
    <w:name w:val="Normal Outcome"/>
    <w:basedOn w:val="Normal"/>
    <w:next w:val="Heading4"/>
    <w:autoRedefine/>
    <w:qFormat/>
    <w:rsid w:val="00BD3613"/>
    <w:pPr>
      <w:spacing w:before="60" w:after="60" w:line="240" w:lineRule="exact"/>
    </w:pPr>
    <w:rPr>
      <w:rFonts w:ascii="Arial" w:hAnsi="Arial"/>
    </w:rPr>
  </w:style>
  <w:style w:type="paragraph" w:styleId="NoSpacing">
    <w:name w:val="No Spacing"/>
    <w:uiPriority w:val="1"/>
    <w:qFormat/>
    <w:rsid w:val="004C0FEC"/>
    <w:pPr>
      <w:jc w:val="both"/>
    </w:pPr>
    <w:rPr>
      <w:rFonts w:ascii="Book Antiqua" w:hAnsi="Book Antiqua"/>
    </w:rPr>
  </w:style>
  <w:style w:type="paragraph" w:customStyle="1" w:styleId="ProgramHeading2">
    <w:name w:val="Program Heading 2"/>
    <w:basedOn w:val="ProgramHeading1"/>
    <w:next w:val="NormalBox"/>
    <w:qFormat/>
    <w:rsid w:val="0084266F"/>
    <w:pPr>
      <w:shd w:val="clear" w:color="auto" w:fill="auto"/>
      <w:spacing w:after="120"/>
    </w:pPr>
    <w:rPr>
      <w:lang w:val="en-GB"/>
    </w:rPr>
  </w:style>
  <w:style w:type="paragraph" w:customStyle="1" w:styleId="NormalBox">
    <w:name w:val="Normal Box"/>
    <w:basedOn w:val="Normal"/>
    <w:next w:val="Normal"/>
    <w:qFormat/>
    <w:rsid w:val="008D6567"/>
    <w:pPr>
      <w:pBdr>
        <w:top w:val="single" w:sz="2" w:space="3" w:color="auto"/>
        <w:left w:val="single" w:sz="2" w:space="0" w:color="auto"/>
        <w:bottom w:val="single" w:sz="2" w:space="3" w:color="auto"/>
        <w:right w:val="single" w:sz="2" w:space="0" w:color="auto"/>
      </w:pBdr>
      <w:spacing w:after="120"/>
    </w:pPr>
    <w:rPr>
      <w:lang w:val="en-GB"/>
    </w:rPr>
  </w:style>
  <w:style w:type="paragraph" w:customStyle="1" w:styleId="ProgramHeading4">
    <w:name w:val="Program Heading 4"/>
    <w:basedOn w:val="ProgramHeading2"/>
    <w:next w:val="NormalBox"/>
    <w:autoRedefine/>
    <w:qFormat/>
    <w:rsid w:val="006F624A"/>
    <w:pPr>
      <w:spacing w:before="60" w:after="60"/>
    </w:pPr>
    <w:rPr>
      <w:rFonts w:ascii="Book Antiqua" w:hAnsi="Book Antiqua"/>
      <w:b w:val="0"/>
      <w:i/>
    </w:rPr>
  </w:style>
  <w:style w:type="paragraph" w:customStyle="1" w:styleId="BulletBox">
    <w:name w:val="Bullet Box"/>
    <w:basedOn w:val="Bullet"/>
    <w:qFormat/>
    <w:rsid w:val="00704365"/>
    <w:pPr>
      <w:pBdr>
        <w:top w:val="single" w:sz="2" w:space="3" w:color="auto"/>
        <w:left w:val="single" w:sz="2" w:space="0" w:color="auto"/>
        <w:bottom w:val="single" w:sz="2" w:space="3" w:color="auto"/>
        <w:right w:val="single" w:sz="2" w:space="0" w:color="auto"/>
      </w:pBdr>
      <w:spacing w:after="60"/>
    </w:pPr>
    <w:rPr>
      <w:lang w:val="en-GB"/>
    </w:rPr>
  </w:style>
  <w:style w:type="paragraph" w:customStyle="1" w:styleId="ProgramHeading3">
    <w:name w:val="Program Heading 3"/>
    <w:basedOn w:val="NormalBox"/>
    <w:next w:val="BulletBox"/>
    <w:autoRedefine/>
    <w:qFormat/>
    <w:rsid w:val="009227D1"/>
    <w:pPr>
      <w:keepNext/>
      <w:spacing w:before="60" w:after="60"/>
    </w:pPr>
    <w:rPr>
      <w:b/>
    </w:rPr>
  </w:style>
  <w:style w:type="character" w:customStyle="1" w:styleId="Heading6Char1">
    <w:name w:val="Heading 6 Char1"/>
    <w:basedOn w:val="DefaultParagraphFont"/>
    <w:link w:val="Heading6"/>
    <w:rsid w:val="008F6A0E"/>
    <w:rPr>
      <w:rFonts w:ascii="Arial" w:hAnsi="Arial"/>
      <w:b/>
      <w:shd w:val="clear" w:color="auto" w:fill="E6E6E6"/>
    </w:rPr>
  </w:style>
  <w:style w:type="table" w:styleId="TableGrid">
    <w:name w:val="Table Grid"/>
    <w:basedOn w:val="TableNormal"/>
    <w:rsid w:val="008367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3pt1">
    <w:name w:val="H3 pt1"/>
    <w:basedOn w:val="Heading3"/>
    <w:next w:val="Normal"/>
    <w:qFormat/>
    <w:rsid w:val="00245865"/>
    <w:pPr>
      <w:spacing w:before="120" w:after="120"/>
    </w:pPr>
    <w:rPr>
      <w:rFonts w:ascii="Arial Bold" w:hAnsi="Arial Bold"/>
      <w:smallCaps w:val="0"/>
      <w:sz w:val="22"/>
    </w:rPr>
  </w:style>
  <w:style w:type="paragraph" w:customStyle="1" w:styleId="H6">
    <w:name w:val="H6"/>
    <w:basedOn w:val="Heading6"/>
    <w:next w:val="Normal"/>
    <w:qFormat/>
    <w:rsid w:val="0017779B"/>
    <w:pPr>
      <w:pBdr>
        <w:top w:val="none" w:sz="0" w:space="0" w:color="auto"/>
        <w:left w:val="none" w:sz="0" w:space="0" w:color="auto"/>
        <w:bottom w:val="none" w:sz="0" w:space="0" w:color="auto"/>
        <w:right w:val="none" w:sz="0" w:space="0" w:color="auto"/>
      </w:pBdr>
      <w:shd w:val="clear" w:color="auto" w:fill="auto"/>
      <w:spacing w:after="120"/>
    </w:pPr>
    <w:rPr>
      <w:b w:val="0"/>
    </w:rPr>
  </w:style>
  <w:style w:type="paragraph" w:customStyle="1" w:styleId="H6-ILC">
    <w:name w:val="H6 - ILC"/>
    <w:basedOn w:val="Heading6"/>
    <w:next w:val="Normal"/>
    <w:qFormat/>
    <w:rsid w:val="00F7530C"/>
    <w:pPr>
      <w:pBdr>
        <w:top w:val="none" w:sz="0" w:space="0" w:color="auto"/>
        <w:left w:val="none" w:sz="0" w:space="0" w:color="auto"/>
        <w:bottom w:val="none" w:sz="0" w:space="0" w:color="auto"/>
        <w:right w:val="none" w:sz="0" w:space="0" w:color="auto"/>
      </w:pBdr>
      <w:shd w:val="clear" w:color="auto" w:fill="auto"/>
      <w:spacing w:after="12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1248562">
      <w:bodyDiv w:val="1"/>
      <w:marLeft w:val="0"/>
      <w:marRight w:val="0"/>
      <w:marTop w:val="0"/>
      <w:marBottom w:val="0"/>
      <w:divBdr>
        <w:top w:val="none" w:sz="0" w:space="0" w:color="auto"/>
        <w:left w:val="none" w:sz="0" w:space="0" w:color="auto"/>
        <w:bottom w:val="none" w:sz="0" w:space="0" w:color="auto"/>
        <w:right w:val="none" w:sz="0" w:space="0" w:color="auto"/>
      </w:divBdr>
    </w:div>
    <w:div w:id="2632233">
      <w:bodyDiv w:val="1"/>
      <w:marLeft w:val="0"/>
      <w:marRight w:val="0"/>
      <w:marTop w:val="0"/>
      <w:marBottom w:val="0"/>
      <w:divBdr>
        <w:top w:val="none" w:sz="0" w:space="0" w:color="auto"/>
        <w:left w:val="none" w:sz="0" w:space="0" w:color="auto"/>
        <w:bottom w:val="none" w:sz="0" w:space="0" w:color="auto"/>
        <w:right w:val="none" w:sz="0" w:space="0" w:color="auto"/>
      </w:divBdr>
    </w:div>
    <w:div w:id="3627681">
      <w:bodyDiv w:val="1"/>
      <w:marLeft w:val="0"/>
      <w:marRight w:val="0"/>
      <w:marTop w:val="0"/>
      <w:marBottom w:val="0"/>
      <w:divBdr>
        <w:top w:val="none" w:sz="0" w:space="0" w:color="auto"/>
        <w:left w:val="none" w:sz="0" w:space="0" w:color="auto"/>
        <w:bottom w:val="none" w:sz="0" w:space="0" w:color="auto"/>
        <w:right w:val="none" w:sz="0" w:space="0" w:color="auto"/>
      </w:divBdr>
    </w:div>
    <w:div w:id="7297899">
      <w:bodyDiv w:val="1"/>
      <w:marLeft w:val="0"/>
      <w:marRight w:val="0"/>
      <w:marTop w:val="0"/>
      <w:marBottom w:val="0"/>
      <w:divBdr>
        <w:top w:val="none" w:sz="0" w:space="0" w:color="auto"/>
        <w:left w:val="none" w:sz="0" w:space="0" w:color="auto"/>
        <w:bottom w:val="none" w:sz="0" w:space="0" w:color="auto"/>
        <w:right w:val="none" w:sz="0" w:space="0" w:color="auto"/>
      </w:divBdr>
    </w:div>
    <w:div w:id="7678828">
      <w:bodyDiv w:val="1"/>
      <w:marLeft w:val="0"/>
      <w:marRight w:val="0"/>
      <w:marTop w:val="0"/>
      <w:marBottom w:val="0"/>
      <w:divBdr>
        <w:top w:val="none" w:sz="0" w:space="0" w:color="auto"/>
        <w:left w:val="none" w:sz="0" w:space="0" w:color="auto"/>
        <w:bottom w:val="none" w:sz="0" w:space="0" w:color="auto"/>
        <w:right w:val="none" w:sz="0" w:space="0" w:color="auto"/>
      </w:divBdr>
    </w:div>
    <w:div w:id="7678987">
      <w:bodyDiv w:val="1"/>
      <w:marLeft w:val="0"/>
      <w:marRight w:val="0"/>
      <w:marTop w:val="0"/>
      <w:marBottom w:val="0"/>
      <w:divBdr>
        <w:top w:val="none" w:sz="0" w:space="0" w:color="auto"/>
        <w:left w:val="none" w:sz="0" w:space="0" w:color="auto"/>
        <w:bottom w:val="none" w:sz="0" w:space="0" w:color="auto"/>
        <w:right w:val="none" w:sz="0" w:space="0" w:color="auto"/>
      </w:divBdr>
    </w:div>
    <w:div w:id="9063183">
      <w:bodyDiv w:val="1"/>
      <w:marLeft w:val="0"/>
      <w:marRight w:val="0"/>
      <w:marTop w:val="0"/>
      <w:marBottom w:val="0"/>
      <w:divBdr>
        <w:top w:val="none" w:sz="0" w:space="0" w:color="auto"/>
        <w:left w:val="none" w:sz="0" w:space="0" w:color="auto"/>
        <w:bottom w:val="none" w:sz="0" w:space="0" w:color="auto"/>
        <w:right w:val="none" w:sz="0" w:space="0" w:color="auto"/>
      </w:divBdr>
    </w:div>
    <w:div w:id="10880033">
      <w:bodyDiv w:val="1"/>
      <w:marLeft w:val="0"/>
      <w:marRight w:val="0"/>
      <w:marTop w:val="0"/>
      <w:marBottom w:val="0"/>
      <w:divBdr>
        <w:top w:val="none" w:sz="0" w:space="0" w:color="auto"/>
        <w:left w:val="none" w:sz="0" w:space="0" w:color="auto"/>
        <w:bottom w:val="none" w:sz="0" w:space="0" w:color="auto"/>
        <w:right w:val="none" w:sz="0" w:space="0" w:color="auto"/>
      </w:divBdr>
    </w:div>
    <w:div w:id="11273879">
      <w:bodyDiv w:val="1"/>
      <w:marLeft w:val="0"/>
      <w:marRight w:val="0"/>
      <w:marTop w:val="0"/>
      <w:marBottom w:val="0"/>
      <w:divBdr>
        <w:top w:val="none" w:sz="0" w:space="0" w:color="auto"/>
        <w:left w:val="none" w:sz="0" w:space="0" w:color="auto"/>
        <w:bottom w:val="none" w:sz="0" w:space="0" w:color="auto"/>
        <w:right w:val="none" w:sz="0" w:space="0" w:color="auto"/>
      </w:divBdr>
    </w:div>
    <w:div w:id="11886878">
      <w:bodyDiv w:val="1"/>
      <w:marLeft w:val="0"/>
      <w:marRight w:val="0"/>
      <w:marTop w:val="0"/>
      <w:marBottom w:val="0"/>
      <w:divBdr>
        <w:top w:val="none" w:sz="0" w:space="0" w:color="auto"/>
        <w:left w:val="none" w:sz="0" w:space="0" w:color="auto"/>
        <w:bottom w:val="none" w:sz="0" w:space="0" w:color="auto"/>
        <w:right w:val="none" w:sz="0" w:space="0" w:color="auto"/>
      </w:divBdr>
    </w:div>
    <w:div w:id="13773213">
      <w:bodyDiv w:val="1"/>
      <w:marLeft w:val="0"/>
      <w:marRight w:val="0"/>
      <w:marTop w:val="0"/>
      <w:marBottom w:val="0"/>
      <w:divBdr>
        <w:top w:val="none" w:sz="0" w:space="0" w:color="auto"/>
        <w:left w:val="none" w:sz="0" w:space="0" w:color="auto"/>
        <w:bottom w:val="none" w:sz="0" w:space="0" w:color="auto"/>
        <w:right w:val="none" w:sz="0" w:space="0" w:color="auto"/>
      </w:divBdr>
    </w:div>
    <w:div w:id="15667007">
      <w:bodyDiv w:val="1"/>
      <w:marLeft w:val="0"/>
      <w:marRight w:val="0"/>
      <w:marTop w:val="0"/>
      <w:marBottom w:val="0"/>
      <w:divBdr>
        <w:top w:val="none" w:sz="0" w:space="0" w:color="auto"/>
        <w:left w:val="none" w:sz="0" w:space="0" w:color="auto"/>
        <w:bottom w:val="none" w:sz="0" w:space="0" w:color="auto"/>
        <w:right w:val="none" w:sz="0" w:space="0" w:color="auto"/>
      </w:divBdr>
    </w:div>
    <w:div w:id="16009462">
      <w:bodyDiv w:val="1"/>
      <w:marLeft w:val="0"/>
      <w:marRight w:val="0"/>
      <w:marTop w:val="0"/>
      <w:marBottom w:val="0"/>
      <w:divBdr>
        <w:top w:val="none" w:sz="0" w:space="0" w:color="auto"/>
        <w:left w:val="none" w:sz="0" w:space="0" w:color="auto"/>
        <w:bottom w:val="none" w:sz="0" w:space="0" w:color="auto"/>
        <w:right w:val="none" w:sz="0" w:space="0" w:color="auto"/>
      </w:divBdr>
    </w:div>
    <w:div w:id="18050122">
      <w:bodyDiv w:val="1"/>
      <w:marLeft w:val="0"/>
      <w:marRight w:val="0"/>
      <w:marTop w:val="0"/>
      <w:marBottom w:val="0"/>
      <w:divBdr>
        <w:top w:val="none" w:sz="0" w:space="0" w:color="auto"/>
        <w:left w:val="none" w:sz="0" w:space="0" w:color="auto"/>
        <w:bottom w:val="none" w:sz="0" w:space="0" w:color="auto"/>
        <w:right w:val="none" w:sz="0" w:space="0" w:color="auto"/>
      </w:divBdr>
    </w:div>
    <w:div w:id="26832562">
      <w:bodyDiv w:val="1"/>
      <w:marLeft w:val="0"/>
      <w:marRight w:val="0"/>
      <w:marTop w:val="0"/>
      <w:marBottom w:val="0"/>
      <w:divBdr>
        <w:top w:val="none" w:sz="0" w:space="0" w:color="auto"/>
        <w:left w:val="none" w:sz="0" w:space="0" w:color="auto"/>
        <w:bottom w:val="none" w:sz="0" w:space="0" w:color="auto"/>
        <w:right w:val="none" w:sz="0" w:space="0" w:color="auto"/>
      </w:divBdr>
    </w:div>
    <w:div w:id="27033461">
      <w:bodyDiv w:val="1"/>
      <w:marLeft w:val="0"/>
      <w:marRight w:val="0"/>
      <w:marTop w:val="0"/>
      <w:marBottom w:val="0"/>
      <w:divBdr>
        <w:top w:val="none" w:sz="0" w:space="0" w:color="auto"/>
        <w:left w:val="none" w:sz="0" w:space="0" w:color="auto"/>
        <w:bottom w:val="none" w:sz="0" w:space="0" w:color="auto"/>
        <w:right w:val="none" w:sz="0" w:space="0" w:color="auto"/>
      </w:divBdr>
    </w:div>
    <w:div w:id="29956693">
      <w:bodyDiv w:val="1"/>
      <w:marLeft w:val="0"/>
      <w:marRight w:val="0"/>
      <w:marTop w:val="0"/>
      <w:marBottom w:val="0"/>
      <w:divBdr>
        <w:top w:val="none" w:sz="0" w:space="0" w:color="auto"/>
        <w:left w:val="none" w:sz="0" w:space="0" w:color="auto"/>
        <w:bottom w:val="none" w:sz="0" w:space="0" w:color="auto"/>
        <w:right w:val="none" w:sz="0" w:space="0" w:color="auto"/>
      </w:divBdr>
    </w:div>
    <w:div w:id="30494401">
      <w:bodyDiv w:val="1"/>
      <w:marLeft w:val="0"/>
      <w:marRight w:val="0"/>
      <w:marTop w:val="0"/>
      <w:marBottom w:val="0"/>
      <w:divBdr>
        <w:top w:val="none" w:sz="0" w:space="0" w:color="auto"/>
        <w:left w:val="none" w:sz="0" w:space="0" w:color="auto"/>
        <w:bottom w:val="none" w:sz="0" w:space="0" w:color="auto"/>
        <w:right w:val="none" w:sz="0" w:space="0" w:color="auto"/>
      </w:divBdr>
    </w:div>
    <w:div w:id="35935965">
      <w:bodyDiv w:val="1"/>
      <w:marLeft w:val="0"/>
      <w:marRight w:val="0"/>
      <w:marTop w:val="0"/>
      <w:marBottom w:val="0"/>
      <w:divBdr>
        <w:top w:val="none" w:sz="0" w:space="0" w:color="auto"/>
        <w:left w:val="none" w:sz="0" w:space="0" w:color="auto"/>
        <w:bottom w:val="none" w:sz="0" w:space="0" w:color="auto"/>
        <w:right w:val="none" w:sz="0" w:space="0" w:color="auto"/>
      </w:divBdr>
    </w:div>
    <w:div w:id="45304649">
      <w:bodyDiv w:val="1"/>
      <w:marLeft w:val="0"/>
      <w:marRight w:val="0"/>
      <w:marTop w:val="0"/>
      <w:marBottom w:val="0"/>
      <w:divBdr>
        <w:top w:val="none" w:sz="0" w:space="0" w:color="auto"/>
        <w:left w:val="none" w:sz="0" w:space="0" w:color="auto"/>
        <w:bottom w:val="none" w:sz="0" w:space="0" w:color="auto"/>
        <w:right w:val="none" w:sz="0" w:space="0" w:color="auto"/>
      </w:divBdr>
    </w:div>
    <w:div w:id="46491357">
      <w:bodyDiv w:val="1"/>
      <w:marLeft w:val="0"/>
      <w:marRight w:val="0"/>
      <w:marTop w:val="0"/>
      <w:marBottom w:val="0"/>
      <w:divBdr>
        <w:top w:val="none" w:sz="0" w:space="0" w:color="auto"/>
        <w:left w:val="none" w:sz="0" w:space="0" w:color="auto"/>
        <w:bottom w:val="none" w:sz="0" w:space="0" w:color="auto"/>
        <w:right w:val="none" w:sz="0" w:space="0" w:color="auto"/>
      </w:divBdr>
    </w:div>
    <w:div w:id="47533850">
      <w:bodyDiv w:val="1"/>
      <w:marLeft w:val="0"/>
      <w:marRight w:val="0"/>
      <w:marTop w:val="0"/>
      <w:marBottom w:val="0"/>
      <w:divBdr>
        <w:top w:val="none" w:sz="0" w:space="0" w:color="auto"/>
        <w:left w:val="none" w:sz="0" w:space="0" w:color="auto"/>
        <w:bottom w:val="none" w:sz="0" w:space="0" w:color="auto"/>
        <w:right w:val="none" w:sz="0" w:space="0" w:color="auto"/>
      </w:divBdr>
    </w:div>
    <w:div w:id="48118611">
      <w:bodyDiv w:val="1"/>
      <w:marLeft w:val="0"/>
      <w:marRight w:val="0"/>
      <w:marTop w:val="0"/>
      <w:marBottom w:val="0"/>
      <w:divBdr>
        <w:top w:val="none" w:sz="0" w:space="0" w:color="auto"/>
        <w:left w:val="none" w:sz="0" w:space="0" w:color="auto"/>
        <w:bottom w:val="none" w:sz="0" w:space="0" w:color="auto"/>
        <w:right w:val="none" w:sz="0" w:space="0" w:color="auto"/>
      </w:divBdr>
    </w:div>
    <w:div w:id="49351673">
      <w:bodyDiv w:val="1"/>
      <w:marLeft w:val="0"/>
      <w:marRight w:val="0"/>
      <w:marTop w:val="0"/>
      <w:marBottom w:val="0"/>
      <w:divBdr>
        <w:top w:val="none" w:sz="0" w:space="0" w:color="auto"/>
        <w:left w:val="none" w:sz="0" w:space="0" w:color="auto"/>
        <w:bottom w:val="none" w:sz="0" w:space="0" w:color="auto"/>
        <w:right w:val="none" w:sz="0" w:space="0" w:color="auto"/>
      </w:divBdr>
    </w:div>
    <w:div w:id="50350510">
      <w:bodyDiv w:val="1"/>
      <w:marLeft w:val="0"/>
      <w:marRight w:val="0"/>
      <w:marTop w:val="0"/>
      <w:marBottom w:val="0"/>
      <w:divBdr>
        <w:top w:val="none" w:sz="0" w:space="0" w:color="auto"/>
        <w:left w:val="none" w:sz="0" w:space="0" w:color="auto"/>
        <w:bottom w:val="none" w:sz="0" w:space="0" w:color="auto"/>
        <w:right w:val="none" w:sz="0" w:space="0" w:color="auto"/>
      </w:divBdr>
    </w:div>
    <w:div w:id="52048836">
      <w:bodyDiv w:val="1"/>
      <w:marLeft w:val="0"/>
      <w:marRight w:val="0"/>
      <w:marTop w:val="0"/>
      <w:marBottom w:val="0"/>
      <w:divBdr>
        <w:top w:val="none" w:sz="0" w:space="0" w:color="auto"/>
        <w:left w:val="none" w:sz="0" w:space="0" w:color="auto"/>
        <w:bottom w:val="none" w:sz="0" w:space="0" w:color="auto"/>
        <w:right w:val="none" w:sz="0" w:space="0" w:color="auto"/>
      </w:divBdr>
    </w:div>
    <w:div w:id="52122672">
      <w:bodyDiv w:val="1"/>
      <w:marLeft w:val="0"/>
      <w:marRight w:val="0"/>
      <w:marTop w:val="0"/>
      <w:marBottom w:val="0"/>
      <w:divBdr>
        <w:top w:val="none" w:sz="0" w:space="0" w:color="auto"/>
        <w:left w:val="none" w:sz="0" w:space="0" w:color="auto"/>
        <w:bottom w:val="none" w:sz="0" w:space="0" w:color="auto"/>
        <w:right w:val="none" w:sz="0" w:space="0" w:color="auto"/>
      </w:divBdr>
    </w:div>
    <w:div w:id="57942556">
      <w:bodyDiv w:val="1"/>
      <w:marLeft w:val="0"/>
      <w:marRight w:val="0"/>
      <w:marTop w:val="0"/>
      <w:marBottom w:val="0"/>
      <w:divBdr>
        <w:top w:val="none" w:sz="0" w:space="0" w:color="auto"/>
        <w:left w:val="none" w:sz="0" w:space="0" w:color="auto"/>
        <w:bottom w:val="none" w:sz="0" w:space="0" w:color="auto"/>
        <w:right w:val="none" w:sz="0" w:space="0" w:color="auto"/>
      </w:divBdr>
    </w:div>
    <w:div w:id="60101810">
      <w:bodyDiv w:val="1"/>
      <w:marLeft w:val="0"/>
      <w:marRight w:val="0"/>
      <w:marTop w:val="0"/>
      <w:marBottom w:val="0"/>
      <w:divBdr>
        <w:top w:val="none" w:sz="0" w:space="0" w:color="auto"/>
        <w:left w:val="none" w:sz="0" w:space="0" w:color="auto"/>
        <w:bottom w:val="none" w:sz="0" w:space="0" w:color="auto"/>
        <w:right w:val="none" w:sz="0" w:space="0" w:color="auto"/>
      </w:divBdr>
    </w:div>
    <w:div w:id="60450142">
      <w:bodyDiv w:val="1"/>
      <w:marLeft w:val="0"/>
      <w:marRight w:val="0"/>
      <w:marTop w:val="0"/>
      <w:marBottom w:val="0"/>
      <w:divBdr>
        <w:top w:val="none" w:sz="0" w:space="0" w:color="auto"/>
        <w:left w:val="none" w:sz="0" w:space="0" w:color="auto"/>
        <w:bottom w:val="none" w:sz="0" w:space="0" w:color="auto"/>
        <w:right w:val="none" w:sz="0" w:space="0" w:color="auto"/>
      </w:divBdr>
    </w:div>
    <w:div w:id="68041229">
      <w:bodyDiv w:val="1"/>
      <w:marLeft w:val="0"/>
      <w:marRight w:val="0"/>
      <w:marTop w:val="0"/>
      <w:marBottom w:val="0"/>
      <w:divBdr>
        <w:top w:val="none" w:sz="0" w:space="0" w:color="auto"/>
        <w:left w:val="none" w:sz="0" w:space="0" w:color="auto"/>
        <w:bottom w:val="none" w:sz="0" w:space="0" w:color="auto"/>
        <w:right w:val="none" w:sz="0" w:space="0" w:color="auto"/>
      </w:divBdr>
    </w:div>
    <w:div w:id="73944085">
      <w:bodyDiv w:val="1"/>
      <w:marLeft w:val="0"/>
      <w:marRight w:val="0"/>
      <w:marTop w:val="0"/>
      <w:marBottom w:val="0"/>
      <w:divBdr>
        <w:top w:val="none" w:sz="0" w:space="0" w:color="auto"/>
        <w:left w:val="none" w:sz="0" w:space="0" w:color="auto"/>
        <w:bottom w:val="none" w:sz="0" w:space="0" w:color="auto"/>
        <w:right w:val="none" w:sz="0" w:space="0" w:color="auto"/>
      </w:divBdr>
    </w:div>
    <w:div w:id="78408847">
      <w:bodyDiv w:val="1"/>
      <w:marLeft w:val="0"/>
      <w:marRight w:val="0"/>
      <w:marTop w:val="0"/>
      <w:marBottom w:val="0"/>
      <w:divBdr>
        <w:top w:val="none" w:sz="0" w:space="0" w:color="auto"/>
        <w:left w:val="none" w:sz="0" w:space="0" w:color="auto"/>
        <w:bottom w:val="none" w:sz="0" w:space="0" w:color="auto"/>
        <w:right w:val="none" w:sz="0" w:space="0" w:color="auto"/>
      </w:divBdr>
    </w:div>
    <w:div w:id="78916501">
      <w:bodyDiv w:val="1"/>
      <w:marLeft w:val="0"/>
      <w:marRight w:val="0"/>
      <w:marTop w:val="0"/>
      <w:marBottom w:val="0"/>
      <w:divBdr>
        <w:top w:val="none" w:sz="0" w:space="0" w:color="auto"/>
        <w:left w:val="none" w:sz="0" w:space="0" w:color="auto"/>
        <w:bottom w:val="none" w:sz="0" w:space="0" w:color="auto"/>
        <w:right w:val="none" w:sz="0" w:space="0" w:color="auto"/>
      </w:divBdr>
    </w:div>
    <w:div w:id="79447671">
      <w:bodyDiv w:val="1"/>
      <w:marLeft w:val="0"/>
      <w:marRight w:val="0"/>
      <w:marTop w:val="0"/>
      <w:marBottom w:val="0"/>
      <w:divBdr>
        <w:top w:val="none" w:sz="0" w:space="0" w:color="auto"/>
        <w:left w:val="none" w:sz="0" w:space="0" w:color="auto"/>
        <w:bottom w:val="none" w:sz="0" w:space="0" w:color="auto"/>
        <w:right w:val="none" w:sz="0" w:space="0" w:color="auto"/>
      </w:divBdr>
    </w:div>
    <w:div w:id="87510179">
      <w:bodyDiv w:val="1"/>
      <w:marLeft w:val="0"/>
      <w:marRight w:val="0"/>
      <w:marTop w:val="0"/>
      <w:marBottom w:val="0"/>
      <w:divBdr>
        <w:top w:val="none" w:sz="0" w:space="0" w:color="auto"/>
        <w:left w:val="none" w:sz="0" w:space="0" w:color="auto"/>
        <w:bottom w:val="none" w:sz="0" w:space="0" w:color="auto"/>
        <w:right w:val="none" w:sz="0" w:space="0" w:color="auto"/>
      </w:divBdr>
    </w:div>
    <w:div w:id="88431785">
      <w:bodyDiv w:val="1"/>
      <w:marLeft w:val="0"/>
      <w:marRight w:val="0"/>
      <w:marTop w:val="0"/>
      <w:marBottom w:val="0"/>
      <w:divBdr>
        <w:top w:val="none" w:sz="0" w:space="0" w:color="auto"/>
        <w:left w:val="none" w:sz="0" w:space="0" w:color="auto"/>
        <w:bottom w:val="none" w:sz="0" w:space="0" w:color="auto"/>
        <w:right w:val="none" w:sz="0" w:space="0" w:color="auto"/>
      </w:divBdr>
    </w:div>
    <w:div w:id="89855696">
      <w:bodyDiv w:val="1"/>
      <w:marLeft w:val="0"/>
      <w:marRight w:val="0"/>
      <w:marTop w:val="0"/>
      <w:marBottom w:val="0"/>
      <w:divBdr>
        <w:top w:val="none" w:sz="0" w:space="0" w:color="auto"/>
        <w:left w:val="none" w:sz="0" w:space="0" w:color="auto"/>
        <w:bottom w:val="none" w:sz="0" w:space="0" w:color="auto"/>
        <w:right w:val="none" w:sz="0" w:space="0" w:color="auto"/>
      </w:divBdr>
    </w:div>
    <w:div w:id="93524064">
      <w:bodyDiv w:val="1"/>
      <w:marLeft w:val="0"/>
      <w:marRight w:val="0"/>
      <w:marTop w:val="0"/>
      <w:marBottom w:val="0"/>
      <w:divBdr>
        <w:top w:val="none" w:sz="0" w:space="0" w:color="auto"/>
        <w:left w:val="none" w:sz="0" w:space="0" w:color="auto"/>
        <w:bottom w:val="none" w:sz="0" w:space="0" w:color="auto"/>
        <w:right w:val="none" w:sz="0" w:space="0" w:color="auto"/>
      </w:divBdr>
    </w:div>
    <w:div w:id="95490544">
      <w:bodyDiv w:val="1"/>
      <w:marLeft w:val="0"/>
      <w:marRight w:val="0"/>
      <w:marTop w:val="0"/>
      <w:marBottom w:val="0"/>
      <w:divBdr>
        <w:top w:val="none" w:sz="0" w:space="0" w:color="auto"/>
        <w:left w:val="none" w:sz="0" w:space="0" w:color="auto"/>
        <w:bottom w:val="none" w:sz="0" w:space="0" w:color="auto"/>
        <w:right w:val="none" w:sz="0" w:space="0" w:color="auto"/>
      </w:divBdr>
    </w:div>
    <w:div w:id="96220523">
      <w:bodyDiv w:val="1"/>
      <w:marLeft w:val="0"/>
      <w:marRight w:val="0"/>
      <w:marTop w:val="0"/>
      <w:marBottom w:val="0"/>
      <w:divBdr>
        <w:top w:val="none" w:sz="0" w:space="0" w:color="auto"/>
        <w:left w:val="none" w:sz="0" w:space="0" w:color="auto"/>
        <w:bottom w:val="none" w:sz="0" w:space="0" w:color="auto"/>
        <w:right w:val="none" w:sz="0" w:space="0" w:color="auto"/>
      </w:divBdr>
    </w:div>
    <w:div w:id="96945212">
      <w:bodyDiv w:val="1"/>
      <w:marLeft w:val="0"/>
      <w:marRight w:val="0"/>
      <w:marTop w:val="0"/>
      <w:marBottom w:val="0"/>
      <w:divBdr>
        <w:top w:val="none" w:sz="0" w:space="0" w:color="auto"/>
        <w:left w:val="none" w:sz="0" w:space="0" w:color="auto"/>
        <w:bottom w:val="none" w:sz="0" w:space="0" w:color="auto"/>
        <w:right w:val="none" w:sz="0" w:space="0" w:color="auto"/>
      </w:divBdr>
    </w:div>
    <w:div w:id="97792919">
      <w:bodyDiv w:val="1"/>
      <w:marLeft w:val="0"/>
      <w:marRight w:val="0"/>
      <w:marTop w:val="0"/>
      <w:marBottom w:val="0"/>
      <w:divBdr>
        <w:top w:val="none" w:sz="0" w:space="0" w:color="auto"/>
        <w:left w:val="none" w:sz="0" w:space="0" w:color="auto"/>
        <w:bottom w:val="none" w:sz="0" w:space="0" w:color="auto"/>
        <w:right w:val="none" w:sz="0" w:space="0" w:color="auto"/>
      </w:divBdr>
    </w:div>
    <w:div w:id="98377446">
      <w:bodyDiv w:val="1"/>
      <w:marLeft w:val="0"/>
      <w:marRight w:val="0"/>
      <w:marTop w:val="0"/>
      <w:marBottom w:val="0"/>
      <w:divBdr>
        <w:top w:val="none" w:sz="0" w:space="0" w:color="auto"/>
        <w:left w:val="none" w:sz="0" w:space="0" w:color="auto"/>
        <w:bottom w:val="none" w:sz="0" w:space="0" w:color="auto"/>
        <w:right w:val="none" w:sz="0" w:space="0" w:color="auto"/>
      </w:divBdr>
    </w:div>
    <w:div w:id="100078598">
      <w:bodyDiv w:val="1"/>
      <w:marLeft w:val="0"/>
      <w:marRight w:val="0"/>
      <w:marTop w:val="0"/>
      <w:marBottom w:val="0"/>
      <w:divBdr>
        <w:top w:val="none" w:sz="0" w:space="0" w:color="auto"/>
        <w:left w:val="none" w:sz="0" w:space="0" w:color="auto"/>
        <w:bottom w:val="none" w:sz="0" w:space="0" w:color="auto"/>
        <w:right w:val="none" w:sz="0" w:space="0" w:color="auto"/>
      </w:divBdr>
    </w:div>
    <w:div w:id="100347418">
      <w:bodyDiv w:val="1"/>
      <w:marLeft w:val="0"/>
      <w:marRight w:val="0"/>
      <w:marTop w:val="0"/>
      <w:marBottom w:val="0"/>
      <w:divBdr>
        <w:top w:val="none" w:sz="0" w:space="0" w:color="auto"/>
        <w:left w:val="none" w:sz="0" w:space="0" w:color="auto"/>
        <w:bottom w:val="none" w:sz="0" w:space="0" w:color="auto"/>
        <w:right w:val="none" w:sz="0" w:space="0" w:color="auto"/>
      </w:divBdr>
    </w:div>
    <w:div w:id="100418223">
      <w:bodyDiv w:val="1"/>
      <w:marLeft w:val="0"/>
      <w:marRight w:val="0"/>
      <w:marTop w:val="0"/>
      <w:marBottom w:val="0"/>
      <w:divBdr>
        <w:top w:val="none" w:sz="0" w:space="0" w:color="auto"/>
        <w:left w:val="none" w:sz="0" w:space="0" w:color="auto"/>
        <w:bottom w:val="none" w:sz="0" w:space="0" w:color="auto"/>
        <w:right w:val="none" w:sz="0" w:space="0" w:color="auto"/>
      </w:divBdr>
    </w:div>
    <w:div w:id="102578604">
      <w:bodyDiv w:val="1"/>
      <w:marLeft w:val="0"/>
      <w:marRight w:val="0"/>
      <w:marTop w:val="0"/>
      <w:marBottom w:val="0"/>
      <w:divBdr>
        <w:top w:val="none" w:sz="0" w:space="0" w:color="auto"/>
        <w:left w:val="none" w:sz="0" w:space="0" w:color="auto"/>
        <w:bottom w:val="none" w:sz="0" w:space="0" w:color="auto"/>
        <w:right w:val="none" w:sz="0" w:space="0" w:color="auto"/>
      </w:divBdr>
    </w:div>
    <w:div w:id="102844220">
      <w:bodyDiv w:val="1"/>
      <w:marLeft w:val="0"/>
      <w:marRight w:val="0"/>
      <w:marTop w:val="0"/>
      <w:marBottom w:val="0"/>
      <w:divBdr>
        <w:top w:val="none" w:sz="0" w:space="0" w:color="auto"/>
        <w:left w:val="none" w:sz="0" w:space="0" w:color="auto"/>
        <w:bottom w:val="none" w:sz="0" w:space="0" w:color="auto"/>
        <w:right w:val="none" w:sz="0" w:space="0" w:color="auto"/>
      </w:divBdr>
    </w:div>
    <w:div w:id="110327739">
      <w:bodyDiv w:val="1"/>
      <w:marLeft w:val="0"/>
      <w:marRight w:val="0"/>
      <w:marTop w:val="0"/>
      <w:marBottom w:val="0"/>
      <w:divBdr>
        <w:top w:val="none" w:sz="0" w:space="0" w:color="auto"/>
        <w:left w:val="none" w:sz="0" w:space="0" w:color="auto"/>
        <w:bottom w:val="none" w:sz="0" w:space="0" w:color="auto"/>
        <w:right w:val="none" w:sz="0" w:space="0" w:color="auto"/>
      </w:divBdr>
    </w:div>
    <w:div w:id="111554344">
      <w:bodyDiv w:val="1"/>
      <w:marLeft w:val="0"/>
      <w:marRight w:val="0"/>
      <w:marTop w:val="0"/>
      <w:marBottom w:val="0"/>
      <w:divBdr>
        <w:top w:val="none" w:sz="0" w:space="0" w:color="auto"/>
        <w:left w:val="none" w:sz="0" w:space="0" w:color="auto"/>
        <w:bottom w:val="none" w:sz="0" w:space="0" w:color="auto"/>
        <w:right w:val="none" w:sz="0" w:space="0" w:color="auto"/>
      </w:divBdr>
    </w:div>
    <w:div w:id="111824253">
      <w:bodyDiv w:val="1"/>
      <w:marLeft w:val="0"/>
      <w:marRight w:val="0"/>
      <w:marTop w:val="0"/>
      <w:marBottom w:val="0"/>
      <w:divBdr>
        <w:top w:val="none" w:sz="0" w:space="0" w:color="auto"/>
        <w:left w:val="none" w:sz="0" w:space="0" w:color="auto"/>
        <w:bottom w:val="none" w:sz="0" w:space="0" w:color="auto"/>
        <w:right w:val="none" w:sz="0" w:space="0" w:color="auto"/>
      </w:divBdr>
    </w:div>
    <w:div w:id="112138064">
      <w:bodyDiv w:val="1"/>
      <w:marLeft w:val="0"/>
      <w:marRight w:val="0"/>
      <w:marTop w:val="0"/>
      <w:marBottom w:val="0"/>
      <w:divBdr>
        <w:top w:val="none" w:sz="0" w:space="0" w:color="auto"/>
        <w:left w:val="none" w:sz="0" w:space="0" w:color="auto"/>
        <w:bottom w:val="none" w:sz="0" w:space="0" w:color="auto"/>
        <w:right w:val="none" w:sz="0" w:space="0" w:color="auto"/>
      </w:divBdr>
    </w:div>
    <w:div w:id="114761069">
      <w:bodyDiv w:val="1"/>
      <w:marLeft w:val="0"/>
      <w:marRight w:val="0"/>
      <w:marTop w:val="0"/>
      <w:marBottom w:val="0"/>
      <w:divBdr>
        <w:top w:val="none" w:sz="0" w:space="0" w:color="auto"/>
        <w:left w:val="none" w:sz="0" w:space="0" w:color="auto"/>
        <w:bottom w:val="none" w:sz="0" w:space="0" w:color="auto"/>
        <w:right w:val="none" w:sz="0" w:space="0" w:color="auto"/>
      </w:divBdr>
    </w:div>
    <w:div w:id="115417324">
      <w:bodyDiv w:val="1"/>
      <w:marLeft w:val="0"/>
      <w:marRight w:val="0"/>
      <w:marTop w:val="0"/>
      <w:marBottom w:val="0"/>
      <w:divBdr>
        <w:top w:val="none" w:sz="0" w:space="0" w:color="auto"/>
        <w:left w:val="none" w:sz="0" w:space="0" w:color="auto"/>
        <w:bottom w:val="none" w:sz="0" w:space="0" w:color="auto"/>
        <w:right w:val="none" w:sz="0" w:space="0" w:color="auto"/>
      </w:divBdr>
    </w:div>
    <w:div w:id="115568168">
      <w:bodyDiv w:val="1"/>
      <w:marLeft w:val="0"/>
      <w:marRight w:val="0"/>
      <w:marTop w:val="0"/>
      <w:marBottom w:val="0"/>
      <w:divBdr>
        <w:top w:val="none" w:sz="0" w:space="0" w:color="auto"/>
        <w:left w:val="none" w:sz="0" w:space="0" w:color="auto"/>
        <w:bottom w:val="none" w:sz="0" w:space="0" w:color="auto"/>
        <w:right w:val="none" w:sz="0" w:space="0" w:color="auto"/>
      </w:divBdr>
    </w:div>
    <w:div w:id="116873136">
      <w:bodyDiv w:val="1"/>
      <w:marLeft w:val="0"/>
      <w:marRight w:val="0"/>
      <w:marTop w:val="0"/>
      <w:marBottom w:val="0"/>
      <w:divBdr>
        <w:top w:val="none" w:sz="0" w:space="0" w:color="auto"/>
        <w:left w:val="none" w:sz="0" w:space="0" w:color="auto"/>
        <w:bottom w:val="none" w:sz="0" w:space="0" w:color="auto"/>
        <w:right w:val="none" w:sz="0" w:space="0" w:color="auto"/>
      </w:divBdr>
    </w:div>
    <w:div w:id="117795900">
      <w:bodyDiv w:val="1"/>
      <w:marLeft w:val="0"/>
      <w:marRight w:val="0"/>
      <w:marTop w:val="0"/>
      <w:marBottom w:val="0"/>
      <w:divBdr>
        <w:top w:val="none" w:sz="0" w:space="0" w:color="auto"/>
        <w:left w:val="none" w:sz="0" w:space="0" w:color="auto"/>
        <w:bottom w:val="none" w:sz="0" w:space="0" w:color="auto"/>
        <w:right w:val="none" w:sz="0" w:space="0" w:color="auto"/>
      </w:divBdr>
    </w:div>
    <w:div w:id="121778435">
      <w:bodyDiv w:val="1"/>
      <w:marLeft w:val="0"/>
      <w:marRight w:val="0"/>
      <w:marTop w:val="0"/>
      <w:marBottom w:val="0"/>
      <w:divBdr>
        <w:top w:val="none" w:sz="0" w:space="0" w:color="auto"/>
        <w:left w:val="none" w:sz="0" w:space="0" w:color="auto"/>
        <w:bottom w:val="none" w:sz="0" w:space="0" w:color="auto"/>
        <w:right w:val="none" w:sz="0" w:space="0" w:color="auto"/>
      </w:divBdr>
    </w:div>
    <w:div w:id="122626703">
      <w:bodyDiv w:val="1"/>
      <w:marLeft w:val="0"/>
      <w:marRight w:val="0"/>
      <w:marTop w:val="0"/>
      <w:marBottom w:val="0"/>
      <w:divBdr>
        <w:top w:val="none" w:sz="0" w:space="0" w:color="auto"/>
        <w:left w:val="none" w:sz="0" w:space="0" w:color="auto"/>
        <w:bottom w:val="none" w:sz="0" w:space="0" w:color="auto"/>
        <w:right w:val="none" w:sz="0" w:space="0" w:color="auto"/>
      </w:divBdr>
    </w:div>
    <w:div w:id="123619664">
      <w:bodyDiv w:val="1"/>
      <w:marLeft w:val="0"/>
      <w:marRight w:val="0"/>
      <w:marTop w:val="0"/>
      <w:marBottom w:val="0"/>
      <w:divBdr>
        <w:top w:val="none" w:sz="0" w:space="0" w:color="auto"/>
        <w:left w:val="none" w:sz="0" w:space="0" w:color="auto"/>
        <w:bottom w:val="none" w:sz="0" w:space="0" w:color="auto"/>
        <w:right w:val="none" w:sz="0" w:space="0" w:color="auto"/>
      </w:divBdr>
    </w:div>
    <w:div w:id="131947356">
      <w:bodyDiv w:val="1"/>
      <w:marLeft w:val="0"/>
      <w:marRight w:val="0"/>
      <w:marTop w:val="0"/>
      <w:marBottom w:val="0"/>
      <w:divBdr>
        <w:top w:val="none" w:sz="0" w:space="0" w:color="auto"/>
        <w:left w:val="none" w:sz="0" w:space="0" w:color="auto"/>
        <w:bottom w:val="none" w:sz="0" w:space="0" w:color="auto"/>
        <w:right w:val="none" w:sz="0" w:space="0" w:color="auto"/>
      </w:divBdr>
    </w:div>
    <w:div w:id="133646196">
      <w:bodyDiv w:val="1"/>
      <w:marLeft w:val="0"/>
      <w:marRight w:val="0"/>
      <w:marTop w:val="0"/>
      <w:marBottom w:val="0"/>
      <w:divBdr>
        <w:top w:val="none" w:sz="0" w:space="0" w:color="auto"/>
        <w:left w:val="none" w:sz="0" w:space="0" w:color="auto"/>
        <w:bottom w:val="none" w:sz="0" w:space="0" w:color="auto"/>
        <w:right w:val="none" w:sz="0" w:space="0" w:color="auto"/>
      </w:divBdr>
    </w:div>
    <w:div w:id="136411114">
      <w:bodyDiv w:val="1"/>
      <w:marLeft w:val="0"/>
      <w:marRight w:val="0"/>
      <w:marTop w:val="0"/>
      <w:marBottom w:val="0"/>
      <w:divBdr>
        <w:top w:val="none" w:sz="0" w:space="0" w:color="auto"/>
        <w:left w:val="none" w:sz="0" w:space="0" w:color="auto"/>
        <w:bottom w:val="none" w:sz="0" w:space="0" w:color="auto"/>
        <w:right w:val="none" w:sz="0" w:space="0" w:color="auto"/>
      </w:divBdr>
    </w:div>
    <w:div w:id="139427203">
      <w:bodyDiv w:val="1"/>
      <w:marLeft w:val="0"/>
      <w:marRight w:val="0"/>
      <w:marTop w:val="0"/>
      <w:marBottom w:val="0"/>
      <w:divBdr>
        <w:top w:val="none" w:sz="0" w:space="0" w:color="auto"/>
        <w:left w:val="none" w:sz="0" w:space="0" w:color="auto"/>
        <w:bottom w:val="none" w:sz="0" w:space="0" w:color="auto"/>
        <w:right w:val="none" w:sz="0" w:space="0" w:color="auto"/>
      </w:divBdr>
    </w:div>
    <w:div w:id="139925803">
      <w:bodyDiv w:val="1"/>
      <w:marLeft w:val="0"/>
      <w:marRight w:val="0"/>
      <w:marTop w:val="0"/>
      <w:marBottom w:val="0"/>
      <w:divBdr>
        <w:top w:val="none" w:sz="0" w:space="0" w:color="auto"/>
        <w:left w:val="none" w:sz="0" w:space="0" w:color="auto"/>
        <w:bottom w:val="none" w:sz="0" w:space="0" w:color="auto"/>
        <w:right w:val="none" w:sz="0" w:space="0" w:color="auto"/>
      </w:divBdr>
    </w:div>
    <w:div w:id="139928814">
      <w:bodyDiv w:val="1"/>
      <w:marLeft w:val="0"/>
      <w:marRight w:val="0"/>
      <w:marTop w:val="0"/>
      <w:marBottom w:val="0"/>
      <w:divBdr>
        <w:top w:val="none" w:sz="0" w:space="0" w:color="auto"/>
        <w:left w:val="none" w:sz="0" w:space="0" w:color="auto"/>
        <w:bottom w:val="none" w:sz="0" w:space="0" w:color="auto"/>
        <w:right w:val="none" w:sz="0" w:space="0" w:color="auto"/>
      </w:divBdr>
    </w:div>
    <w:div w:id="144666079">
      <w:bodyDiv w:val="1"/>
      <w:marLeft w:val="0"/>
      <w:marRight w:val="0"/>
      <w:marTop w:val="0"/>
      <w:marBottom w:val="0"/>
      <w:divBdr>
        <w:top w:val="none" w:sz="0" w:space="0" w:color="auto"/>
        <w:left w:val="none" w:sz="0" w:space="0" w:color="auto"/>
        <w:bottom w:val="none" w:sz="0" w:space="0" w:color="auto"/>
        <w:right w:val="none" w:sz="0" w:space="0" w:color="auto"/>
      </w:divBdr>
    </w:div>
    <w:div w:id="147064753">
      <w:bodyDiv w:val="1"/>
      <w:marLeft w:val="0"/>
      <w:marRight w:val="0"/>
      <w:marTop w:val="0"/>
      <w:marBottom w:val="0"/>
      <w:divBdr>
        <w:top w:val="none" w:sz="0" w:space="0" w:color="auto"/>
        <w:left w:val="none" w:sz="0" w:space="0" w:color="auto"/>
        <w:bottom w:val="none" w:sz="0" w:space="0" w:color="auto"/>
        <w:right w:val="none" w:sz="0" w:space="0" w:color="auto"/>
      </w:divBdr>
    </w:div>
    <w:div w:id="152332408">
      <w:bodyDiv w:val="1"/>
      <w:marLeft w:val="0"/>
      <w:marRight w:val="0"/>
      <w:marTop w:val="0"/>
      <w:marBottom w:val="0"/>
      <w:divBdr>
        <w:top w:val="none" w:sz="0" w:space="0" w:color="auto"/>
        <w:left w:val="none" w:sz="0" w:space="0" w:color="auto"/>
        <w:bottom w:val="none" w:sz="0" w:space="0" w:color="auto"/>
        <w:right w:val="none" w:sz="0" w:space="0" w:color="auto"/>
      </w:divBdr>
    </w:div>
    <w:div w:id="152382737">
      <w:bodyDiv w:val="1"/>
      <w:marLeft w:val="0"/>
      <w:marRight w:val="0"/>
      <w:marTop w:val="0"/>
      <w:marBottom w:val="0"/>
      <w:divBdr>
        <w:top w:val="none" w:sz="0" w:space="0" w:color="auto"/>
        <w:left w:val="none" w:sz="0" w:space="0" w:color="auto"/>
        <w:bottom w:val="none" w:sz="0" w:space="0" w:color="auto"/>
        <w:right w:val="none" w:sz="0" w:space="0" w:color="auto"/>
      </w:divBdr>
    </w:div>
    <w:div w:id="155608487">
      <w:bodyDiv w:val="1"/>
      <w:marLeft w:val="0"/>
      <w:marRight w:val="0"/>
      <w:marTop w:val="0"/>
      <w:marBottom w:val="0"/>
      <w:divBdr>
        <w:top w:val="none" w:sz="0" w:space="0" w:color="auto"/>
        <w:left w:val="none" w:sz="0" w:space="0" w:color="auto"/>
        <w:bottom w:val="none" w:sz="0" w:space="0" w:color="auto"/>
        <w:right w:val="none" w:sz="0" w:space="0" w:color="auto"/>
      </w:divBdr>
    </w:div>
    <w:div w:id="155650569">
      <w:bodyDiv w:val="1"/>
      <w:marLeft w:val="0"/>
      <w:marRight w:val="0"/>
      <w:marTop w:val="0"/>
      <w:marBottom w:val="0"/>
      <w:divBdr>
        <w:top w:val="none" w:sz="0" w:space="0" w:color="auto"/>
        <w:left w:val="none" w:sz="0" w:space="0" w:color="auto"/>
        <w:bottom w:val="none" w:sz="0" w:space="0" w:color="auto"/>
        <w:right w:val="none" w:sz="0" w:space="0" w:color="auto"/>
      </w:divBdr>
    </w:div>
    <w:div w:id="162280255">
      <w:bodyDiv w:val="1"/>
      <w:marLeft w:val="0"/>
      <w:marRight w:val="0"/>
      <w:marTop w:val="0"/>
      <w:marBottom w:val="0"/>
      <w:divBdr>
        <w:top w:val="none" w:sz="0" w:space="0" w:color="auto"/>
        <w:left w:val="none" w:sz="0" w:space="0" w:color="auto"/>
        <w:bottom w:val="none" w:sz="0" w:space="0" w:color="auto"/>
        <w:right w:val="none" w:sz="0" w:space="0" w:color="auto"/>
      </w:divBdr>
    </w:div>
    <w:div w:id="162664788">
      <w:bodyDiv w:val="1"/>
      <w:marLeft w:val="0"/>
      <w:marRight w:val="0"/>
      <w:marTop w:val="0"/>
      <w:marBottom w:val="0"/>
      <w:divBdr>
        <w:top w:val="none" w:sz="0" w:space="0" w:color="auto"/>
        <w:left w:val="none" w:sz="0" w:space="0" w:color="auto"/>
        <w:bottom w:val="none" w:sz="0" w:space="0" w:color="auto"/>
        <w:right w:val="none" w:sz="0" w:space="0" w:color="auto"/>
      </w:divBdr>
    </w:div>
    <w:div w:id="162935639">
      <w:bodyDiv w:val="1"/>
      <w:marLeft w:val="0"/>
      <w:marRight w:val="0"/>
      <w:marTop w:val="0"/>
      <w:marBottom w:val="0"/>
      <w:divBdr>
        <w:top w:val="none" w:sz="0" w:space="0" w:color="auto"/>
        <w:left w:val="none" w:sz="0" w:space="0" w:color="auto"/>
        <w:bottom w:val="none" w:sz="0" w:space="0" w:color="auto"/>
        <w:right w:val="none" w:sz="0" w:space="0" w:color="auto"/>
      </w:divBdr>
    </w:div>
    <w:div w:id="164446540">
      <w:bodyDiv w:val="1"/>
      <w:marLeft w:val="0"/>
      <w:marRight w:val="0"/>
      <w:marTop w:val="0"/>
      <w:marBottom w:val="0"/>
      <w:divBdr>
        <w:top w:val="none" w:sz="0" w:space="0" w:color="auto"/>
        <w:left w:val="none" w:sz="0" w:space="0" w:color="auto"/>
        <w:bottom w:val="none" w:sz="0" w:space="0" w:color="auto"/>
        <w:right w:val="none" w:sz="0" w:space="0" w:color="auto"/>
      </w:divBdr>
    </w:div>
    <w:div w:id="172648206">
      <w:bodyDiv w:val="1"/>
      <w:marLeft w:val="0"/>
      <w:marRight w:val="0"/>
      <w:marTop w:val="0"/>
      <w:marBottom w:val="0"/>
      <w:divBdr>
        <w:top w:val="none" w:sz="0" w:space="0" w:color="auto"/>
        <w:left w:val="none" w:sz="0" w:space="0" w:color="auto"/>
        <w:bottom w:val="none" w:sz="0" w:space="0" w:color="auto"/>
        <w:right w:val="none" w:sz="0" w:space="0" w:color="auto"/>
      </w:divBdr>
    </w:div>
    <w:div w:id="174930593">
      <w:bodyDiv w:val="1"/>
      <w:marLeft w:val="0"/>
      <w:marRight w:val="0"/>
      <w:marTop w:val="0"/>
      <w:marBottom w:val="0"/>
      <w:divBdr>
        <w:top w:val="none" w:sz="0" w:space="0" w:color="auto"/>
        <w:left w:val="none" w:sz="0" w:space="0" w:color="auto"/>
        <w:bottom w:val="none" w:sz="0" w:space="0" w:color="auto"/>
        <w:right w:val="none" w:sz="0" w:space="0" w:color="auto"/>
      </w:divBdr>
    </w:div>
    <w:div w:id="176236748">
      <w:bodyDiv w:val="1"/>
      <w:marLeft w:val="0"/>
      <w:marRight w:val="0"/>
      <w:marTop w:val="0"/>
      <w:marBottom w:val="0"/>
      <w:divBdr>
        <w:top w:val="none" w:sz="0" w:space="0" w:color="auto"/>
        <w:left w:val="none" w:sz="0" w:space="0" w:color="auto"/>
        <w:bottom w:val="none" w:sz="0" w:space="0" w:color="auto"/>
        <w:right w:val="none" w:sz="0" w:space="0" w:color="auto"/>
      </w:divBdr>
    </w:div>
    <w:div w:id="180093272">
      <w:bodyDiv w:val="1"/>
      <w:marLeft w:val="0"/>
      <w:marRight w:val="0"/>
      <w:marTop w:val="0"/>
      <w:marBottom w:val="0"/>
      <w:divBdr>
        <w:top w:val="none" w:sz="0" w:space="0" w:color="auto"/>
        <w:left w:val="none" w:sz="0" w:space="0" w:color="auto"/>
        <w:bottom w:val="none" w:sz="0" w:space="0" w:color="auto"/>
        <w:right w:val="none" w:sz="0" w:space="0" w:color="auto"/>
      </w:divBdr>
    </w:div>
    <w:div w:id="182982441">
      <w:bodyDiv w:val="1"/>
      <w:marLeft w:val="0"/>
      <w:marRight w:val="0"/>
      <w:marTop w:val="0"/>
      <w:marBottom w:val="0"/>
      <w:divBdr>
        <w:top w:val="none" w:sz="0" w:space="0" w:color="auto"/>
        <w:left w:val="none" w:sz="0" w:space="0" w:color="auto"/>
        <w:bottom w:val="none" w:sz="0" w:space="0" w:color="auto"/>
        <w:right w:val="none" w:sz="0" w:space="0" w:color="auto"/>
      </w:divBdr>
    </w:div>
    <w:div w:id="183249498">
      <w:bodyDiv w:val="1"/>
      <w:marLeft w:val="0"/>
      <w:marRight w:val="0"/>
      <w:marTop w:val="0"/>
      <w:marBottom w:val="0"/>
      <w:divBdr>
        <w:top w:val="none" w:sz="0" w:space="0" w:color="auto"/>
        <w:left w:val="none" w:sz="0" w:space="0" w:color="auto"/>
        <w:bottom w:val="none" w:sz="0" w:space="0" w:color="auto"/>
        <w:right w:val="none" w:sz="0" w:space="0" w:color="auto"/>
      </w:divBdr>
    </w:div>
    <w:div w:id="186141561">
      <w:bodyDiv w:val="1"/>
      <w:marLeft w:val="0"/>
      <w:marRight w:val="0"/>
      <w:marTop w:val="0"/>
      <w:marBottom w:val="0"/>
      <w:divBdr>
        <w:top w:val="none" w:sz="0" w:space="0" w:color="auto"/>
        <w:left w:val="none" w:sz="0" w:space="0" w:color="auto"/>
        <w:bottom w:val="none" w:sz="0" w:space="0" w:color="auto"/>
        <w:right w:val="none" w:sz="0" w:space="0" w:color="auto"/>
      </w:divBdr>
    </w:div>
    <w:div w:id="189345598">
      <w:bodyDiv w:val="1"/>
      <w:marLeft w:val="0"/>
      <w:marRight w:val="0"/>
      <w:marTop w:val="0"/>
      <w:marBottom w:val="0"/>
      <w:divBdr>
        <w:top w:val="none" w:sz="0" w:space="0" w:color="auto"/>
        <w:left w:val="none" w:sz="0" w:space="0" w:color="auto"/>
        <w:bottom w:val="none" w:sz="0" w:space="0" w:color="auto"/>
        <w:right w:val="none" w:sz="0" w:space="0" w:color="auto"/>
      </w:divBdr>
    </w:div>
    <w:div w:id="190841228">
      <w:bodyDiv w:val="1"/>
      <w:marLeft w:val="0"/>
      <w:marRight w:val="0"/>
      <w:marTop w:val="0"/>
      <w:marBottom w:val="0"/>
      <w:divBdr>
        <w:top w:val="none" w:sz="0" w:space="0" w:color="auto"/>
        <w:left w:val="none" w:sz="0" w:space="0" w:color="auto"/>
        <w:bottom w:val="none" w:sz="0" w:space="0" w:color="auto"/>
        <w:right w:val="none" w:sz="0" w:space="0" w:color="auto"/>
      </w:divBdr>
    </w:div>
    <w:div w:id="194200060">
      <w:bodyDiv w:val="1"/>
      <w:marLeft w:val="0"/>
      <w:marRight w:val="0"/>
      <w:marTop w:val="0"/>
      <w:marBottom w:val="0"/>
      <w:divBdr>
        <w:top w:val="none" w:sz="0" w:space="0" w:color="auto"/>
        <w:left w:val="none" w:sz="0" w:space="0" w:color="auto"/>
        <w:bottom w:val="none" w:sz="0" w:space="0" w:color="auto"/>
        <w:right w:val="none" w:sz="0" w:space="0" w:color="auto"/>
      </w:divBdr>
    </w:div>
    <w:div w:id="194586865">
      <w:bodyDiv w:val="1"/>
      <w:marLeft w:val="0"/>
      <w:marRight w:val="0"/>
      <w:marTop w:val="0"/>
      <w:marBottom w:val="0"/>
      <w:divBdr>
        <w:top w:val="none" w:sz="0" w:space="0" w:color="auto"/>
        <w:left w:val="none" w:sz="0" w:space="0" w:color="auto"/>
        <w:bottom w:val="none" w:sz="0" w:space="0" w:color="auto"/>
        <w:right w:val="none" w:sz="0" w:space="0" w:color="auto"/>
      </w:divBdr>
    </w:div>
    <w:div w:id="196091378">
      <w:bodyDiv w:val="1"/>
      <w:marLeft w:val="0"/>
      <w:marRight w:val="0"/>
      <w:marTop w:val="0"/>
      <w:marBottom w:val="0"/>
      <w:divBdr>
        <w:top w:val="none" w:sz="0" w:space="0" w:color="auto"/>
        <w:left w:val="none" w:sz="0" w:space="0" w:color="auto"/>
        <w:bottom w:val="none" w:sz="0" w:space="0" w:color="auto"/>
        <w:right w:val="none" w:sz="0" w:space="0" w:color="auto"/>
      </w:divBdr>
    </w:div>
    <w:div w:id="198398782">
      <w:bodyDiv w:val="1"/>
      <w:marLeft w:val="0"/>
      <w:marRight w:val="0"/>
      <w:marTop w:val="0"/>
      <w:marBottom w:val="0"/>
      <w:divBdr>
        <w:top w:val="none" w:sz="0" w:space="0" w:color="auto"/>
        <w:left w:val="none" w:sz="0" w:space="0" w:color="auto"/>
        <w:bottom w:val="none" w:sz="0" w:space="0" w:color="auto"/>
        <w:right w:val="none" w:sz="0" w:space="0" w:color="auto"/>
      </w:divBdr>
    </w:div>
    <w:div w:id="201328000">
      <w:bodyDiv w:val="1"/>
      <w:marLeft w:val="0"/>
      <w:marRight w:val="0"/>
      <w:marTop w:val="0"/>
      <w:marBottom w:val="0"/>
      <w:divBdr>
        <w:top w:val="none" w:sz="0" w:space="0" w:color="auto"/>
        <w:left w:val="none" w:sz="0" w:space="0" w:color="auto"/>
        <w:bottom w:val="none" w:sz="0" w:space="0" w:color="auto"/>
        <w:right w:val="none" w:sz="0" w:space="0" w:color="auto"/>
      </w:divBdr>
    </w:div>
    <w:div w:id="204484248">
      <w:bodyDiv w:val="1"/>
      <w:marLeft w:val="0"/>
      <w:marRight w:val="0"/>
      <w:marTop w:val="0"/>
      <w:marBottom w:val="0"/>
      <w:divBdr>
        <w:top w:val="none" w:sz="0" w:space="0" w:color="auto"/>
        <w:left w:val="none" w:sz="0" w:space="0" w:color="auto"/>
        <w:bottom w:val="none" w:sz="0" w:space="0" w:color="auto"/>
        <w:right w:val="none" w:sz="0" w:space="0" w:color="auto"/>
      </w:divBdr>
    </w:div>
    <w:div w:id="206644925">
      <w:bodyDiv w:val="1"/>
      <w:marLeft w:val="0"/>
      <w:marRight w:val="0"/>
      <w:marTop w:val="0"/>
      <w:marBottom w:val="0"/>
      <w:divBdr>
        <w:top w:val="none" w:sz="0" w:space="0" w:color="auto"/>
        <w:left w:val="none" w:sz="0" w:space="0" w:color="auto"/>
        <w:bottom w:val="none" w:sz="0" w:space="0" w:color="auto"/>
        <w:right w:val="none" w:sz="0" w:space="0" w:color="auto"/>
      </w:divBdr>
    </w:div>
    <w:div w:id="210315055">
      <w:bodyDiv w:val="1"/>
      <w:marLeft w:val="0"/>
      <w:marRight w:val="0"/>
      <w:marTop w:val="0"/>
      <w:marBottom w:val="0"/>
      <w:divBdr>
        <w:top w:val="none" w:sz="0" w:space="0" w:color="auto"/>
        <w:left w:val="none" w:sz="0" w:space="0" w:color="auto"/>
        <w:bottom w:val="none" w:sz="0" w:space="0" w:color="auto"/>
        <w:right w:val="none" w:sz="0" w:space="0" w:color="auto"/>
      </w:divBdr>
    </w:div>
    <w:div w:id="211306109">
      <w:bodyDiv w:val="1"/>
      <w:marLeft w:val="0"/>
      <w:marRight w:val="0"/>
      <w:marTop w:val="0"/>
      <w:marBottom w:val="0"/>
      <w:divBdr>
        <w:top w:val="none" w:sz="0" w:space="0" w:color="auto"/>
        <w:left w:val="none" w:sz="0" w:space="0" w:color="auto"/>
        <w:bottom w:val="none" w:sz="0" w:space="0" w:color="auto"/>
        <w:right w:val="none" w:sz="0" w:space="0" w:color="auto"/>
      </w:divBdr>
    </w:div>
    <w:div w:id="218169912">
      <w:bodyDiv w:val="1"/>
      <w:marLeft w:val="0"/>
      <w:marRight w:val="0"/>
      <w:marTop w:val="0"/>
      <w:marBottom w:val="0"/>
      <w:divBdr>
        <w:top w:val="none" w:sz="0" w:space="0" w:color="auto"/>
        <w:left w:val="none" w:sz="0" w:space="0" w:color="auto"/>
        <w:bottom w:val="none" w:sz="0" w:space="0" w:color="auto"/>
        <w:right w:val="none" w:sz="0" w:space="0" w:color="auto"/>
      </w:divBdr>
    </w:div>
    <w:div w:id="218327935">
      <w:bodyDiv w:val="1"/>
      <w:marLeft w:val="0"/>
      <w:marRight w:val="0"/>
      <w:marTop w:val="0"/>
      <w:marBottom w:val="0"/>
      <w:divBdr>
        <w:top w:val="none" w:sz="0" w:space="0" w:color="auto"/>
        <w:left w:val="none" w:sz="0" w:space="0" w:color="auto"/>
        <w:bottom w:val="none" w:sz="0" w:space="0" w:color="auto"/>
        <w:right w:val="none" w:sz="0" w:space="0" w:color="auto"/>
      </w:divBdr>
    </w:div>
    <w:div w:id="226964438">
      <w:bodyDiv w:val="1"/>
      <w:marLeft w:val="0"/>
      <w:marRight w:val="0"/>
      <w:marTop w:val="0"/>
      <w:marBottom w:val="0"/>
      <w:divBdr>
        <w:top w:val="none" w:sz="0" w:space="0" w:color="auto"/>
        <w:left w:val="none" w:sz="0" w:space="0" w:color="auto"/>
        <w:bottom w:val="none" w:sz="0" w:space="0" w:color="auto"/>
        <w:right w:val="none" w:sz="0" w:space="0" w:color="auto"/>
      </w:divBdr>
    </w:div>
    <w:div w:id="229006217">
      <w:bodyDiv w:val="1"/>
      <w:marLeft w:val="0"/>
      <w:marRight w:val="0"/>
      <w:marTop w:val="0"/>
      <w:marBottom w:val="0"/>
      <w:divBdr>
        <w:top w:val="none" w:sz="0" w:space="0" w:color="auto"/>
        <w:left w:val="none" w:sz="0" w:space="0" w:color="auto"/>
        <w:bottom w:val="none" w:sz="0" w:space="0" w:color="auto"/>
        <w:right w:val="none" w:sz="0" w:space="0" w:color="auto"/>
      </w:divBdr>
    </w:div>
    <w:div w:id="229311891">
      <w:bodyDiv w:val="1"/>
      <w:marLeft w:val="0"/>
      <w:marRight w:val="0"/>
      <w:marTop w:val="0"/>
      <w:marBottom w:val="0"/>
      <w:divBdr>
        <w:top w:val="none" w:sz="0" w:space="0" w:color="auto"/>
        <w:left w:val="none" w:sz="0" w:space="0" w:color="auto"/>
        <w:bottom w:val="none" w:sz="0" w:space="0" w:color="auto"/>
        <w:right w:val="none" w:sz="0" w:space="0" w:color="auto"/>
      </w:divBdr>
    </w:div>
    <w:div w:id="229510622">
      <w:bodyDiv w:val="1"/>
      <w:marLeft w:val="0"/>
      <w:marRight w:val="0"/>
      <w:marTop w:val="0"/>
      <w:marBottom w:val="0"/>
      <w:divBdr>
        <w:top w:val="none" w:sz="0" w:space="0" w:color="auto"/>
        <w:left w:val="none" w:sz="0" w:space="0" w:color="auto"/>
        <w:bottom w:val="none" w:sz="0" w:space="0" w:color="auto"/>
        <w:right w:val="none" w:sz="0" w:space="0" w:color="auto"/>
      </w:divBdr>
    </w:div>
    <w:div w:id="233785733">
      <w:bodyDiv w:val="1"/>
      <w:marLeft w:val="0"/>
      <w:marRight w:val="0"/>
      <w:marTop w:val="0"/>
      <w:marBottom w:val="0"/>
      <w:divBdr>
        <w:top w:val="none" w:sz="0" w:space="0" w:color="auto"/>
        <w:left w:val="none" w:sz="0" w:space="0" w:color="auto"/>
        <w:bottom w:val="none" w:sz="0" w:space="0" w:color="auto"/>
        <w:right w:val="none" w:sz="0" w:space="0" w:color="auto"/>
      </w:divBdr>
    </w:div>
    <w:div w:id="235287181">
      <w:bodyDiv w:val="1"/>
      <w:marLeft w:val="0"/>
      <w:marRight w:val="0"/>
      <w:marTop w:val="0"/>
      <w:marBottom w:val="0"/>
      <w:divBdr>
        <w:top w:val="none" w:sz="0" w:space="0" w:color="auto"/>
        <w:left w:val="none" w:sz="0" w:space="0" w:color="auto"/>
        <w:bottom w:val="none" w:sz="0" w:space="0" w:color="auto"/>
        <w:right w:val="none" w:sz="0" w:space="0" w:color="auto"/>
      </w:divBdr>
    </w:div>
    <w:div w:id="235749938">
      <w:bodyDiv w:val="1"/>
      <w:marLeft w:val="0"/>
      <w:marRight w:val="0"/>
      <w:marTop w:val="0"/>
      <w:marBottom w:val="0"/>
      <w:divBdr>
        <w:top w:val="none" w:sz="0" w:space="0" w:color="auto"/>
        <w:left w:val="none" w:sz="0" w:space="0" w:color="auto"/>
        <w:bottom w:val="none" w:sz="0" w:space="0" w:color="auto"/>
        <w:right w:val="none" w:sz="0" w:space="0" w:color="auto"/>
      </w:divBdr>
    </w:div>
    <w:div w:id="237715935">
      <w:bodyDiv w:val="1"/>
      <w:marLeft w:val="0"/>
      <w:marRight w:val="0"/>
      <w:marTop w:val="0"/>
      <w:marBottom w:val="0"/>
      <w:divBdr>
        <w:top w:val="none" w:sz="0" w:space="0" w:color="auto"/>
        <w:left w:val="none" w:sz="0" w:space="0" w:color="auto"/>
        <w:bottom w:val="none" w:sz="0" w:space="0" w:color="auto"/>
        <w:right w:val="none" w:sz="0" w:space="0" w:color="auto"/>
      </w:divBdr>
    </w:div>
    <w:div w:id="238179829">
      <w:bodyDiv w:val="1"/>
      <w:marLeft w:val="0"/>
      <w:marRight w:val="0"/>
      <w:marTop w:val="0"/>
      <w:marBottom w:val="0"/>
      <w:divBdr>
        <w:top w:val="none" w:sz="0" w:space="0" w:color="auto"/>
        <w:left w:val="none" w:sz="0" w:space="0" w:color="auto"/>
        <w:bottom w:val="none" w:sz="0" w:space="0" w:color="auto"/>
        <w:right w:val="none" w:sz="0" w:space="0" w:color="auto"/>
      </w:divBdr>
    </w:div>
    <w:div w:id="238835381">
      <w:bodyDiv w:val="1"/>
      <w:marLeft w:val="0"/>
      <w:marRight w:val="0"/>
      <w:marTop w:val="0"/>
      <w:marBottom w:val="0"/>
      <w:divBdr>
        <w:top w:val="none" w:sz="0" w:space="0" w:color="auto"/>
        <w:left w:val="none" w:sz="0" w:space="0" w:color="auto"/>
        <w:bottom w:val="none" w:sz="0" w:space="0" w:color="auto"/>
        <w:right w:val="none" w:sz="0" w:space="0" w:color="auto"/>
      </w:divBdr>
    </w:div>
    <w:div w:id="240023875">
      <w:bodyDiv w:val="1"/>
      <w:marLeft w:val="0"/>
      <w:marRight w:val="0"/>
      <w:marTop w:val="0"/>
      <w:marBottom w:val="0"/>
      <w:divBdr>
        <w:top w:val="none" w:sz="0" w:space="0" w:color="auto"/>
        <w:left w:val="none" w:sz="0" w:space="0" w:color="auto"/>
        <w:bottom w:val="none" w:sz="0" w:space="0" w:color="auto"/>
        <w:right w:val="none" w:sz="0" w:space="0" w:color="auto"/>
      </w:divBdr>
    </w:div>
    <w:div w:id="242225680">
      <w:bodyDiv w:val="1"/>
      <w:marLeft w:val="0"/>
      <w:marRight w:val="0"/>
      <w:marTop w:val="0"/>
      <w:marBottom w:val="0"/>
      <w:divBdr>
        <w:top w:val="none" w:sz="0" w:space="0" w:color="auto"/>
        <w:left w:val="none" w:sz="0" w:space="0" w:color="auto"/>
        <w:bottom w:val="none" w:sz="0" w:space="0" w:color="auto"/>
        <w:right w:val="none" w:sz="0" w:space="0" w:color="auto"/>
      </w:divBdr>
    </w:div>
    <w:div w:id="243145601">
      <w:bodyDiv w:val="1"/>
      <w:marLeft w:val="0"/>
      <w:marRight w:val="0"/>
      <w:marTop w:val="0"/>
      <w:marBottom w:val="0"/>
      <w:divBdr>
        <w:top w:val="none" w:sz="0" w:space="0" w:color="auto"/>
        <w:left w:val="none" w:sz="0" w:space="0" w:color="auto"/>
        <w:bottom w:val="none" w:sz="0" w:space="0" w:color="auto"/>
        <w:right w:val="none" w:sz="0" w:space="0" w:color="auto"/>
      </w:divBdr>
    </w:div>
    <w:div w:id="243497606">
      <w:bodyDiv w:val="1"/>
      <w:marLeft w:val="0"/>
      <w:marRight w:val="0"/>
      <w:marTop w:val="0"/>
      <w:marBottom w:val="0"/>
      <w:divBdr>
        <w:top w:val="none" w:sz="0" w:space="0" w:color="auto"/>
        <w:left w:val="none" w:sz="0" w:space="0" w:color="auto"/>
        <w:bottom w:val="none" w:sz="0" w:space="0" w:color="auto"/>
        <w:right w:val="none" w:sz="0" w:space="0" w:color="auto"/>
      </w:divBdr>
    </w:div>
    <w:div w:id="249242508">
      <w:bodyDiv w:val="1"/>
      <w:marLeft w:val="0"/>
      <w:marRight w:val="0"/>
      <w:marTop w:val="0"/>
      <w:marBottom w:val="0"/>
      <w:divBdr>
        <w:top w:val="none" w:sz="0" w:space="0" w:color="auto"/>
        <w:left w:val="none" w:sz="0" w:space="0" w:color="auto"/>
        <w:bottom w:val="none" w:sz="0" w:space="0" w:color="auto"/>
        <w:right w:val="none" w:sz="0" w:space="0" w:color="auto"/>
      </w:divBdr>
    </w:div>
    <w:div w:id="250090817">
      <w:bodyDiv w:val="1"/>
      <w:marLeft w:val="0"/>
      <w:marRight w:val="0"/>
      <w:marTop w:val="0"/>
      <w:marBottom w:val="0"/>
      <w:divBdr>
        <w:top w:val="none" w:sz="0" w:space="0" w:color="auto"/>
        <w:left w:val="none" w:sz="0" w:space="0" w:color="auto"/>
        <w:bottom w:val="none" w:sz="0" w:space="0" w:color="auto"/>
        <w:right w:val="none" w:sz="0" w:space="0" w:color="auto"/>
      </w:divBdr>
    </w:div>
    <w:div w:id="250629186">
      <w:bodyDiv w:val="1"/>
      <w:marLeft w:val="0"/>
      <w:marRight w:val="0"/>
      <w:marTop w:val="0"/>
      <w:marBottom w:val="0"/>
      <w:divBdr>
        <w:top w:val="none" w:sz="0" w:space="0" w:color="auto"/>
        <w:left w:val="none" w:sz="0" w:space="0" w:color="auto"/>
        <w:bottom w:val="none" w:sz="0" w:space="0" w:color="auto"/>
        <w:right w:val="none" w:sz="0" w:space="0" w:color="auto"/>
      </w:divBdr>
    </w:div>
    <w:div w:id="251939349">
      <w:bodyDiv w:val="1"/>
      <w:marLeft w:val="0"/>
      <w:marRight w:val="0"/>
      <w:marTop w:val="0"/>
      <w:marBottom w:val="0"/>
      <w:divBdr>
        <w:top w:val="none" w:sz="0" w:space="0" w:color="auto"/>
        <w:left w:val="none" w:sz="0" w:space="0" w:color="auto"/>
        <w:bottom w:val="none" w:sz="0" w:space="0" w:color="auto"/>
        <w:right w:val="none" w:sz="0" w:space="0" w:color="auto"/>
      </w:divBdr>
    </w:div>
    <w:div w:id="252131524">
      <w:bodyDiv w:val="1"/>
      <w:marLeft w:val="0"/>
      <w:marRight w:val="0"/>
      <w:marTop w:val="0"/>
      <w:marBottom w:val="0"/>
      <w:divBdr>
        <w:top w:val="none" w:sz="0" w:space="0" w:color="auto"/>
        <w:left w:val="none" w:sz="0" w:space="0" w:color="auto"/>
        <w:bottom w:val="none" w:sz="0" w:space="0" w:color="auto"/>
        <w:right w:val="none" w:sz="0" w:space="0" w:color="auto"/>
      </w:divBdr>
    </w:div>
    <w:div w:id="253822744">
      <w:bodyDiv w:val="1"/>
      <w:marLeft w:val="0"/>
      <w:marRight w:val="0"/>
      <w:marTop w:val="0"/>
      <w:marBottom w:val="0"/>
      <w:divBdr>
        <w:top w:val="none" w:sz="0" w:space="0" w:color="auto"/>
        <w:left w:val="none" w:sz="0" w:space="0" w:color="auto"/>
        <w:bottom w:val="none" w:sz="0" w:space="0" w:color="auto"/>
        <w:right w:val="none" w:sz="0" w:space="0" w:color="auto"/>
      </w:divBdr>
    </w:div>
    <w:div w:id="254291531">
      <w:bodyDiv w:val="1"/>
      <w:marLeft w:val="0"/>
      <w:marRight w:val="0"/>
      <w:marTop w:val="0"/>
      <w:marBottom w:val="0"/>
      <w:divBdr>
        <w:top w:val="none" w:sz="0" w:space="0" w:color="auto"/>
        <w:left w:val="none" w:sz="0" w:space="0" w:color="auto"/>
        <w:bottom w:val="none" w:sz="0" w:space="0" w:color="auto"/>
        <w:right w:val="none" w:sz="0" w:space="0" w:color="auto"/>
      </w:divBdr>
    </w:div>
    <w:div w:id="254629232">
      <w:bodyDiv w:val="1"/>
      <w:marLeft w:val="0"/>
      <w:marRight w:val="0"/>
      <w:marTop w:val="0"/>
      <w:marBottom w:val="0"/>
      <w:divBdr>
        <w:top w:val="none" w:sz="0" w:space="0" w:color="auto"/>
        <w:left w:val="none" w:sz="0" w:space="0" w:color="auto"/>
        <w:bottom w:val="none" w:sz="0" w:space="0" w:color="auto"/>
        <w:right w:val="none" w:sz="0" w:space="0" w:color="auto"/>
      </w:divBdr>
    </w:div>
    <w:div w:id="258683424">
      <w:bodyDiv w:val="1"/>
      <w:marLeft w:val="0"/>
      <w:marRight w:val="0"/>
      <w:marTop w:val="0"/>
      <w:marBottom w:val="0"/>
      <w:divBdr>
        <w:top w:val="none" w:sz="0" w:space="0" w:color="auto"/>
        <w:left w:val="none" w:sz="0" w:space="0" w:color="auto"/>
        <w:bottom w:val="none" w:sz="0" w:space="0" w:color="auto"/>
        <w:right w:val="none" w:sz="0" w:space="0" w:color="auto"/>
      </w:divBdr>
    </w:div>
    <w:div w:id="263269143">
      <w:bodyDiv w:val="1"/>
      <w:marLeft w:val="0"/>
      <w:marRight w:val="0"/>
      <w:marTop w:val="0"/>
      <w:marBottom w:val="0"/>
      <w:divBdr>
        <w:top w:val="none" w:sz="0" w:space="0" w:color="auto"/>
        <w:left w:val="none" w:sz="0" w:space="0" w:color="auto"/>
        <w:bottom w:val="none" w:sz="0" w:space="0" w:color="auto"/>
        <w:right w:val="none" w:sz="0" w:space="0" w:color="auto"/>
      </w:divBdr>
    </w:div>
    <w:div w:id="271061950">
      <w:bodyDiv w:val="1"/>
      <w:marLeft w:val="0"/>
      <w:marRight w:val="0"/>
      <w:marTop w:val="0"/>
      <w:marBottom w:val="0"/>
      <w:divBdr>
        <w:top w:val="none" w:sz="0" w:space="0" w:color="auto"/>
        <w:left w:val="none" w:sz="0" w:space="0" w:color="auto"/>
        <w:bottom w:val="none" w:sz="0" w:space="0" w:color="auto"/>
        <w:right w:val="none" w:sz="0" w:space="0" w:color="auto"/>
      </w:divBdr>
    </w:div>
    <w:div w:id="272325742">
      <w:bodyDiv w:val="1"/>
      <w:marLeft w:val="0"/>
      <w:marRight w:val="0"/>
      <w:marTop w:val="0"/>
      <w:marBottom w:val="0"/>
      <w:divBdr>
        <w:top w:val="none" w:sz="0" w:space="0" w:color="auto"/>
        <w:left w:val="none" w:sz="0" w:space="0" w:color="auto"/>
        <w:bottom w:val="none" w:sz="0" w:space="0" w:color="auto"/>
        <w:right w:val="none" w:sz="0" w:space="0" w:color="auto"/>
      </w:divBdr>
    </w:div>
    <w:div w:id="273219841">
      <w:bodyDiv w:val="1"/>
      <w:marLeft w:val="0"/>
      <w:marRight w:val="0"/>
      <w:marTop w:val="0"/>
      <w:marBottom w:val="0"/>
      <w:divBdr>
        <w:top w:val="none" w:sz="0" w:space="0" w:color="auto"/>
        <w:left w:val="none" w:sz="0" w:space="0" w:color="auto"/>
        <w:bottom w:val="none" w:sz="0" w:space="0" w:color="auto"/>
        <w:right w:val="none" w:sz="0" w:space="0" w:color="auto"/>
      </w:divBdr>
    </w:div>
    <w:div w:id="275141531">
      <w:bodyDiv w:val="1"/>
      <w:marLeft w:val="0"/>
      <w:marRight w:val="0"/>
      <w:marTop w:val="0"/>
      <w:marBottom w:val="0"/>
      <w:divBdr>
        <w:top w:val="none" w:sz="0" w:space="0" w:color="auto"/>
        <w:left w:val="none" w:sz="0" w:space="0" w:color="auto"/>
        <w:bottom w:val="none" w:sz="0" w:space="0" w:color="auto"/>
        <w:right w:val="none" w:sz="0" w:space="0" w:color="auto"/>
      </w:divBdr>
    </w:div>
    <w:div w:id="276059653">
      <w:bodyDiv w:val="1"/>
      <w:marLeft w:val="0"/>
      <w:marRight w:val="0"/>
      <w:marTop w:val="0"/>
      <w:marBottom w:val="0"/>
      <w:divBdr>
        <w:top w:val="none" w:sz="0" w:space="0" w:color="auto"/>
        <w:left w:val="none" w:sz="0" w:space="0" w:color="auto"/>
        <w:bottom w:val="none" w:sz="0" w:space="0" w:color="auto"/>
        <w:right w:val="none" w:sz="0" w:space="0" w:color="auto"/>
      </w:divBdr>
    </w:div>
    <w:div w:id="276066647">
      <w:bodyDiv w:val="1"/>
      <w:marLeft w:val="0"/>
      <w:marRight w:val="0"/>
      <w:marTop w:val="0"/>
      <w:marBottom w:val="0"/>
      <w:divBdr>
        <w:top w:val="none" w:sz="0" w:space="0" w:color="auto"/>
        <w:left w:val="none" w:sz="0" w:space="0" w:color="auto"/>
        <w:bottom w:val="none" w:sz="0" w:space="0" w:color="auto"/>
        <w:right w:val="none" w:sz="0" w:space="0" w:color="auto"/>
      </w:divBdr>
    </w:div>
    <w:div w:id="276180098">
      <w:bodyDiv w:val="1"/>
      <w:marLeft w:val="0"/>
      <w:marRight w:val="0"/>
      <w:marTop w:val="0"/>
      <w:marBottom w:val="0"/>
      <w:divBdr>
        <w:top w:val="none" w:sz="0" w:space="0" w:color="auto"/>
        <w:left w:val="none" w:sz="0" w:space="0" w:color="auto"/>
        <w:bottom w:val="none" w:sz="0" w:space="0" w:color="auto"/>
        <w:right w:val="none" w:sz="0" w:space="0" w:color="auto"/>
      </w:divBdr>
    </w:div>
    <w:div w:id="279580305">
      <w:bodyDiv w:val="1"/>
      <w:marLeft w:val="0"/>
      <w:marRight w:val="0"/>
      <w:marTop w:val="0"/>
      <w:marBottom w:val="0"/>
      <w:divBdr>
        <w:top w:val="none" w:sz="0" w:space="0" w:color="auto"/>
        <w:left w:val="none" w:sz="0" w:space="0" w:color="auto"/>
        <w:bottom w:val="none" w:sz="0" w:space="0" w:color="auto"/>
        <w:right w:val="none" w:sz="0" w:space="0" w:color="auto"/>
      </w:divBdr>
    </w:div>
    <w:div w:id="282198701">
      <w:bodyDiv w:val="1"/>
      <w:marLeft w:val="0"/>
      <w:marRight w:val="0"/>
      <w:marTop w:val="0"/>
      <w:marBottom w:val="0"/>
      <w:divBdr>
        <w:top w:val="none" w:sz="0" w:space="0" w:color="auto"/>
        <w:left w:val="none" w:sz="0" w:space="0" w:color="auto"/>
        <w:bottom w:val="none" w:sz="0" w:space="0" w:color="auto"/>
        <w:right w:val="none" w:sz="0" w:space="0" w:color="auto"/>
      </w:divBdr>
    </w:div>
    <w:div w:id="283315610">
      <w:bodyDiv w:val="1"/>
      <w:marLeft w:val="0"/>
      <w:marRight w:val="0"/>
      <w:marTop w:val="0"/>
      <w:marBottom w:val="0"/>
      <w:divBdr>
        <w:top w:val="none" w:sz="0" w:space="0" w:color="auto"/>
        <w:left w:val="none" w:sz="0" w:space="0" w:color="auto"/>
        <w:bottom w:val="none" w:sz="0" w:space="0" w:color="auto"/>
        <w:right w:val="none" w:sz="0" w:space="0" w:color="auto"/>
      </w:divBdr>
    </w:div>
    <w:div w:id="286275020">
      <w:bodyDiv w:val="1"/>
      <w:marLeft w:val="0"/>
      <w:marRight w:val="0"/>
      <w:marTop w:val="0"/>
      <w:marBottom w:val="0"/>
      <w:divBdr>
        <w:top w:val="none" w:sz="0" w:space="0" w:color="auto"/>
        <w:left w:val="none" w:sz="0" w:space="0" w:color="auto"/>
        <w:bottom w:val="none" w:sz="0" w:space="0" w:color="auto"/>
        <w:right w:val="none" w:sz="0" w:space="0" w:color="auto"/>
      </w:divBdr>
    </w:div>
    <w:div w:id="290325355">
      <w:bodyDiv w:val="1"/>
      <w:marLeft w:val="0"/>
      <w:marRight w:val="0"/>
      <w:marTop w:val="0"/>
      <w:marBottom w:val="0"/>
      <w:divBdr>
        <w:top w:val="none" w:sz="0" w:space="0" w:color="auto"/>
        <w:left w:val="none" w:sz="0" w:space="0" w:color="auto"/>
        <w:bottom w:val="none" w:sz="0" w:space="0" w:color="auto"/>
        <w:right w:val="none" w:sz="0" w:space="0" w:color="auto"/>
      </w:divBdr>
    </w:div>
    <w:div w:id="292292662">
      <w:bodyDiv w:val="1"/>
      <w:marLeft w:val="0"/>
      <w:marRight w:val="0"/>
      <w:marTop w:val="0"/>
      <w:marBottom w:val="0"/>
      <w:divBdr>
        <w:top w:val="none" w:sz="0" w:space="0" w:color="auto"/>
        <w:left w:val="none" w:sz="0" w:space="0" w:color="auto"/>
        <w:bottom w:val="none" w:sz="0" w:space="0" w:color="auto"/>
        <w:right w:val="none" w:sz="0" w:space="0" w:color="auto"/>
      </w:divBdr>
    </w:div>
    <w:div w:id="292715389">
      <w:bodyDiv w:val="1"/>
      <w:marLeft w:val="0"/>
      <w:marRight w:val="0"/>
      <w:marTop w:val="0"/>
      <w:marBottom w:val="0"/>
      <w:divBdr>
        <w:top w:val="none" w:sz="0" w:space="0" w:color="auto"/>
        <w:left w:val="none" w:sz="0" w:space="0" w:color="auto"/>
        <w:bottom w:val="none" w:sz="0" w:space="0" w:color="auto"/>
        <w:right w:val="none" w:sz="0" w:space="0" w:color="auto"/>
      </w:divBdr>
    </w:div>
    <w:div w:id="299111771">
      <w:bodyDiv w:val="1"/>
      <w:marLeft w:val="0"/>
      <w:marRight w:val="0"/>
      <w:marTop w:val="0"/>
      <w:marBottom w:val="0"/>
      <w:divBdr>
        <w:top w:val="none" w:sz="0" w:space="0" w:color="auto"/>
        <w:left w:val="none" w:sz="0" w:space="0" w:color="auto"/>
        <w:bottom w:val="none" w:sz="0" w:space="0" w:color="auto"/>
        <w:right w:val="none" w:sz="0" w:space="0" w:color="auto"/>
      </w:divBdr>
    </w:div>
    <w:div w:id="301009029">
      <w:bodyDiv w:val="1"/>
      <w:marLeft w:val="0"/>
      <w:marRight w:val="0"/>
      <w:marTop w:val="0"/>
      <w:marBottom w:val="0"/>
      <w:divBdr>
        <w:top w:val="none" w:sz="0" w:space="0" w:color="auto"/>
        <w:left w:val="none" w:sz="0" w:space="0" w:color="auto"/>
        <w:bottom w:val="none" w:sz="0" w:space="0" w:color="auto"/>
        <w:right w:val="none" w:sz="0" w:space="0" w:color="auto"/>
      </w:divBdr>
    </w:div>
    <w:div w:id="301352248">
      <w:bodyDiv w:val="1"/>
      <w:marLeft w:val="0"/>
      <w:marRight w:val="0"/>
      <w:marTop w:val="0"/>
      <w:marBottom w:val="0"/>
      <w:divBdr>
        <w:top w:val="none" w:sz="0" w:space="0" w:color="auto"/>
        <w:left w:val="none" w:sz="0" w:space="0" w:color="auto"/>
        <w:bottom w:val="none" w:sz="0" w:space="0" w:color="auto"/>
        <w:right w:val="none" w:sz="0" w:space="0" w:color="auto"/>
      </w:divBdr>
    </w:div>
    <w:div w:id="306977142">
      <w:bodyDiv w:val="1"/>
      <w:marLeft w:val="0"/>
      <w:marRight w:val="0"/>
      <w:marTop w:val="0"/>
      <w:marBottom w:val="0"/>
      <w:divBdr>
        <w:top w:val="none" w:sz="0" w:space="0" w:color="auto"/>
        <w:left w:val="none" w:sz="0" w:space="0" w:color="auto"/>
        <w:bottom w:val="none" w:sz="0" w:space="0" w:color="auto"/>
        <w:right w:val="none" w:sz="0" w:space="0" w:color="auto"/>
      </w:divBdr>
    </w:div>
    <w:div w:id="309095253">
      <w:bodyDiv w:val="1"/>
      <w:marLeft w:val="0"/>
      <w:marRight w:val="0"/>
      <w:marTop w:val="0"/>
      <w:marBottom w:val="0"/>
      <w:divBdr>
        <w:top w:val="none" w:sz="0" w:space="0" w:color="auto"/>
        <w:left w:val="none" w:sz="0" w:space="0" w:color="auto"/>
        <w:bottom w:val="none" w:sz="0" w:space="0" w:color="auto"/>
        <w:right w:val="none" w:sz="0" w:space="0" w:color="auto"/>
      </w:divBdr>
    </w:div>
    <w:div w:id="309676382">
      <w:bodyDiv w:val="1"/>
      <w:marLeft w:val="0"/>
      <w:marRight w:val="0"/>
      <w:marTop w:val="0"/>
      <w:marBottom w:val="0"/>
      <w:divBdr>
        <w:top w:val="none" w:sz="0" w:space="0" w:color="auto"/>
        <w:left w:val="none" w:sz="0" w:space="0" w:color="auto"/>
        <w:bottom w:val="none" w:sz="0" w:space="0" w:color="auto"/>
        <w:right w:val="none" w:sz="0" w:space="0" w:color="auto"/>
      </w:divBdr>
    </w:div>
    <w:div w:id="310598839">
      <w:bodyDiv w:val="1"/>
      <w:marLeft w:val="0"/>
      <w:marRight w:val="0"/>
      <w:marTop w:val="0"/>
      <w:marBottom w:val="0"/>
      <w:divBdr>
        <w:top w:val="none" w:sz="0" w:space="0" w:color="auto"/>
        <w:left w:val="none" w:sz="0" w:space="0" w:color="auto"/>
        <w:bottom w:val="none" w:sz="0" w:space="0" w:color="auto"/>
        <w:right w:val="none" w:sz="0" w:space="0" w:color="auto"/>
      </w:divBdr>
    </w:div>
    <w:div w:id="311953319">
      <w:bodyDiv w:val="1"/>
      <w:marLeft w:val="0"/>
      <w:marRight w:val="0"/>
      <w:marTop w:val="0"/>
      <w:marBottom w:val="0"/>
      <w:divBdr>
        <w:top w:val="none" w:sz="0" w:space="0" w:color="auto"/>
        <w:left w:val="none" w:sz="0" w:space="0" w:color="auto"/>
        <w:bottom w:val="none" w:sz="0" w:space="0" w:color="auto"/>
        <w:right w:val="none" w:sz="0" w:space="0" w:color="auto"/>
      </w:divBdr>
    </w:div>
    <w:div w:id="314383291">
      <w:bodyDiv w:val="1"/>
      <w:marLeft w:val="0"/>
      <w:marRight w:val="0"/>
      <w:marTop w:val="0"/>
      <w:marBottom w:val="0"/>
      <w:divBdr>
        <w:top w:val="none" w:sz="0" w:space="0" w:color="auto"/>
        <w:left w:val="none" w:sz="0" w:space="0" w:color="auto"/>
        <w:bottom w:val="none" w:sz="0" w:space="0" w:color="auto"/>
        <w:right w:val="none" w:sz="0" w:space="0" w:color="auto"/>
      </w:divBdr>
    </w:div>
    <w:div w:id="316299097">
      <w:bodyDiv w:val="1"/>
      <w:marLeft w:val="0"/>
      <w:marRight w:val="0"/>
      <w:marTop w:val="0"/>
      <w:marBottom w:val="0"/>
      <w:divBdr>
        <w:top w:val="none" w:sz="0" w:space="0" w:color="auto"/>
        <w:left w:val="none" w:sz="0" w:space="0" w:color="auto"/>
        <w:bottom w:val="none" w:sz="0" w:space="0" w:color="auto"/>
        <w:right w:val="none" w:sz="0" w:space="0" w:color="auto"/>
      </w:divBdr>
    </w:div>
    <w:div w:id="316346731">
      <w:bodyDiv w:val="1"/>
      <w:marLeft w:val="0"/>
      <w:marRight w:val="0"/>
      <w:marTop w:val="0"/>
      <w:marBottom w:val="0"/>
      <w:divBdr>
        <w:top w:val="none" w:sz="0" w:space="0" w:color="auto"/>
        <w:left w:val="none" w:sz="0" w:space="0" w:color="auto"/>
        <w:bottom w:val="none" w:sz="0" w:space="0" w:color="auto"/>
        <w:right w:val="none" w:sz="0" w:space="0" w:color="auto"/>
      </w:divBdr>
    </w:div>
    <w:div w:id="316764892">
      <w:bodyDiv w:val="1"/>
      <w:marLeft w:val="0"/>
      <w:marRight w:val="0"/>
      <w:marTop w:val="0"/>
      <w:marBottom w:val="0"/>
      <w:divBdr>
        <w:top w:val="none" w:sz="0" w:space="0" w:color="auto"/>
        <w:left w:val="none" w:sz="0" w:space="0" w:color="auto"/>
        <w:bottom w:val="none" w:sz="0" w:space="0" w:color="auto"/>
        <w:right w:val="none" w:sz="0" w:space="0" w:color="auto"/>
      </w:divBdr>
    </w:div>
    <w:div w:id="317460887">
      <w:bodyDiv w:val="1"/>
      <w:marLeft w:val="0"/>
      <w:marRight w:val="0"/>
      <w:marTop w:val="0"/>
      <w:marBottom w:val="0"/>
      <w:divBdr>
        <w:top w:val="none" w:sz="0" w:space="0" w:color="auto"/>
        <w:left w:val="none" w:sz="0" w:space="0" w:color="auto"/>
        <w:bottom w:val="none" w:sz="0" w:space="0" w:color="auto"/>
        <w:right w:val="none" w:sz="0" w:space="0" w:color="auto"/>
      </w:divBdr>
    </w:div>
    <w:div w:id="322896482">
      <w:bodyDiv w:val="1"/>
      <w:marLeft w:val="0"/>
      <w:marRight w:val="0"/>
      <w:marTop w:val="0"/>
      <w:marBottom w:val="0"/>
      <w:divBdr>
        <w:top w:val="none" w:sz="0" w:space="0" w:color="auto"/>
        <w:left w:val="none" w:sz="0" w:space="0" w:color="auto"/>
        <w:bottom w:val="none" w:sz="0" w:space="0" w:color="auto"/>
        <w:right w:val="none" w:sz="0" w:space="0" w:color="auto"/>
      </w:divBdr>
    </w:div>
    <w:div w:id="323124323">
      <w:bodyDiv w:val="1"/>
      <w:marLeft w:val="0"/>
      <w:marRight w:val="0"/>
      <w:marTop w:val="0"/>
      <w:marBottom w:val="0"/>
      <w:divBdr>
        <w:top w:val="none" w:sz="0" w:space="0" w:color="auto"/>
        <w:left w:val="none" w:sz="0" w:space="0" w:color="auto"/>
        <w:bottom w:val="none" w:sz="0" w:space="0" w:color="auto"/>
        <w:right w:val="none" w:sz="0" w:space="0" w:color="auto"/>
      </w:divBdr>
    </w:div>
    <w:div w:id="329797416">
      <w:bodyDiv w:val="1"/>
      <w:marLeft w:val="0"/>
      <w:marRight w:val="0"/>
      <w:marTop w:val="0"/>
      <w:marBottom w:val="0"/>
      <w:divBdr>
        <w:top w:val="none" w:sz="0" w:space="0" w:color="auto"/>
        <w:left w:val="none" w:sz="0" w:space="0" w:color="auto"/>
        <w:bottom w:val="none" w:sz="0" w:space="0" w:color="auto"/>
        <w:right w:val="none" w:sz="0" w:space="0" w:color="auto"/>
      </w:divBdr>
    </w:div>
    <w:div w:id="330332929">
      <w:bodyDiv w:val="1"/>
      <w:marLeft w:val="0"/>
      <w:marRight w:val="0"/>
      <w:marTop w:val="0"/>
      <w:marBottom w:val="0"/>
      <w:divBdr>
        <w:top w:val="none" w:sz="0" w:space="0" w:color="auto"/>
        <w:left w:val="none" w:sz="0" w:space="0" w:color="auto"/>
        <w:bottom w:val="none" w:sz="0" w:space="0" w:color="auto"/>
        <w:right w:val="none" w:sz="0" w:space="0" w:color="auto"/>
      </w:divBdr>
    </w:div>
    <w:div w:id="332421521">
      <w:bodyDiv w:val="1"/>
      <w:marLeft w:val="0"/>
      <w:marRight w:val="0"/>
      <w:marTop w:val="0"/>
      <w:marBottom w:val="0"/>
      <w:divBdr>
        <w:top w:val="none" w:sz="0" w:space="0" w:color="auto"/>
        <w:left w:val="none" w:sz="0" w:space="0" w:color="auto"/>
        <w:bottom w:val="none" w:sz="0" w:space="0" w:color="auto"/>
        <w:right w:val="none" w:sz="0" w:space="0" w:color="auto"/>
      </w:divBdr>
    </w:div>
    <w:div w:id="341930674">
      <w:bodyDiv w:val="1"/>
      <w:marLeft w:val="0"/>
      <w:marRight w:val="0"/>
      <w:marTop w:val="0"/>
      <w:marBottom w:val="0"/>
      <w:divBdr>
        <w:top w:val="none" w:sz="0" w:space="0" w:color="auto"/>
        <w:left w:val="none" w:sz="0" w:space="0" w:color="auto"/>
        <w:bottom w:val="none" w:sz="0" w:space="0" w:color="auto"/>
        <w:right w:val="none" w:sz="0" w:space="0" w:color="auto"/>
      </w:divBdr>
    </w:div>
    <w:div w:id="344331276">
      <w:bodyDiv w:val="1"/>
      <w:marLeft w:val="0"/>
      <w:marRight w:val="0"/>
      <w:marTop w:val="0"/>
      <w:marBottom w:val="0"/>
      <w:divBdr>
        <w:top w:val="none" w:sz="0" w:space="0" w:color="auto"/>
        <w:left w:val="none" w:sz="0" w:space="0" w:color="auto"/>
        <w:bottom w:val="none" w:sz="0" w:space="0" w:color="auto"/>
        <w:right w:val="none" w:sz="0" w:space="0" w:color="auto"/>
      </w:divBdr>
    </w:div>
    <w:div w:id="347173737">
      <w:bodyDiv w:val="1"/>
      <w:marLeft w:val="0"/>
      <w:marRight w:val="0"/>
      <w:marTop w:val="0"/>
      <w:marBottom w:val="0"/>
      <w:divBdr>
        <w:top w:val="none" w:sz="0" w:space="0" w:color="auto"/>
        <w:left w:val="none" w:sz="0" w:space="0" w:color="auto"/>
        <w:bottom w:val="none" w:sz="0" w:space="0" w:color="auto"/>
        <w:right w:val="none" w:sz="0" w:space="0" w:color="auto"/>
      </w:divBdr>
    </w:div>
    <w:div w:id="347561844">
      <w:bodyDiv w:val="1"/>
      <w:marLeft w:val="0"/>
      <w:marRight w:val="0"/>
      <w:marTop w:val="0"/>
      <w:marBottom w:val="0"/>
      <w:divBdr>
        <w:top w:val="none" w:sz="0" w:space="0" w:color="auto"/>
        <w:left w:val="none" w:sz="0" w:space="0" w:color="auto"/>
        <w:bottom w:val="none" w:sz="0" w:space="0" w:color="auto"/>
        <w:right w:val="none" w:sz="0" w:space="0" w:color="auto"/>
      </w:divBdr>
    </w:div>
    <w:div w:id="348070292">
      <w:bodyDiv w:val="1"/>
      <w:marLeft w:val="0"/>
      <w:marRight w:val="0"/>
      <w:marTop w:val="0"/>
      <w:marBottom w:val="0"/>
      <w:divBdr>
        <w:top w:val="none" w:sz="0" w:space="0" w:color="auto"/>
        <w:left w:val="none" w:sz="0" w:space="0" w:color="auto"/>
        <w:bottom w:val="none" w:sz="0" w:space="0" w:color="auto"/>
        <w:right w:val="none" w:sz="0" w:space="0" w:color="auto"/>
      </w:divBdr>
    </w:div>
    <w:div w:id="348797022">
      <w:bodyDiv w:val="1"/>
      <w:marLeft w:val="0"/>
      <w:marRight w:val="0"/>
      <w:marTop w:val="0"/>
      <w:marBottom w:val="0"/>
      <w:divBdr>
        <w:top w:val="none" w:sz="0" w:space="0" w:color="auto"/>
        <w:left w:val="none" w:sz="0" w:space="0" w:color="auto"/>
        <w:bottom w:val="none" w:sz="0" w:space="0" w:color="auto"/>
        <w:right w:val="none" w:sz="0" w:space="0" w:color="auto"/>
      </w:divBdr>
    </w:div>
    <w:div w:id="351151814">
      <w:bodyDiv w:val="1"/>
      <w:marLeft w:val="0"/>
      <w:marRight w:val="0"/>
      <w:marTop w:val="0"/>
      <w:marBottom w:val="0"/>
      <w:divBdr>
        <w:top w:val="none" w:sz="0" w:space="0" w:color="auto"/>
        <w:left w:val="none" w:sz="0" w:space="0" w:color="auto"/>
        <w:bottom w:val="none" w:sz="0" w:space="0" w:color="auto"/>
        <w:right w:val="none" w:sz="0" w:space="0" w:color="auto"/>
      </w:divBdr>
    </w:div>
    <w:div w:id="351684061">
      <w:bodyDiv w:val="1"/>
      <w:marLeft w:val="0"/>
      <w:marRight w:val="0"/>
      <w:marTop w:val="0"/>
      <w:marBottom w:val="0"/>
      <w:divBdr>
        <w:top w:val="none" w:sz="0" w:space="0" w:color="auto"/>
        <w:left w:val="none" w:sz="0" w:space="0" w:color="auto"/>
        <w:bottom w:val="none" w:sz="0" w:space="0" w:color="auto"/>
        <w:right w:val="none" w:sz="0" w:space="0" w:color="auto"/>
      </w:divBdr>
    </w:div>
    <w:div w:id="353919661">
      <w:bodyDiv w:val="1"/>
      <w:marLeft w:val="0"/>
      <w:marRight w:val="0"/>
      <w:marTop w:val="0"/>
      <w:marBottom w:val="0"/>
      <w:divBdr>
        <w:top w:val="none" w:sz="0" w:space="0" w:color="auto"/>
        <w:left w:val="none" w:sz="0" w:space="0" w:color="auto"/>
        <w:bottom w:val="none" w:sz="0" w:space="0" w:color="auto"/>
        <w:right w:val="none" w:sz="0" w:space="0" w:color="auto"/>
      </w:divBdr>
    </w:div>
    <w:div w:id="360979255">
      <w:bodyDiv w:val="1"/>
      <w:marLeft w:val="0"/>
      <w:marRight w:val="0"/>
      <w:marTop w:val="0"/>
      <w:marBottom w:val="0"/>
      <w:divBdr>
        <w:top w:val="none" w:sz="0" w:space="0" w:color="auto"/>
        <w:left w:val="none" w:sz="0" w:space="0" w:color="auto"/>
        <w:bottom w:val="none" w:sz="0" w:space="0" w:color="auto"/>
        <w:right w:val="none" w:sz="0" w:space="0" w:color="auto"/>
      </w:divBdr>
    </w:div>
    <w:div w:id="362899040">
      <w:bodyDiv w:val="1"/>
      <w:marLeft w:val="0"/>
      <w:marRight w:val="0"/>
      <w:marTop w:val="0"/>
      <w:marBottom w:val="0"/>
      <w:divBdr>
        <w:top w:val="none" w:sz="0" w:space="0" w:color="auto"/>
        <w:left w:val="none" w:sz="0" w:space="0" w:color="auto"/>
        <w:bottom w:val="none" w:sz="0" w:space="0" w:color="auto"/>
        <w:right w:val="none" w:sz="0" w:space="0" w:color="auto"/>
      </w:divBdr>
    </w:div>
    <w:div w:id="363092690">
      <w:bodyDiv w:val="1"/>
      <w:marLeft w:val="0"/>
      <w:marRight w:val="0"/>
      <w:marTop w:val="0"/>
      <w:marBottom w:val="0"/>
      <w:divBdr>
        <w:top w:val="none" w:sz="0" w:space="0" w:color="auto"/>
        <w:left w:val="none" w:sz="0" w:space="0" w:color="auto"/>
        <w:bottom w:val="none" w:sz="0" w:space="0" w:color="auto"/>
        <w:right w:val="none" w:sz="0" w:space="0" w:color="auto"/>
      </w:divBdr>
    </w:div>
    <w:div w:id="364328285">
      <w:bodyDiv w:val="1"/>
      <w:marLeft w:val="0"/>
      <w:marRight w:val="0"/>
      <w:marTop w:val="0"/>
      <w:marBottom w:val="0"/>
      <w:divBdr>
        <w:top w:val="none" w:sz="0" w:space="0" w:color="auto"/>
        <w:left w:val="none" w:sz="0" w:space="0" w:color="auto"/>
        <w:bottom w:val="none" w:sz="0" w:space="0" w:color="auto"/>
        <w:right w:val="none" w:sz="0" w:space="0" w:color="auto"/>
      </w:divBdr>
    </w:div>
    <w:div w:id="369571889">
      <w:bodyDiv w:val="1"/>
      <w:marLeft w:val="0"/>
      <w:marRight w:val="0"/>
      <w:marTop w:val="0"/>
      <w:marBottom w:val="0"/>
      <w:divBdr>
        <w:top w:val="none" w:sz="0" w:space="0" w:color="auto"/>
        <w:left w:val="none" w:sz="0" w:space="0" w:color="auto"/>
        <w:bottom w:val="none" w:sz="0" w:space="0" w:color="auto"/>
        <w:right w:val="none" w:sz="0" w:space="0" w:color="auto"/>
      </w:divBdr>
    </w:div>
    <w:div w:id="371075637">
      <w:bodyDiv w:val="1"/>
      <w:marLeft w:val="0"/>
      <w:marRight w:val="0"/>
      <w:marTop w:val="0"/>
      <w:marBottom w:val="0"/>
      <w:divBdr>
        <w:top w:val="none" w:sz="0" w:space="0" w:color="auto"/>
        <w:left w:val="none" w:sz="0" w:space="0" w:color="auto"/>
        <w:bottom w:val="none" w:sz="0" w:space="0" w:color="auto"/>
        <w:right w:val="none" w:sz="0" w:space="0" w:color="auto"/>
      </w:divBdr>
    </w:div>
    <w:div w:id="373164200">
      <w:bodyDiv w:val="1"/>
      <w:marLeft w:val="0"/>
      <w:marRight w:val="0"/>
      <w:marTop w:val="0"/>
      <w:marBottom w:val="0"/>
      <w:divBdr>
        <w:top w:val="none" w:sz="0" w:space="0" w:color="auto"/>
        <w:left w:val="none" w:sz="0" w:space="0" w:color="auto"/>
        <w:bottom w:val="none" w:sz="0" w:space="0" w:color="auto"/>
        <w:right w:val="none" w:sz="0" w:space="0" w:color="auto"/>
      </w:divBdr>
    </w:div>
    <w:div w:id="377095343">
      <w:bodyDiv w:val="1"/>
      <w:marLeft w:val="0"/>
      <w:marRight w:val="0"/>
      <w:marTop w:val="0"/>
      <w:marBottom w:val="0"/>
      <w:divBdr>
        <w:top w:val="none" w:sz="0" w:space="0" w:color="auto"/>
        <w:left w:val="none" w:sz="0" w:space="0" w:color="auto"/>
        <w:bottom w:val="none" w:sz="0" w:space="0" w:color="auto"/>
        <w:right w:val="none" w:sz="0" w:space="0" w:color="auto"/>
      </w:divBdr>
    </w:div>
    <w:div w:id="378895630">
      <w:bodyDiv w:val="1"/>
      <w:marLeft w:val="0"/>
      <w:marRight w:val="0"/>
      <w:marTop w:val="0"/>
      <w:marBottom w:val="0"/>
      <w:divBdr>
        <w:top w:val="none" w:sz="0" w:space="0" w:color="auto"/>
        <w:left w:val="none" w:sz="0" w:space="0" w:color="auto"/>
        <w:bottom w:val="none" w:sz="0" w:space="0" w:color="auto"/>
        <w:right w:val="none" w:sz="0" w:space="0" w:color="auto"/>
      </w:divBdr>
    </w:div>
    <w:div w:id="381292224">
      <w:bodyDiv w:val="1"/>
      <w:marLeft w:val="0"/>
      <w:marRight w:val="0"/>
      <w:marTop w:val="0"/>
      <w:marBottom w:val="0"/>
      <w:divBdr>
        <w:top w:val="none" w:sz="0" w:space="0" w:color="auto"/>
        <w:left w:val="none" w:sz="0" w:space="0" w:color="auto"/>
        <w:bottom w:val="none" w:sz="0" w:space="0" w:color="auto"/>
        <w:right w:val="none" w:sz="0" w:space="0" w:color="auto"/>
      </w:divBdr>
    </w:div>
    <w:div w:id="387608724">
      <w:bodyDiv w:val="1"/>
      <w:marLeft w:val="0"/>
      <w:marRight w:val="0"/>
      <w:marTop w:val="0"/>
      <w:marBottom w:val="0"/>
      <w:divBdr>
        <w:top w:val="none" w:sz="0" w:space="0" w:color="auto"/>
        <w:left w:val="none" w:sz="0" w:space="0" w:color="auto"/>
        <w:bottom w:val="none" w:sz="0" w:space="0" w:color="auto"/>
        <w:right w:val="none" w:sz="0" w:space="0" w:color="auto"/>
      </w:divBdr>
    </w:div>
    <w:div w:id="390152139">
      <w:bodyDiv w:val="1"/>
      <w:marLeft w:val="0"/>
      <w:marRight w:val="0"/>
      <w:marTop w:val="0"/>
      <w:marBottom w:val="0"/>
      <w:divBdr>
        <w:top w:val="none" w:sz="0" w:space="0" w:color="auto"/>
        <w:left w:val="none" w:sz="0" w:space="0" w:color="auto"/>
        <w:bottom w:val="none" w:sz="0" w:space="0" w:color="auto"/>
        <w:right w:val="none" w:sz="0" w:space="0" w:color="auto"/>
      </w:divBdr>
    </w:div>
    <w:div w:id="390810146">
      <w:bodyDiv w:val="1"/>
      <w:marLeft w:val="0"/>
      <w:marRight w:val="0"/>
      <w:marTop w:val="0"/>
      <w:marBottom w:val="0"/>
      <w:divBdr>
        <w:top w:val="none" w:sz="0" w:space="0" w:color="auto"/>
        <w:left w:val="none" w:sz="0" w:space="0" w:color="auto"/>
        <w:bottom w:val="none" w:sz="0" w:space="0" w:color="auto"/>
        <w:right w:val="none" w:sz="0" w:space="0" w:color="auto"/>
      </w:divBdr>
    </w:div>
    <w:div w:id="391390503">
      <w:bodyDiv w:val="1"/>
      <w:marLeft w:val="0"/>
      <w:marRight w:val="0"/>
      <w:marTop w:val="0"/>
      <w:marBottom w:val="0"/>
      <w:divBdr>
        <w:top w:val="none" w:sz="0" w:space="0" w:color="auto"/>
        <w:left w:val="none" w:sz="0" w:space="0" w:color="auto"/>
        <w:bottom w:val="none" w:sz="0" w:space="0" w:color="auto"/>
        <w:right w:val="none" w:sz="0" w:space="0" w:color="auto"/>
      </w:divBdr>
    </w:div>
    <w:div w:id="391739726">
      <w:bodyDiv w:val="1"/>
      <w:marLeft w:val="0"/>
      <w:marRight w:val="0"/>
      <w:marTop w:val="0"/>
      <w:marBottom w:val="0"/>
      <w:divBdr>
        <w:top w:val="none" w:sz="0" w:space="0" w:color="auto"/>
        <w:left w:val="none" w:sz="0" w:space="0" w:color="auto"/>
        <w:bottom w:val="none" w:sz="0" w:space="0" w:color="auto"/>
        <w:right w:val="none" w:sz="0" w:space="0" w:color="auto"/>
      </w:divBdr>
    </w:div>
    <w:div w:id="392775454">
      <w:bodyDiv w:val="1"/>
      <w:marLeft w:val="0"/>
      <w:marRight w:val="0"/>
      <w:marTop w:val="0"/>
      <w:marBottom w:val="0"/>
      <w:divBdr>
        <w:top w:val="none" w:sz="0" w:space="0" w:color="auto"/>
        <w:left w:val="none" w:sz="0" w:space="0" w:color="auto"/>
        <w:bottom w:val="none" w:sz="0" w:space="0" w:color="auto"/>
        <w:right w:val="none" w:sz="0" w:space="0" w:color="auto"/>
      </w:divBdr>
    </w:div>
    <w:div w:id="396437765">
      <w:bodyDiv w:val="1"/>
      <w:marLeft w:val="0"/>
      <w:marRight w:val="0"/>
      <w:marTop w:val="0"/>
      <w:marBottom w:val="0"/>
      <w:divBdr>
        <w:top w:val="none" w:sz="0" w:space="0" w:color="auto"/>
        <w:left w:val="none" w:sz="0" w:space="0" w:color="auto"/>
        <w:bottom w:val="none" w:sz="0" w:space="0" w:color="auto"/>
        <w:right w:val="none" w:sz="0" w:space="0" w:color="auto"/>
      </w:divBdr>
    </w:div>
    <w:div w:id="397018375">
      <w:bodyDiv w:val="1"/>
      <w:marLeft w:val="0"/>
      <w:marRight w:val="0"/>
      <w:marTop w:val="0"/>
      <w:marBottom w:val="0"/>
      <w:divBdr>
        <w:top w:val="none" w:sz="0" w:space="0" w:color="auto"/>
        <w:left w:val="none" w:sz="0" w:space="0" w:color="auto"/>
        <w:bottom w:val="none" w:sz="0" w:space="0" w:color="auto"/>
        <w:right w:val="none" w:sz="0" w:space="0" w:color="auto"/>
      </w:divBdr>
    </w:div>
    <w:div w:id="397561571">
      <w:bodyDiv w:val="1"/>
      <w:marLeft w:val="0"/>
      <w:marRight w:val="0"/>
      <w:marTop w:val="0"/>
      <w:marBottom w:val="0"/>
      <w:divBdr>
        <w:top w:val="none" w:sz="0" w:space="0" w:color="auto"/>
        <w:left w:val="none" w:sz="0" w:space="0" w:color="auto"/>
        <w:bottom w:val="none" w:sz="0" w:space="0" w:color="auto"/>
        <w:right w:val="none" w:sz="0" w:space="0" w:color="auto"/>
      </w:divBdr>
    </w:div>
    <w:div w:id="398672429">
      <w:bodyDiv w:val="1"/>
      <w:marLeft w:val="0"/>
      <w:marRight w:val="0"/>
      <w:marTop w:val="0"/>
      <w:marBottom w:val="0"/>
      <w:divBdr>
        <w:top w:val="none" w:sz="0" w:space="0" w:color="auto"/>
        <w:left w:val="none" w:sz="0" w:space="0" w:color="auto"/>
        <w:bottom w:val="none" w:sz="0" w:space="0" w:color="auto"/>
        <w:right w:val="none" w:sz="0" w:space="0" w:color="auto"/>
      </w:divBdr>
    </w:div>
    <w:div w:id="399526702">
      <w:bodyDiv w:val="1"/>
      <w:marLeft w:val="0"/>
      <w:marRight w:val="0"/>
      <w:marTop w:val="0"/>
      <w:marBottom w:val="0"/>
      <w:divBdr>
        <w:top w:val="none" w:sz="0" w:space="0" w:color="auto"/>
        <w:left w:val="none" w:sz="0" w:space="0" w:color="auto"/>
        <w:bottom w:val="none" w:sz="0" w:space="0" w:color="auto"/>
        <w:right w:val="none" w:sz="0" w:space="0" w:color="auto"/>
      </w:divBdr>
    </w:div>
    <w:div w:id="399600698">
      <w:bodyDiv w:val="1"/>
      <w:marLeft w:val="0"/>
      <w:marRight w:val="0"/>
      <w:marTop w:val="0"/>
      <w:marBottom w:val="0"/>
      <w:divBdr>
        <w:top w:val="none" w:sz="0" w:space="0" w:color="auto"/>
        <w:left w:val="none" w:sz="0" w:space="0" w:color="auto"/>
        <w:bottom w:val="none" w:sz="0" w:space="0" w:color="auto"/>
        <w:right w:val="none" w:sz="0" w:space="0" w:color="auto"/>
      </w:divBdr>
    </w:div>
    <w:div w:id="403603353">
      <w:bodyDiv w:val="1"/>
      <w:marLeft w:val="0"/>
      <w:marRight w:val="0"/>
      <w:marTop w:val="0"/>
      <w:marBottom w:val="0"/>
      <w:divBdr>
        <w:top w:val="none" w:sz="0" w:space="0" w:color="auto"/>
        <w:left w:val="none" w:sz="0" w:space="0" w:color="auto"/>
        <w:bottom w:val="none" w:sz="0" w:space="0" w:color="auto"/>
        <w:right w:val="none" w:sz="0" w:space="0" w:color="auto"/>
      </w:divBdr>
    </w:div>
    <w:div w:id="405340449">
      <w:bodyDiv w:val="1"/>
      <w:marLeft w:val="0"/>
      <w:marRight w:val="0"/>
      <w:marTop w:val="0"/>
      <w:marBottom w:val="0"/>
      <w:divBdr>
        <w:top w:val="none" w:sz="0" w:space="0" w:color="auto"/>
        <w:left w:val="none" w:sz="0" w:space="0" w:color="auto"/>
        <w:bottom w:val="none" w:sz="0" w:space="0" w:color="auto"/>
        <w:right w:val="none" w:sz="0" w:space="0" w:color="auto"/>
      </w:divBdr>
    </w:div>
    <w:div w:id="406809757">
      <w:bodyDiv w:val="1"/>
      <w:marLeft w:val="0"/>
      <w:marRight w:val="0"/>
      <w:marTop w:val="0"/>
      <w:marBottom w:val="0"/>
      <w:divBdr>
        <w:top w:val="none" w:sz="0" w:space="0" w:color="auto"/>
        <w:left w:val="none" w:sz="0" w:space="0" w:color="auto"/>
        <w:bottom w:val="none" w:sz="0" w:space="0" w:color="auto"/>
        <w:right w:val="none" w:sz="0" w:space="0" w:color="auto"/>
      </w:divBdr>
    </w:div>
    <w:div w:id="420028451">
      <w:bodyDiv w:val="1"/>
      <w:marLeft w:val="0"/>
      <w:marRight w:val="0"/>
      <w:marTop w:val="0"/>
      <w:marBottom w:val="0"/>
      <w:divBdr>
        <w:top w:val="none" w:sz="0" w:space="0" w:color="auto"/>
        <w:left w:val="none" w:sz="0" w:space="0" w:color="auto"/>
        <w:bottom w:val="none" w:sz="0" w:space="0" w:color="auto"/>
        <w:right w:val="none" w:sz="0" w:space="0" w:color="auto"/>
      </w:divBdr>
    </w:div>
    <w:div w:id="420223494">
      <w:bodyDiv w:val="1"/>
      <w:marLeft w:val="0"/>
      <w:marRight w:val="0"/>
      <w:marTop w:val="0"/>
      <w:marBottom w:val="0"/>
      <w:divBdr>
        <w:top w:val="none" w:sz="0" w:space="0" w:color="auto"/>
        <w:left w:val="none" w:sz="0" w:space="0" w:color="auto"/>
        <w:bottom w:val="none" w:sz="0" w:space="0" w:color="auto"/>
        <w:right w:val="none" w:sz="0" w:space="0" w:color="auto"/>
      </w:divBdr>
    </w:div>
    <w:div w:id="423890204">
      <w:bodyDiv w:val="1"/>
      <w:marLeft w:val="0"/>
      <w:marRight w:val="0"/>
      <w:marTop w:val="0"/>
      <w:marBottom w:val="0"/>
      <w:divBdr>
        <w:top w:val="none" w:sz="0" w:space="0" w:color="auto"/>
        <w:left w:val="none" w:sz="0" w:space="0" w:color="auto"/>
        <w:bottom w:val="none" w:sz="0" w:space="0" w:color="auto"/>
        <w:right w:val="none" w:sz="0" w:space="0" w:color="auto"/>
      </w:divBdr>
    </w:div>
    <w:div w:id="425466769">
      <w:bodyDiv w:val="1"/>
      <w:marLeft w:val="0"/>
      <w:marRight w:val="0"/>
      <w:marTop w:val="0"/>
      <w:marBottom w:val="0"/>
      <w:divBdr>
        <w:top w:val="none" w:sz="0" w:space="0" w:color="auto"/>
        <w:left w:val="none" w:sz="0" w:space="0" w:color="auto"/>
        <w:bottom w:val="none" w:sz="0" w:space="0" w:color="auto"/>
        <w:right w:val="none" w:sz="0" w:space="0" w:color="auto"/>
      </w:divBdr>
    </w:div>
    <w:div w:id="425544342">
      <w:bodyDiv w:val="1"/>
      <w:marLeft w:val="0"/>
      <w:marRight w:val="0"/>
      <w:marTop w:val="0"/>
      <w:marBottom w:val="0"/>
      <w:divBdr>
        <w:top w:val="none" w:sz="0" w:space="0" w:color="auto"/>
        <w:left w:val="none" w:sz="0" w:space="0" w:color="auto"/>
        <w:bottom w:val="none" w:sz="0" w:space="0" w:color="auto"/>
        <w:right w:val="none" w:sz="0" w:space="0" w:color="auto"/>
      </w:divBdr>
    </w:div>
    <w:div w:id="426855633">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40490832">
      <w:bodyDiv w:val="1"/>
      <w:marLeft w:val="0"/>
      <w:marRight w:val="0"/>
      <w:marTop w:val="0"/>
      <w:marBottom w:val="0"/>
      <w:divBdr>
        <w:top w:val="none" w:sz="0" w:space="0" w:color="auto"/>
        <w:left w:val="none" w:sz="0" w:space="0" w:color="auto"/>
        <w:bottom w:val="none" w:sz="0" w:space="0" w:color="auto"/>
        <w:right w:val="none" w:sz="0" w:space="0" w:color="auto"/>
      </w:divBdr>
    </w:div>
    <w:div w:id="445193466">
      <w:bodyDiv w:val="1"/>
      <w:marLeft w:val="0"/>
      <w:marRight w:val="0"/>
      <w:marTop w:val="0"/>
      <w:marBottom w:val="0"/>
      <w:divBdr>
        <w:top w:val="none" w:sz="0" w:space="0" w:color="auto"/>
        <w:left w:val="none" w:sz="0" w:space="0" w:color="auto"/>
        <w:bottom w:val="none" w:sz="0" w:space="0" w:color="auto"/>
        <w:right w:val="none" w:sz="0" w:space="0" w:color="auto"/>
      </w:divBdr>
    </w:div>
    <w:div w:id="446320430">
      <w:bodyDiv w:val="1"/>
      <w:marLeft w:val="0"/>
      <w:marRight w:val="0"/>
      <w:marTop w:val="0"/>
      <w:marBottom w:val="0"/>
      <w:divBdr>
        <w:top w:val="none" w:sz="0" w:space="0" w:color="auto"/>
        <w:left w:val="none" w:sz="0" w:space="0" w:color="auto"/>
        <w:bottom w:val="none" w:sz="0" w:space="0" w:color="auto"/>
        <w:right w:val="none" w:sz="0" w:space="0" w:color="auto"/>
      </w:divBdr>
    </w:div>
    <w:div w:id="448083620">
      <w:bodyDiv w:val="1"/>
      <w:marLeft w:val="0"/>
      <w:marRight w:val="0"/>
      <w:marTop w:val="0"/>
      <w:marBottom w:val="0"/>
      <w:divBdr>
        <w:top w:val="none" w:sz="0" w:space="0" w:color="auto"/>
        <w:left w:val="none" w:sz="0" w:space="0" w:color="auto"/>
        <w:bottom w:val="none" w:sz="0" w:space="0" w:color="auto"/>
        <w:right w:val="none" w:sz="0" w:space="0" w:color="auto"/>
      </w:divBdr>
    </w:div>
    <w:div w:id="450368534">
      <w:bodyDiv w:val="1"/>
      <w:marLeft w:val="0"/>
      <w:marRight w:val="0"/>
      <w:marTop w:val="0"/>
      <w:marBottom w:val="0"/>
      <w:divBdr>
        <w:top w:val="none" w:sz="0" w:space="0" w:color="auto"/>
        <w:left w:val="none" w:sz="0" w:space="0" w:color="auto"/>
        <w:bottom w:val="none" w:sz="0" w:space="0" w:color="auto"/>
        <w:right w:val="none" w:sz="0" w:space="0" w:color="auto"/>
      </w:divBdr>
    </w:div>
    <w:div w:id="454182826">
      <w:bodyDiv w:val="1"/>
      <w:marLeft w:val="0"/>
      <w:marRight w:val="0"/>
      <w:marTop w:val="0"/>
      <w:marBottom w:val="0"/>
      <w:divBdr>
        <w:top w:val="none" w:sz="0" w:space="0" w:color="auto"/>
        <w:left w:val="none" w:sz="0" w:space="0" w:color="auto"/>
        <w:bottom w:val="none" w:sz="0" w:space="0" w:color="auto"/>
        <w:right w:val="none" w:sz="0" w:space="0" w:color="auto"/>
      </w:divBdr>
    </w:div>
    <w:div w:id="454567145">
      <w:bodyDiv w:val="1"/>
      <w:marLeft w:val="0"/>
      <w:marRight w:val="0"/>
      <w:marTop w:val="0"/>
      <w:marBottom w:val="0"/>
      <w:divBdr>
        <w:top w:val="none" w:sz="0" w:space="0" w:color="auto"/>
        <w:left w:val="none" w:sz="0" w:space="0" w:color="auto"/>
        <w:bottom w:val="none" w:sz="0" w:space="0" w:color="auto"/>
        <w:right w:val="none" w:sz="0" w:space="0" w:color="auto"/>
      </w:divBdr>
    </w:div>
    <w:div w:id="459225044">
      <w:bodyDiv w:val="1"/>
      <w:marLeft w:val="0"/>
      <w:marRight w:val="0"/>
      <w:marTop w:val="0"/>
      <w:marBottom w:val="0"/>
      <w:divBdr>
        <w:top w:val="none" w:sz="0" w:space="0" w:color="auto"/>
        <w:left w:val="none" w:sz="0" w:space="0" w:color="auto"/>
        <w:bottom w:val="none" w:sz="0" w:space="0" w:color="auto"/>
        <w:right w:val="none" w:sz="0" w:space="0" w:color="auto"/>
      </w:divBdr>
    </w:div>
    <w:div w:id="462119706">
      <w:bodyDiv w:val="1"/>
      <w:marLeft w:val="0"/>
      <w:marRight w:val="0"/>
      <w:marTop w:val="0"/>
      <w:marBottom w:val="0"/>
      <w:divBdr>
        <w:top w:val="none" w:sz="0" w:space="0" w:color="auto"/>
        <w:left w:val="none" w:sz="0" w:space="0" w:color="auto"/>
        <w:bottom w:val="none" w:sz="0" w:space="0" w:color="auto"/>
        <w:right w:val="none" w:sz="0" w:space="0" w:color="auto"/>
      </w:divBdr>
    </w:div>
    <w:div w:id="462315077">
      <w:bodyDiv w:val="1"/>
      <w:marLeft w:val="0"/>
      <w:marRight w:val="0"/>
      <w:marTop w:val="0"/>
      <w:marBottom w:val="0"/>
      <w:divBdr>
        <w:top w:val="none" w:sz="0" w:space="0" w:color="auto"/>
        <w:left w:val="none" w:sz="0" w:space="0" w:color="auto"/>
        <w:bottom w:val="none" w:sz="0" w:space="0" w:color="auto"/>
        <w:right w:val="none" w:sz="0" w:space="0" w:color="auto"/>
      </w:divBdr>
    </w:div>
    <w:div w:id="464544949">
      <w:bodyDiv w:val="1"/>
      <w:marLeft w:val="0"/>
      <w:marRight w:val="0"/>
      <w:marTop w:val="0"/>
      <w:marBottom w:val="0"/>
      <w:divBdr>
        <w:top w:val="none" w:sz="0" w:space="0" w:color="auto"/>
        <w:left w:val="none" w:sz="0" w:space="0" w:color="auto"/>
        <w:bottom w:val="none" w:sz="0" w:space="0" w:color="auto"/>
        <w:right w:val="none" w:sz="0" w:space="0" w:color="auto"/>
      </w:divBdr>
    </w:div>
    <w:div w:id="464548158">
      <w:bodyDiv w:val="1"/>
      <w:marLeft w:val="0"/>
      <w:marRight w:val="0"/>
      <w:marTop w:val="0"/>
      <w:marBottom w:val="0"/>
      <w:divBdr>
        <w:top w:val="none" w:sz="0" w:space="0" w:color="auto"/>
        <w:left w:val="none" w:sz="0" w:space="0" w:color="auto"/>
        <w:bottom w:val="none" w:sz="0" w:space="0" w:color="auto"/>
        <w:right w:val="none" w:sz="0" w:space="0" w:color="auto"/>
      </w:divBdr>
    </w:div>
    <w:div w:id="471211948">
      <w:bodyDiv w:val="1"/>
      <w:marLeft w:val="0"/>
      <w:marRight w:val="0"/>
      <w:marTop w:val="0"/>
      <w:marBottom w:val="0"/>
      <w:divBdr>
        <w:top w:val="none" w:sz="0" w:space="0" w:color="auto"/>
        <w:left w:val="none" w:sz="0" w:space="0" w:color="auto"/>
        <w:bottom w:val="none" w:sz="0" w:space="0" w:color="auto"/>
        <w:right w:val="none" w:sz="0" w:space="0" w:color="auto"/>
      </w:divBdr>
    </w:div>
    <w:div w:id="472260597">
      <w:bodyDiv w:val="1"/>
      <w:marLeft w:val="0"/>
      <w:marRight w:val="0"/>
      <w:marTop w:val="0"/>
      <w:marBottom w:val="0"/>
      <w:divBdr>
        <w:top w:val="none" w:sz="0" w:space="0" w:color="auto"/>
        <w:left w:val="none" w:sz="0" w:space="0" w:color="auto"/>
        <w:bottom w:val="none" w:sz="0" w:space="0" w:color="auto"/>
        <w:right w:val="none" w:sz="0" w:space="0" w:color="auto"/>
      </w:divBdr>
    </w:div>
    <w:div w:id="475732141">
      <w:bodyDiv w:val="1"/>
      <w:marLeft w:val="0"/>
      <w:marRight w:val="0"/>
      <w:marTop w:val="0"/>
      <w:marBottom w:val="0"/>
      <w:divBdr>
        <w:top w:val="none" w:sz="0" w:space="0" w:color="auto"/>
        <w:left w:val="none" w:sz="0" w:space="0" w:color="auto"/>
        <w:bottom w:val="none" w:sz="0" w:space="0" w:color="auto"/>
        <w:right w:val="none" w:sz="0" w:space="0" w:color="auto"/>
      </w:divBdr>
    </w:div>
    <w:div w:id="481703936">
      <w:bodyDiv w:val="1"/>
      <w:marLeft w:val="0"/>
      <w:marRight w:val="0"/>
      <w:marTop w:val="0"/>
      <w:marBottom w:val="0"/>
      <w:divBdr>
        <w:top w:val="none" w:sz="0" w:space="0" w:color="auto"/>
        <w:left w:val="none" w:sz="0" w:space="0" w:color="auto"/>
        <w:bottom w:val="none" w:sz="0" w:space="0" w:color="auto"/>
        <w:right w:val="none" w:sz="0" w:space="0" w:color="auto"/>
      </w:divBdr>
    </w:div>
    <w:div w:id="482115469">
      <w:bodyDiv w:val="1"/>
      <w:marLeft w:val="0"/>
      <w:marRight w:val="0"/>
      <w:marTop w:val="0"/>
      <w:marBottom w:val="0"/>
      <w:divBdr>
        <w:top w:val="none" w:sz="0" w:space="0" w:color="auto"/>
        <w:left w:val="none" w:sz="0" w:space="0" w:color="auto"/>
        <w:bottom w:val="none" w:sz="0" w:space="0" w:color="auto"/>
        <w:right w:val="none" w:sz="0" w:space="0" w:color="auto"/>
      </w:divBdr>
    </w:div>
    <w:div w:id="484123241">
      <w:bodyDiv w:val="1"/>
      <w:marLeft w:val="0"/>
      <w:marRight w:val="0"/>
      <w:marTop w:val="0"/>
      <w:marBottom w:val="0"/>
      <w:divBdr>
        <w:top w:val="none" w:sz="0" w:space="0" w:color="auto"/>
        <w:left w:val="none" w:sz="0" w:space="0" w:color="auto"/>
        <w:bottom w:val="none" w:sz="0" w:space="0" w:color="auto"/>
        <w:right w:val="none" w:sz="0" w:space="0" w:color="auto"/>
      </w:divBdr>
    </w:div>
    <w:div w:id="487870340">
      <w:bodyDiv w:val="1"/>
      <w:marLeft w:val="0"/>
      <w:marRight w:val="0"/>
      <w:marTop w:val="0"/>
      <w:marBottom w:val="0"/>
      <w:divBdr>
        <w:top w:val="none" w:sz="0" w:space="0" w:color="auto"/>
        <w:left w:val="none" w:sz="0" w:space="0" w:color="auto"/>
        <w:bottom w:val="none" w:sz="0" w:space="0" w:color="auto"/>
        <w:right w:val="none" w:sz="0" w:space="0" w:color="auto"/>
      </w:divBdr>
    </w:div>
    <w:div w:id="489295446">
      <w:bodyDiv w:val="1"/>
      <w:marLeft w:val="0"/>
      <w:marRight w:val="0"/>
      <w:marTop w:val="0"/>
      <w:marBottom w:val="0"/>
      <w:divBdr>
        <w:top w:val="none" w:sz="0" w:space="0" w:color="auto"/>
        <w:left w:val="none" w:sz="0" w:space="0" w:color="auto"/>
        <w:bottom w:val="none" w:sz="0" w:space="0" w:color="auto"/>
        <w:right w:val="none" w:sz="0" w:space="0" w:color="auto"/>
      </w:divBdr>
    </w:div>
    <w:div w:id="493762293">
      <w:bodyDiv w:val="1"/>
      <w:marLeft w:val="0"/>
      <w:marRight w:val="0"/>
      <w:marTop w:val="0"/>
      <w:marBottom w:val="0"/>
      <w:divBdr>
        <w:top w:val="none" w:sz="0" w:space="0" w:color="auto"/>
        <w:left w:val="none" w:sz="0" w:space="0" w:color="auto"/>
        <w:bottom w:val="none" w:sz="0" w:space="0" w:color="auto"/>
        <w:right w:val="none" w:sz="0" w:space="0" w:color="auto"/>
      </w:divBdr>
    </w:div>
    <w:div w:id="493954109">
      <w:bodyDiv w:val="1"/>
      <w:marLeft w:val="0"/>
      <w:marRight w:val="0"/>
      <w:marTop w:val="0"/>
      <w:marBottom w:val="0"/>
      <w:divBdr>
        <w:top w:val="none" w:sz="0" w:space="0" w:color="auto"/>
        <w:left w:val="none" w:sz="0" w:space="0" w:color="auto"/>
        <w:bottom w:val="none" w:sz="0" w:space="0" w:color="auto"/>
        <w:right w:val="none" w:sz="0" w:space="0" w:color="auto"/>
      </w:divBdr>
    </w:div>
    <w:div w:id="498813625">
      <w:bodyDiv w:val="1"/>
      <w:marLeft w:val="0"/>
      <w:marRight w:val="0"/>
      <w:marTop w:val="0"/>
      <w:marBottom w:val="0"/>
      <w:divBdr>
        <w:top w:val="none" w:sz="0" w:space="0" w:color="auto"/>
        <w:left w:val="none" w:sz="0" w:space="0" w:color="auto"/>
        <w:bottom w:val="none" w:sz="0" w:space="0" w:color="auto"/>
        <w:right w:val="none" w:sz="0" w:space="0" w:color="auto"/>
      </w:divBdr>
    </w:div>
    <w:div w:id="510491893">
      <w:bodyDiv w:val="1"/>
      <w:marLeft w:val="0"/>
      <w:marRight w:val="0"/>
      <w:marTop w:val="0"/>
      <w:marBottom w:val="0"/>
      <w:divBdr>
        <w:top w:val="none" w:sz="0" w:space="0" w:color="auto"/>
        <w:left w:val="none" w:sz="0" w:space="0" w:color="auto"/>
        <w:bottom w:val="none" w:sz="0" w:space="0" w:color="auto"/>
        <w:right w:val="none" w:sz="0" w:space="0" w:color="auto"/>
      </w:divBdr>
    </w:div>
    <w:div w:id="511184624">
      <w:bodyDiv w:val="1"/>
      <w:marLeft w:val="0"/>
      <w:marRight w:val="0"/>
      <w:marTop w:val="0"/>
      <w:marBottom w:val="0"/>
      <w:divBdr>
        <w:top w:val="none" w:sz="0" w:space="0" w:color="auto"/>
        <w:left w:val="none" w:sz="0" w:space="0" w:color="auto"/>
        <w:bottom w:val="none" w:sz="0" w:space="0" w:color="auto"/>
        <w:right w:val="none" w:sz="0" w:space="0" w:color="auto"/>
      </w:divBdr>
    </w:div>
    <w:div w:id="512112047">
      <w:bodyDiv w:val="1"/>
      <w:marLeft w:val="0"/>
      <w:marRight w:val="0"/>
      <w:marTop w:val="0"/>
      <w:marBottom w:val="0"/>
      <w:divBdr>
        <w:top w:val="none" w:sz="0" w:space="0" w:color="auto"/>
        <w:left w:val="none" w:sz="0" w:space="0" w:color="auto"/>
        <w:bottom w:val="none" w:sz="0" w:space="0" w:color="auto"/>
        <w:right w:val="none" w:sz="0" w:space="0" w:color="auto"/>
      </w:divBdr>
    </w:div>
    <w:div w:id="529420972">
      <w:bodyDiv w:val="1"/>
      <w:marLeft w:val="0"/>
      <w:marRight w:val="0"/>
      <w:marTop w:val="0"/>
      <w:marBottom w:val="0"/>
      <w:divBdr>
        <w:top w:val="none" w:sz="0" w:space="0" w:color="auto"/>
        <w:left w:val="none" w:sz="0" w:space="0" w:color="auto"/>
        <w:bottom w:val="none" w:sz="0" w:space="0" w:color="auto"/>
        <w:right w:val="none" w:sz="0" w:space="0" w:color="auto"/>
      </w:divBdr>
    </w:div>
    <w:div w:id="531918858">
      <w:bodyDiv w:val="1"/>
      <w:marLeft w:val="0"/>
      <w:marRight w:val="0"/>
      <w:marTop w:val="0"/>
      <w:marBottom w:val="0"/>
      <w:divBdr>
        <w:top w:val="none" w:sz="0" w:space="0" w:color="auto"/>
        <w:left w:val="none" w:sz="0" w:space="0" w:color="auto"/>
        <w:bottom w:val="none" w:sz="0" w:space="0" w:color="auto"/>
        <w:right w:val="none" w:sz="0" w:space="0" w:color="auto"/>
      </w:divBdr>
    </w:div>
    <w:div w:id="533539524">
      <w:bodyDiv w:val="1"/>
      <w:marLeft w:val="0"/>
      <w:marRight w:val="0"/>
      <w:marTop w:val="0"/>
      <w:marBottom w:val="0"/>
      <w:divBdr>
        <w:top w:val="none" w:sz="0" w:space="0" w:color="auto"/>
        <w:left w:val="none" w:sz="0" w:space="0" w:color="auto"/>
        <w:bottom w:val="none" w:sz="0" w:space="0" w:color="auto"/>
        <w:right w:val="none" w:sz="0" w:space="0" w:color="auto"/>
      </w:divBdr>
    </w:div>
    <w:div w:id="544950586">
      <w:bodyDiv w:val="1"/>
      <w:marLeft w:val="0"/>
      <w:marRight w:val="0"/>
      <w:marTop w:val="0"/>
      <w:marBottom w:val="0"/>
      <w:divBdr>
        <w:top w:val="none" w:sz="0" w:space="0" w:color="auto"/>
        <w:left w:val="none" w:sz="0" w:space="0" w:color="auto"/>
        <w:bottom w:val="none" w:sz="0" w:space="0" w:color="auto"/>
        <w:right w:val="none" w:sz="0" w:space="0" w:color="auto"/>
      </w:divBdr>
    </w:div>
    <w:div w:id="549613889">
      <w:bodyDiv w:val="1"/>
      <w:marLeft w:val="0"/>
      <w:marRight w:val="0"/>
      <w:marTop w:val="0"/>
      <w:marBottom w:val="0"/>
      <w:divBdr>
        <w:top w:val="none" w:sz="0" w:space="0" w:color="auto"/>
        <w:left w:val="none" w:sz="0" w:space="0" w:color="auto"/>
        <w:bottom w:val="none" w:sz="0" w:space="0" w:color="auto"/>
        <w:right w:val="none" w:sz="0" w:space="0" w:color="auto"/>
      </w:divBdr>
    </w:div>
    <w:div w:id="557133154">
      <w:bodyDiv w:val="1"/>
      <w:marLeft w:val="0"/>
      <w:marRight w:val="0"/>
      <w:marTop w:val="0"/>
      <w:marBottom w:val="0"/>
      <w:divBdr>
        <w:top w:val="none" w:sz="0" w:space="0" w:color="auto"/>
        <w:left w:val="none" w:sz="0" w:space="0" w:color="auto"/>
        <w:bottom w:val="none" w:sz="0" w:space="0" w:color="auto"/>
        <w:right w:val="none" w:sz="0" w:space="0" w:color="auto"/>
      </w:divBdr>
    </w:div>
    <w:div w:id="558589033">
      <w:bodyDiv w:val="1"/>
      <w:marLeft w:val="0"/>
      <w:marRight w:val="0"/>
      <w:marTop w:val="0"/>
      <w:marBottom w:val="0"/>
      <w:divBdr>
        <w:top w:val="none" w:sz="0" w:space="0" w:color="auto"/>
        <w:left w:val="none" w:sz="0" w:space="0" w:color="auto"/>
        <w:bottom w:val="none" w:sz="0" w:space="0" w:color="auto"/>
        <w:right w:val="none" w:sz="0" w:space="0" w:color="auto"/>
      </w:divBdr>
    </w:div>
    <w:div w:id="559097520">
      <w:bodyDiv w:val="1"/>
      <w:marLeft w:val="0"/>
      <w:marRight w:val="0"/>
      <w:marTop w:val="0"/>
      <w:marBottom w:val="0"/>
      <w:divBdr>
        <w:top w:val="none" w:sz="0" w:space="0" w:color="auto"/>
        <w:left w:val="none" w:sz="0" w:space="0" w:color="auto"/>
        <w:bottom w:val="none" w:sz="0" w:space="0" w:color="auto"/>
        <w:right w:val="none" w:sz="0" w:space="0" w:color="auto"/>
      </w:divBdr>
    </w:div>
    <w:div w:id="563492865">
      <w:bodyDiv w:val="1"/>
      <w:marLeft w:val="0"/>
      <w:marRight w:val="0"/>
      <w:marTop w:val="0"/>
      <w:marBottom w:val="0"/>
      <w:divBdr>
        <w:top w:val="none" w:sz="0" w:space="0" w:color="auto"/>
        <w:left w:val="none" w:sz="0" w:space="0" w:color="auto"/>
        <w:bottom w:val="none" w:sz="0" w:space="0" w:color="auto"/>
        <w:right w:val="none" w:sz="0" w:space="0" w:color="auto"/>
      </w:divBdr>
    </w:div>
    <w:div w:id="563609757">
      <w:bodyDiv w:val="1"/>
      <w:marLeft w:val="0"/>
      <w:marRight w:val="0"/>
      <w:marTop w:val="0"/>
      <w:marBottom w:val="0"/>
      <w:divBdr>
        <w:top w:val="none" w:sz="0" w:space="0" w:color="auto"/>
        <w:left w:val="none" w:sz="0" w:space="0" w:color="auto"/>
        <w:bottom w:val="none" w:sz="0" w:space="0" w:color="auto"/>
        <w:right w:val="none" w:sz="0" w:space="0" w:color="auto"/>
      </w:divBdr>
    </w:div>
    <w:div w:id="564415626">
      <w:bodyDiv w:val="1"/>
      <w:marLeft w:val="0"/>
      <w:marRight w:val="0"/>
      <w:marTop w:val="0"/>
      <w:marBottom w:val="0"/>
      <w:divBdr>
        <w:top w:val="none" w:sz="0" w:space="0" w:color="auto"/>
        <w:left w:val="none" w:sz="0" w:space="0" w:color="auto"/>
        <w:bottom w:val="none" w:sz="0" w:space="0" w:color="auto"/>
        <w:right w:val="none" w:sz="0" w:space="0" w:color="auto"/>
      </w:divBdr>
    </w:div>
    <w:div w:id="569853918">
      <w:bodyDiv w:val="1"/>
      <w:marLeft w:val="0"/>
      <w:marRight w:val="0"/>
      <w:marTop w:val="0"/>
      <w:marBottom w:val="0"/>
      <w:divBdr>
        <w:top w:val="none" w:sz="0" w:space="0" w:color="auto"/>
        <w:left w:val="none" w:sz="0" w:space="0" w:color="auto"/>
        <w:bottom w:val="none" w:sz="0" w:space="0" w:color="auto"/>
        <w:right w:val="none" w:sz="0" w:space="0" w:color="auto"/>
      </w:divBdr>
    </w:div>
    <w:div w:id="570509240">
      <w:bodyDiv w:val="1"/>
      <w:marLeft w:val="0"/>
      <w:marRight w:val="0"/>
      <w:marTop w:val="0"/>
      <w:marBottom w:val="0"/>
      <w:divBdr>
        <w:top w:val="none" w:sz="0" w:space="0" w:color="auto"/>
        <w:left w:val="none" w:sz="0" w:space="0" w:color="auto"/>
        <w:bottom w:val="none" w:sz="0" w:space="0" w:color="auto"/>
        <w:right w:val="none" w:sz="0" w:space="0" w:color="auto"/>
      </w:divBdr>
    </w:div>
    <w:div w:id="573206346">
      <w:bodyDiv w:val="1"/>
      <w:marLeft w:val="0"/>
      <w:marRight w:val="0"/>
      <w:marTop w:val="0"/>
      <w:marBottom w:val="0"/>
      <w:divBdr>
        <w:top w:val="none" w:sz="0" w:space="0" w:color="auto"/>
        <w:left w:val="none" w:sz="0" w:space="0" w:color="auto"/>
        <w:bottom w:val="none" w:sz="0" w:space="0" w:color="auto"/>
        <w:right w:val="none" w:sz="0" w:space="0" w:color="auto"/>
      </w:divBdr>
    </w:div>
    <w:div w:id="574170790">
      <w:bodyDiv w:val="1"/>
      <w:marLeft w:val="0"/>
      <w:marRight w:val="0"/>
      <w:marTop w:val="0"/>
      <w:marBottom w:val="0"/>
      <w:divBdr>
        <w:top w:val="none" w:sz="0" w:space="0" w:color="auto"/>
        <w:left w:val="none" w:sz="0" w:space="0" w:color="auto"/>
        <w:bottom w:val="none" w:sz="0" w:space="0" w:color="auto"/>
        <w:right w:val="none" w:sz="0" w:space="0" w:color="auto"/>
      </w:divBdr>
    </w:div>
    <w:div w:id="575480169">
      <w:bodyDiv w:val="1"/>
      <w:marLeft w:val="0"/>
      <w:marRight w:val="0"/>
      <w:marTop w:val="0"/>
      <w:marBottom w:val="0"/>
      <w:divBdr>
        <w:top w:val="none" w:sz="0" w:space="0" w:color="auto"/>
        <w:left w:val="none" w:sz="0" w:space="0" w:color="auto"/>
        <w:bottom w:val="none" w:sz="0" w:space="0" w:color="auto"/>
        <w:right w:val="none" w:sz="0" w:space="0" w:color="auto"/>
      </w:divBdr>
    </w:div>
    <w:div w:id="578054658">
      <w:bodyDiv w:val="1"/>
      <w:marLeft w:val="0"/>
      <w:marRight w:val="0"/>
      <w:marTop w:val="0"/>
      <w:marBottom w:val="0"/>
      <w:divBdr>
        <w:top w:val="none" w:sz="0" w:space="0" w:color="auto"/>
        <w:left w:val="none" w:sz="0" w:space="0" w:color="auto"/>
        <w:bottom w:val="none" w:sz="0" w:space="0" w:color="auto"/>
        <w:right w:val="none" w:sz="0" w:space="0" w:color="auto"/>
      </w:divBdr>
    </w:div>
    <w:div w:id="578712089">
      <w:bodyDiv w:val="1"/>
      <w:marLeft w:val="0"/>
      <w:marRight w:val="0"/>
      <w:marTop w:val="0"/>
      <w:marBottom w:val="0"/>
      <w:divBdr>
        <w:top w:val="none" w:sz="0" w:space="0" w:color="auto"/>
        <w:left w:val="none" w:sz="0" w:space="0" w:color="auto"/>
        <w:bottom w:val="none" w:sz="0" w:space="0" w:color="auto"/>
        <w:right w:val="none" w:sz="0" w:space="0" w:color="auto"/>
      </w:divBdr>
    </w:div>
    <w:div w:id="579825431">
      <w:bodyDiv w:val="1"/>
      <w:marLeft w:val="0"/>
      <w:marRight w:val="0"/>
      <w:marTop w:val="0"/>
      <w:marBottom w:val="0"/>
      <w:divBdr>
        <w:top w:val="none" w:sz="0" w:space="0" w:color="auto"/>
        <w:left w:val="none" w:sz="0" w:space="0" w:color="auto"/>
        <w:bottom w:val="none" w:sz="0" w:space="0" w:color="auto"/>
        <w:right w:val="none" w:sz="0" w:space="0" w:color="auto"/>
      </w:divBdr>
    </w:div>
    <w:div w:id="582764919">
      <w:bodyDiv w:val="1"/>
      <w:marLeft w:val="0"/>
      <w:marRight w:val="0"/>
      <w:marTop w:val="0"/>
      <w:marBottom w:val="0"/>
      <w:divBdr>
        <w:top w:val="none" w:sz="0" w:space="0" w:color="auto"/>
        <w:left w:val="none" w:sz="0" w:space="0" w:color="auto"/>
        <w:bottom w:val="none" w:sz="0" w:space="0" w:color="auto"/>
        <w:right w:val="none" w:sz="0" w:space="0" w:color="auto"/>
      </w:divBdr>
    </w:div>
    <w:div w:id="585698259">
      <w:bodyDiv w:val="1"/>
      <w:marLeft w:val="0"/>
      <w:marRight w:val="0"/>
      <w:marTop w:val="0"/>
      <w:marBottom w:val="0"/>
      <w:divBdr>
        <w:top w:val="none" w:sz="0" w:space="0" w:color="auto"/>
        <w:left w:val="none" w:sz="0" w:space="0" w:color="auto"/>
        <w:bottom w:val="none" w:sz="0" w:space="0" w:color="auto"/>
        <w:right w:val="none" w:sz="0" w:space="0" w:color="auto"/>
      </w:divBdr>
    </w:div>
    <w:div w:id="587662918">
      <w:bodyDiv w:val="1"/>
      <w:marLeft w:val="0"/>
      <w:marRight w:val="0"/>
      <w:marTop w:val="0"/>
      <w:marBottom w:val="0"/>
      <w:divBdr>
        <w:top w:val="none" w:sz="0" w:space="0" w:color="auto"/>
        <w:left w:val="none" w:sz="0" w:space="0" w:color="auto"/>
        <w:bottom w:val="none" w:sz="0" w:space="0" w:color="auto"/>
        <w:right w:val="none" w:sz="0" w:space="0" w:color="auto"/>
      </w:divBdr>
    </w:div>
    <w:div w:id="592053839">
      <w:bodyDiv w:val="1"/>
      <w:marLeft w:val="0"/>
      <w:marRight w:val="0"/>
      <w:marTop w:val="0"/>
      <w:marBottom w:val="0"/>
      <w:divBdr>
        <w:top w:val="none" w:sz="0" w:space="0" w:color="auto"/>
        <w:left w:val="none" w:sz="0" w:space="0" w:color="auto"/>
        <w:bottom w:val="none" w:sz="0" w:space="0" w:color="auto"/>
        <w:right w:val="none" w:sz="0" w:space="0" w:color="auto"/>
      </w:divBdr>
    </w:div>
    <w:div w:id="593825321">
      <w:bodyDiv w:val="1"/>
      <w:marLeft w:val="0"/>
      <w:marRight w:val="0"/>
      <w:marTop w:val="0"/>
      <w:marBottom w:val="0"/>
      <w:divBdr>
        <w:top w:val="none" w:sz="0" w:space="0" w:color="auto"/>
        <w:left w:val="none" w:sz="0" w:space="0" w:color="auto"/>
        <w:bottom w:val="none" w:sz="0" w:space="0" w:color="auto"/>
        <w:right w:val="none" w:sz="0" w:space="0" w:color="auto"/>
      </w:divBdr>
    </w:div>
    <w:div w:id="594943296">
      <w:bodyDiv w:val="1"/>
      <w:marLeft w:val="0"/>
      <w:marRight w:val="0"/>
      <w:marTop w:val="0"/>
      <w:marBottom w:val="0"/>
      <w:divBdr>
        <w:top w:val="none" w:sz="0" w:space="0" w:color="auto"/>
        <w:left w:val="none" w:sz="0" w:space="0" w:color="auto"/>
        <w:bottom w:val="none" w:sz="0" w:space="0" w:color="auto"/>
        <w:right w:val="none" w:sz="0" w:space="0" w:color="auto"/>
      </w:divBdr>
    </w:div>
    <w:div w:id="595097760">
      <w:bodyDiv w:val="1"/>
      <w:marLeft w:val="0"/>
      <w:marRight w:val="0"/>
      <w:marTop w:val="0"/>
      <w:marBottom w:val="0"/>
      <w:divBdr>
        <w:top w:val="none" w:sz="0" w:space="0" w:color="auto"/>
        <w:left w:val="none" w:sz="0" w:space="0" w:color="auto"/>
        <w:bottom w:val="none" w:sz="0" w:space="0" w:color="auto"/>
        <w:right w:val="none" w:sz="0" w:space="0" w:color="auto"/>
      </w:divBdr>
    </w:div>
    <w:div w:id="597443663">
      <w:bodyDiv w:val="1"/>
      <w:marLeft w:val="0"/>
      <w:marRight w:val="0"/>
      <w:marTop w:val="0"/>
      <w:marBottom w:val="0"/>
      <w:divBdr>
        <w:top w:val="none" w:sz="0" w:space="0" w:color="auto"/>
        <w:left w:val="none" w:sz="0" w:space="0" w:color="auto"/>
        <w:bottom w:val="none" w:sz="0" w:space="0" w:color="auto"/>
        <w:right w:val="none" w:sz="0" w:space="0" w:color="auto"/>
      </w:divBdr>
    </w:div>
    <w:div w:id="604969607">
      <w:bodyDiv w:val="1"/>
      <w:marLeft w:val="0"/>
      <w:marRight w:val="0"/>
      <w:marTop w:val="0"/>
      <w:marBottom w:val="0"/>
      <w:divBdr>
        <w:top w:val="none" w:sz="0" w:space="0" w:color="auto"/>
        <w:left w:val="none" w:sz="0" w:space="0" w:color="auto"/>
        <w:bottom w:val="none" w:sz="0" w:space="0" w:color="auto"/>
        <w:right w:val="none" w:sz="0" w:space="0" w:color="auto"/>
      </w:divBdr>
    </w:div>
    <w:div w:id="606498573">
      <w:bodyDiv w:val="1"/>
      <w:marLeft w:val="0"/>
      <w:marRight w:val="0"/>
      <w:marTop w:val="0"/>
      <w:marBottom w:val="0"/>
      <w:divBdr>
        <w:top w:val="none" w:sz="0" w:space="0" w:color="auto"/>
        <w:left w:val="none" w:sz="0" w:space="0" w:color="auto"/>
        <w:bottom w:val="none" w:sz="0" w:space="0" w:color="auto"/>
        <w:right w:val="none" w:sz="0" w:space="0" w:color="auto"/>
      </w:divBdr>
    </w:div>
    <w:div w:id="606623799">
      <w:bodyDiv w:val="1"/>
      <w:marLeft w:val="0"/>
      <w:marRight w:val="0"/>
      <w:marTop w:val="0"/>
      <w:marBottom w:val="0"/>
      <w:divBdr>
        <w:top w:val="none" w:sz="0" w:space="0" w:color="auto"/>
        <w:left w:val="none" w:sz="0" w:space="0" w:color="auto"/>
        <w:bottom w:val="none" w:sz="0" w:space="0" w:color="auto"/>
        <w:right w:val="none" w:sz="0" w:space="0" w:color="auto"/>
      </w:divBdr>
    </w:div>
    <w:div w:id="611019014">
      <w:bodyDiv w:val="1"/>
      <w:marLeft w:val="0"/>
      <w:marRight w:val="0"/>
      <w:marTop w:val="0"/>
      <w:marBottom w:val="0"/>
      <w:divBdr>
        <w:top w:val="none" w:sz="0" w:space="0" w:color="auto"/>
        <w:left w:val="none" w:sz="0" w:space="0" w:color="auto"/>
        <w:bottom w:val="none" w:sz="0" w:space="0" w:color="auto"/>
        <w:right w:val="none" w:sz="0" w:space="0" w:color="auto"/>
      </w:divBdr>
    </w:div>
    <w:div w:id="616107582">
      <w:bodyDiv w:val="1"/>
      <w:marLeft w:val="0"/>
      <w:marRight w:val="0"/>
      <w:marTop w:val="0"/>
      <w:marBottom w:val="0"/>
      <w:divBdr>
        <w:top w:val="none" w:sz="0" w:space="0" w:color="auto"/>
        <w:left w:val="none" w:sz="0" w:space="0" w:color="auto"/>
        <w:bottom w:val="none" w:sz="0" w:space="0" w:color="auto"/>
        <w:right w:val="none" w:sz="0" w:space="0" w:color="auto"/>
      </w:divBdr>
    </w:div>
    <w:div w:id="618226709">
      <w:bodyDiv w:val="1"/>
      <w:marLeft w:val="0"/>
      <w:marRight w:val="0"/>
      <w:marTop w:val="0"/>
      <w:marBottom w:val="0"/>
      <w:divBdr>
        <w:top w:val="none" w:sz="0" w:space="0" w:color="auto"/>
        <w:left w:val="none" w:sz="0" w:space="0" w:color="auto"/>
        <w:bottom w:val="none" w:sz="0" w:space="0" w:color="auto"/>
        <w:right w:val="none" w:sz="0" w:space="0" w:color="auto"/>
      </w:divBdr>
    </w:div>
    <w:div w:id="619142526">
      <w:bodyDiv w:val="1"/>
      <w:marLeft w:val="0"/>
      <w:marRight w:val="0"/>
      <w:marTop w:val="0"/>
      <w:marBottom w:val="0"/>
      <w:divBdr>
        <w:top w:val="none" w:sz="0" w:space="0" w:color="auto"/>
        <w:left w:val="none" w:sz="0" w:space="0" w:color="auto"/>
        <w:bottom w:val="none" w:sz="0" w:space="0" w:color="auto"/>
        <w:right w:val="none" w:sz="0" w:space="0" w:color="auto"/>
      </w:divBdr>
    </w:div>
    <w:div w:id="620259398">
      <w:bodyDiv w:val="1"/>
      <w:marLeft w:val="0"/>
      <w:marRight w:val="0"/>
      <w:marTop w:val="0"/>
      <w:marBottom w:val="0"/>
      <w:divBdr>
        <w:top w:val="none" w:sz="0" w:space="0" w:color="auto"/>
        <w:left w:val="none" w:sz="0" w:space="0" w:color="auto"/>
        <w:bottom w:val="none" w:sz="0" w:space="0" w:color="auto"/>
        <w:right w:val="none" w:sz="0" w:space="0" w:color="auto"/>
      </w:divBdr>
    </w:div>
    <w:div w:id="620382243">
      <w:bodyDiv w:val="1"/>
      <w:marLeft w:val="0"/>
      <w:marRight w:val="0"/>
      <w:marTop w:val="0"/>
      <w:marBottom w:val="0"/>
      <w:divBdr>
        <w:top w:val="none" w:sz="0" w:space="0" w:color="auto"/>
        <w:left w:val="none" w:sz="0" w:space="0" w:color="auto"/>
        <w:bottom w:val="none" w:sz="0" w:space="0" w:color="auto"/>
        <w:right w:val="none" w:sz="0" w:space="0" w:color="auto"/>
      </w:divBdr>
    </w:div>
    <w:div w:id="623313410">
      <w:bodyDiv w:val="1"/>
      <w:marLeft w:val="0"/>
      <w:marRight w:val="0"/>
      <w:marTop w:val="0"/>
      <w:marBottom w:val="0"/>
      <w:divBdr>
        <w:top w:val="none" w:sz="0" w:space="0" w:color="auto"/>
        <w:left w:val="none" w:sz="0" w:space="0" w:color="auto"/>
        <w:bottom w:val="none" w:sz="0" w:space="0" w:color="auto"/>
        <w:right w:val="none" w:sz="0" w:space="0" w:color="auto"/>
      </w:divBdr>
    </w:div>
    <w:div w:id="629945027">
      <w:bodyDiv w:val="1"/>
      <w:marLeft w:val="0"/>
      <w:marRight w:val="0"/>
      <w:marTop w:val="0"/>
      <w:marBottom w:val="0"/>
      <w:divBdr>
        <w:top w:val="none" w:sz="0" w:space="0" w:color="auto"/>
        <w:left w:val="none" w:sz="0" w:space="0" w:color="auto"/>
        <w:bottom w:val="none" w:sz="0" w:space="0" w:color="auto"/>
        <w:right w:val="none" w:sz="0" w:space="0" w:color="auto"/>
      </w:divBdr>
    </w:div>
    <w:div w:id="630018884">
      <w:bodyDiv w:val="1"/>
      <w:marLeft w:val="0"/>
      <w:marRight w:val="0"/>
      <w:marTop w:val="0"/>
      <w:marBottom w:val="0"/>
      <w:divBdr>
        <w:top w:val="none" w:sz="0" w:space="0" w:color="auto"/>
        <w:left w:val="none" w:sz="0" w:space="0" w:color="auto"/>
        <w:bottom w:val="none" w:sz="0" w:space="0" w:color="auto"/>
        <w:right w:val="none" w:sz="0" w:space="0" w:color="auto"/>
      </w:divBdr>
    </w:div>
    <w:div w:id="633028153">
      <w:bodyDiv w:val="1"/>
      <w:marLeft w:val="0"/>
      <w:marRight w:val="0"/>
      <w:marTop w:val="0"/>
      <w:marBottom w:val="0"/>
      <w:divBdr>
        <w:top w:val="none" w:sz="0" w:space="0" w:color="auto"/>
        <w:left w:val="none" w:sz="0" w:space="0" w:color="auto"/>
        <w:bottom w:val="none" w:sz="0" w:space="0" w:color="auto"/>
        <w:right w:val="none" w:sz="0" w:space="0" w:color="auto"/>
      </w:divBdr>
    </w:div>
    <w:div w:id="634146471">
      <w:bodyDiv w:val="1"/>
      <w:marLeft w:val="0"/>
      <w:marRight w:val="0"/>
      <w:marTop w:val="0"/>
      <w:marBottom w:val="0"/>
      <w:divBdr>
        <w:top w:val="none" w:sz="0" w:space="0" w:color="auto"/>
        <w:left w:val="none" w:sz="0" w:space="0" w:color="auto"/>
        <w:bottom w:val="none" w:sz="0" w:space="0" w:color="auto"/>
        <w:right w:val="none" w:sz="0" w:space="0" w:color="auto"/>
      </w:divBdr>
    </w:div>
    <w:div w:id="647631924">
      <w:bodyDiv w:val="1"/>
      <w:marLeft w:val="0"/>
      <w:marRight w:val="0"/>
      <w:marTop w:val="0"/>
      <w:marBottom w:val="0"/>
      <w:divBdr>
        <w:top w:val="none" w:sz="0" w:space="0" w:color="auto"/>
        <w:left w:val="none" w:sz="0" w:space="0" w:color="auto"/>
        <w:bottom w:val="none" w:sz="0" w:space="0" w:color="auto"/>
        <w:right w:val="none" w:sz="0" w:space="0" w:color="auto"/>
      </w:divBdr>
    </w:div>
    <w:div w:id="650985235">
      <w:bodyDiv w:val="1"/>
      <w:marLeft w:val="0"/>
      <w:marRight w:val="0"/>
      <w:marTop w:val="0"/>
      <w:marBottom w:val="0"/>
      <w:divBdr>
        <w:top w:val="none" w:sz="0" w:space="0" w:color="auto"/>
        <w:left w:val="none" w:sz="0" w:space="0" w:color="auto"/>
        <w:bottom w:val="none" w:sz="0" w:space="0" w:color="auto"/>
        <w:right w:val="none" w:sz="0" w:space="0" w:color="auto"/>
      </w:divBdr>
    </w:div>
    <w:div w:id="652560468">
      <w:bodyDiv w:val="1"/>
      <w:marLeft w:val="0"/>
      <w:marRight w:val="0"/>
      <w:marTop w:val="0"/>
      <w:marBottom w:val="0"/>
      <w:divBdr>
        <w:top w:val="none" w:sz="0" w:space="0" w:color="auto"/>
        <w:left w:val="none" w:sz="0" w:space="0" w:color="auto"/>
        <w:bottom w:val="none" w:sz="0" w:space="0" w:color="auto"/>
        <w:right w:val="none" w:sz="0" w:space="0" w:color="auto"/>
      </w:divBdr>
    </w:div>
    <w:div w:id="653027803">
      <w:bodyDiv w:val="1"/>
      <w:marLeft w:val="0"/>
      <w:marRight w:val="0"/>
      <w:marTop w:val="0"/>
      <w:marBottom w:val="0"/>
      <w:divBdr>
        <w:top w:val="none" w:sz="0" w:space="0" w:color="auto"/>
        <w:left w:val="none" w:sz="0" w:space="0" w:color="auto"/>
        <w:bottom w:val="none" w:sz="0" w:space="0" w:color="auto"/>
        <w:right w:val="none" w:sz="0" w:space="0" w:color="auto"/>
      </w:divBdr>
    </w:div>
    <w:div w:id="654262255">
      <w:bodyDiv w:val="1"/>
      <w:marLeft w:val="0"/>
      <w:marRight w:val="0"/>
      <w:marTop w:val="0"/>
      <w:marBottom w:val="0"/>
      <w:divBdr>
        <w:top w:val="none" w:sz="0" w:space="0" w:color="auto"/>
        <w:left w:val="none" w:sz="0" w:space="0" w:color="auto"/>
        <w:bottom w:val="none" w:sz="0" w:space="0" w:color="auto"/>
        <w:right w:val="none" w:sz="0" w:space="0" w:color="auto"/>
      </w:divBdr>
    </w:div>
    <w:div w:id="656766751">
      <w:bodyDiv w:val="1"/>
      <w:marLeft w:val="0"/>
      <w:marRight w:val="0"/>
      <w:marTop w:val="0"/>
      <w:marBottom w:val="0"/>
      <w:divBdr>
        <w:top w:val="none" w:sz="0" w:space="0" w:color="auto"/>
        <w:left w:val="none" w:sz="0" w:space="0" w:color="auto"/>
        <w:bottom w:val="none" w:sz="0" w:space="0" w:color="auto"/>
        <w:right w:val="none" w:sz="0" w:space="0" w:color="auto"/>
      </w:divBdr>
    </w:div>
    <w:div w:id="660819493">
      <w:bodyDiv w:val="1"/>
      <w:marLeft w:val="0"/>
      <w:marRight w:val="0"/>
      <w:marTop w:val="0"/>
      <w:marBottom w:val="0"/>
      <w:divBdr>
        <w:top w:val="none" w:sz="0" w:space="0" w:color="auto"/>
        <w:left w:val="none" w:sz="0" w:space="0" w:color="auto"/>
        <w:bottom w:val="none" w:sz="0" w:space="0" w:color="auto"/>
        <w:right w:val="none" w:sz="0" w:space="0" w:color="auto"/>
      </w:divBdr>
    </w:div>
    <w:div w:id="663625388">
      <w:bodyDiv w:val="1"/>
      <w:marLeft w:val="0"/>
      <w:marRight w:val="0"/>
      <w:marTop w:val="0"/>
      <w:marBottom w:val="0"/>
      <w:divBdr>
        <w:top w:val="none" w:sz="0" w:space="0" w:color="auto"/>
        <w:left w:val="none" w:sz="0" w:space="0" w:color="auto"/>
        <w:bottom w:val="none" w:sz="0" w:space="0" w:color="auto"/>
        <w:right w:val="none" w:sz="0" w:space="0" w:color="auto"/>
      </w:divBdr>
    </w:div>
    <w:div w:id="665940865">
      <w:bodyDiv w:val="1"/>
      <w:marLeft w:val="0"/>
      <w:marRight w:val="0"/>
      <w:marTop w:val="0"/>
      <w:marBottom w:val="0"/>
      <w:divBdr>
        <w:top w:val="none" w:sz="0" w:space="0" w:color="auto"/>
        <w:left w:val="none" w:sz="0" w:space="0" w:color="auto"/>
        <w:bottom w:val="none" w:sz="0" w:space="0" w:color="auto"/>
        <w:right w:val="none" w:sz="0" w:space="0" w:color="auto"/>
      </w:divBdr>
    </w:div>
    <w:div w:id="665982253">
      <w:bodyDiv w:val="1"/>
      <w:marLeft w:val="0"/>
      <w:marRight w:val="0"/>
      <w:marTop w:val="0"/>
      <w:marBottom w:val="0"/>
      <w:divBdr>
        <w:top w:val="none" w:sz="0" w:space="0" w:color="auto"/>
        <w:left w:val="none" w:sz="0" w:space="0" w:color="auto"/>
        <w:bottom w:val="none" w:sz="0" w:space="0" w:color="auto"/>
        <w:right w:val="none" w:sz="0" w:space="0" w:color="auto"/>
      </w:divBdr>
    </w:div>
    <w:div w:id="666831289">
      <w:bodyDiv w:val="1"/>
      <w:marLeft w:val="0"/>
      <w:marRight w:val="0"/>
      <w:marTop w:val="0"/>
      <w:marBottom w:val="0"/>
      <w:divBdr>
        <w:top w:val="none" w:sz="0" w:space="0" w:color="auto"/>
        <w:left w:val="none" w:sz="0" w:space="0" w:color="auto"/>
        <w:bottom w:val="none" w:sz="0" w:space="0" w:color="auto"/>
        <w:right w:val="none" w:sz="0" w:space="0" w:color="auto"/>
      </w:divBdr>
    </w:div>
    <w:div w:id="666859767">
      <w:bodyDiv w:val="1"/>
      <w:marLeft w:val="0"/>
      <w:marRight w:val="0"/>
      <w:marTop w:val="0"/>
      <w:marBottom w:val="0"/>
      <w:divBdr>
        <w:top w:val="none" w:sz="0" w:space="0" w:color="auto"/>
        <w:left w:val="none" w:sz="0" w:space="0" w:color="auto"/>
        <w:bottom w:val="none" w:sz="0" w:space="0" w:color="auto"/>
        <w:right w:val="none" w:sz="0" w:space="0" w:color="auto"/>
      </w:divBdr>
    </w:div>
    <w:div w:id="675381026">
      <w:bodyDiv w:val="1"/>
      <w:marLeft w:val="0"/>
      <w:marRight w:val="0"/>
      <w:marTop w:val="0"/>
      <w:marBottom w:val="0"/>
      <w:divBdr>
        <w:top w:val="none" w:sz="0" w:space="0" w:color="auto"/>
        <w:left w:val="none" w:sz="0" w:space="0" w:color="auto"/>
        <w:bottom w:val="none" w:sz="0" w:space="0" w:color="auto"/>
        <w:right w:val="none" w:sz="0" w:space="0" w:color="auto"/>
      </w:divBdr>
    </w:div>
    <w:div w:id="675882988">
      <w:bodyDiv w:val="1"/>
      <w:marLeft w:val="0"/>
      <w:marRight w:val="0"/>
      <w:marTop w:val="0"/>
      <w:marBottom w:val="0"/>
      <w:divBdr>
        <w:top w:val="none" w:sz="0" w:space="0" w:color="auto"/>
        <w:left w:val="none" w:sz="0" w:space="0" w:color="auto"/>
        <w:bottom w:val="none" w:sz="0" w:space="0" w:color="auto"/>
        <w:right w:val="none" w:sz="0" w:space="0" w:color="auto"/>
      </w:divBdr>
    </w:div>
    <w:div w:id="677999235">
      <w:bodyDiv w:val="1"/>
      <w:marLeft w:val="0"/>
      <w:marRight w:val="0"/>
      <w:marTop w:val="0"/>
      <w:marBottom w:val="0"/>
      <w:divBdr>
        <w:top w:val="none" w:sz="0" w:space="0" w:color="auto"/>
        <w:left w:val="none" w:sz="0" w:space="0" w:color="auto"/>
        <w:bottom w:val="none" w:sz="0" w:space="0" w:color="auto"/>
        <w:right w:val="none" w:sz="0" w:space="0" w:color="auto"/>
      </w:divBdr>
    </w:div>
    <w:div w:id="678434708">
      <w:bodyDiv w:val="1"/>
      <w:marLeft w:val="0"/>
      <w:marRight w:val="0"/>
      <w:marTop w:val="0"/>
      <w:marBottom w:val="0"/>
      <w:divBdr>
        <w:top w:val="none" w:sz="0" w:space="0" w:color="auto"/>
        <w:left w:val="none" w:sz="0" w:space="0" w:color="auto"/>
        <w:bottom w:val="none" w:sz="0" w:space="0" w:color="auto"/>
        <w:right w:val="none" w:sz="0" w:space="0" w:color="auto"/>
      </w:divBdr>
    </w:div>
    <w:div w:id="679893801">
      <w:bodyDiv w:val="1"/>
      <w:marLeft w:val="0"/>
      <w:marRight w:val="0"/>
      <w:marTop w:val="0"/>
      <w:marBottom w:val="0"/>
      <w:divBdr>
        <w:top w:val="none" w:sz="0" w:space="0" w:color="auto"/>
        <w:left w:val="none" w:sz="0" w:space="0" w:color="auto"/>
        <w:bottom w:val="none" w:sz="0" w:space="0" w:color="auto"/>
        <w:right w:val="none" w:sz="0" w:space="0" w:color="auto"/>
      </w:divBdr>
    </w:div>
    <w:div w:id="682129751">
      <w:bodyDiv w:val="1"/>
      <w:marLeft w:val="0"/>
      <w:marRight w:val="0"/>
      <w:marTop w:val="0"/>
      <w:marBottom w:val="0"/>
      <w:divBdr>
        <w:top w:val="none" w:sz="0" w:space="0" w:color="auto"/>
        <w:left w:val="none" w:sz="0" w:space="0" w:color="auto"/>
        <w:bottom w:val="none" w:sz="0" w:space="0" w:color="auto"/>
        <w:right w:val="none" w:sz="0" w:space="0" w:color="auto"/>
      </w:divBdr>
    </w:div>
    <w:div w:id="682438650">
      <w:bodyDiv w:val="1"/>
      <w:marLeft w:val="0"/>
      <w:marRight w:val="0"/>
      <w:marTop w:val="0"/>
      <w:marBottom w:val="0"/>
      <w:divBdr>
        <w:top w:val="none" w:sz="0" w:space="0" w:color="auto"/>
        <w:left w:val="none" w:sz="0" w:space="0" w:color="auto"/>
        <w:bottom w:val="none" w:sz="0" w:space="0" w:color="auto"/>
        <w:right w:val="none" w:sz="0" w:space="0" w:color="auto"/>
      </w:divBdr>
    </w:div>
    <w:div w:id="684332791">
      <w:bodyDiv w:val="1"/>
      <w:marLeft w:val="0"/>
      <w:marRight w:val="0"/>
      <w:marTop w:val="0"/>
      <w:marBottom w:val="0"/>
      <w:divBdr>
        <w:top w:val="none" w:sz="0" w:space="0" w:color="auto"/>
        <w:left w:val="none" w:sz="0" w:space="0" w:color="auto"/>
        <w:bottom w:val="none" w:sz="0" w:space="0" w:color="auto"/>
        <w:right w:val="none" w:sz="0" w:space="0" w:color="auto"/>
      </w:divBdr>
    </w:div>
    <w:div w:id="684403527">
      <w:bodyDiv w:val="1"/>
      <w:marLeft w:val="0"/>
      <w:marRight w:val="0"/>
      <w:marTop w:val="0"/>
      <w:marBottom w:val="0"/>
      <w:divBdr>
        <w:top w:val="none" w:sz="0" w:space="0" w:color="auto"/>
        <w:left w:val="none" w:sz="0" w:space="0" w:color="auto"/>
        <w:bottom w:val="none" w:sz="0" w:space="0" w:color="auto"/>
        <w:right w:val="none" w:sz="0" w:space="0" w:color="auto"/>
      </w:divBdr>
    </w:div>
    <w:div w:id="686253586">
      <w:bodyDiv w:val="1"/>
      <w:marLeft w:val="0"/>
      <w:marRight w:val="0"/>
      <w:marTop w:val="0"/>
      <w:marBottom w:val="0"/>
      <w:divBdr>
        <w:top w:val="none" w:sz="0" w:space="0" w:color="auto"/>
        <w:left w:val="none" w:sz="0" w:space="0" w:color="auto"/>
        <w:bottom w:val="none" w:sz="0" w:space="0" w:color="auto"/>
        <w:right w:val="none" w:sz="0" w:space="0" w:color="auto"/>
      </w:divBdr>
    </w:div>
    <w:div w:id="688601845">
      <w:bodyDiv w:val="1"/>
      <w:marLeft w:val="0"/>
      <w:marRight w:val="0"/>
      <w:marTop w:val="0"/>
      <w:marBottom w:val="0"/>
      <w:divBdr>
        <w:top w:val="none" w:sz="0" w:space="0" w:color="auto"/>
        <w:left w:val="none" w:sz="0" w:space="0" w:color="auto"/>
        <w:bottom w:val="none" w:sz="0" w:space="0" w:color="auto"/>
        <w:right w:val="none" w:sz="0" w:space="0" w:color="auto"/>
      </w:divBdr>
    </w:div>
    <w:div w:id="693652699">
      <w:bodyDiv w:val="1"/>
      <w:marLeft w:val="0"/>
      <w:marRight w:val="0"/>
      <w:marTop w:val="0"/>
      <w:marBottom w:val="0"/>
      <w:divBdr>
        <w:top w:val="none" w:sz="0" w:space="0" w:color="auto"/>
        <w:left w:val="none" w:sz="0" w:space="0" w:color="auto"/>
        <w:bottom w:val="none" w:sz="0" w:space="0" w:color="auto"/>
        <w:right w:val="none" w:sz="0" w:space="0" w:color="auto"/>
      </w:divBdr>
    </w:div>
    <w:div w:id="695666326">
      <w:bodyDiv w:val="1"/>
      <w:marLeft w:val="0"/>
      <w:marRight w:val="0"/>
      <w:marTop w:val="0"/>
      <w:marBottom w:val="0"/>
      <w:divBdr>
        <w:top w:val="none" w:sz="0" w:space="0" w:color="auto"/>
        <w:left w:val="none" w:sz="0" w:space="0" w:color="auto"/>
        <w:bottom w:val="none" w:sz="0" w:space="0" w:color="auto"/>
        <w:right w:val="none" w:sz="0" w:space="0" w:color="auto"/>
      </w:divBdr>
    </w:div>
    <w:div w:id="696930465">
      <w:bodyDiv w:val="1"/>
      <w:marLeft w:val="0"/>
      <w:marRight w:val="0"/>
      <w:marTop w:val="0"/>
      <w:marBottom w:val="0"/>
      <w:divBdr>
        <w:top w:val="none" w:sz="0" w:space="0" w:color="auto"/>
        <w:left w:val="none" w:sz="0" w:space="0" w:color="auto"/>
        <w:bottom w:val="none" w:sz="0" w:space="0" w:color="auto"/>
        <w:right w:val="none" w:sz="0" w:space="0" w:color="auto"/>
      </w:divBdr>
    </w:div>
    <w:div w:id="697925212">
      <w:bodyDiv w:val="1"/>
      <w:marLeft w:val="0"/>
      <w:marRight w:val="0"/>
      <w:marTop w:val="0"/>
      <w:marBottom w:val="0"/>
      <w:divBdr>
        <w:top w:val="none" w:sz="0" w:space="0" w:color="auto"/>
        <w:left w:val="none" w:sz="0" w:space="0" w:color="auto"/>
        <w:bottom w:val="none" w:sz="0" w:space="0" w:color="auto"/>
        <w:right w:val="none" w:sz="0" w:space="0" w:color="auto"/>
      </w:divBdr>
    </w:div>
    <w:div w:id="700478191">
      <w:bodyDiv w:val="1"/>
      <w:marLeft w:val="0"/>
      <w:marRight w:val="0"/>
      <w:marTop w:val="0"/>
      <w:marBottom w:val="0"/>
      <w:divBdr>
        <w:top w:val="none" w:sz="0" w:space="0" w:color="auto"/>
        <w:left w:val="none" w:sz="0" w:space="0" w:color="auto"/>
        <w:bottom w:val="none" w:sz="0" w:space="0" w:color="auto"/>
        <w:right w:val="none" w:sz="0" w:space="0" w:color="auto"/>
      </w:divBdr>
    </w:div>
    <w:div w:id="700983268">
      <w:bodyDiv w:val="1"/>
      <w:marLeft w:val="0"/>
      <w:marRight w:val="0"/>
      <w:marTop w:val="0"/>
      <w:marBottom w:val="0"/>
      <w:divBdr>
        <w:top w:val="none" w:sz="0" w:space="0" w:color="auto"/>
        <w:left w:val="none" w:sz="0" w:space="0" w:color="auto"/>
        <w:bottom w:val="none" w:sz="0" w:space="0" w:color="auto"/>
        <w:right w:val="none" w:sz="0" w:space="0" w:color="auto"/>
      </w:divBdr>
    </w:div>
    <w:div w:id="702705965">
      <w:bodyDiv w:val="1"/>
      <w:marLeft w:val="0"/>
      <w:marRight w:val="0"/>
      <w:marTop w:val="0"/>
      <w:marBottom w:val="0"/>
      <w:divBdr>
        <w:top w:val="none" w:sz="0" w:space="0" w:color="auto"/>
        <w:left w:val="none" w:sz="0" w:space="0" w:color="auto"/>
        <w:bottom w:val="none" w:sz="0" w:space="0" w:color="auto"/>
        <w:right w:val="none" w:sz="0" w:space="0" w:color="auto"/>
      </w:divBdr>
    </w:div>
    <w:div w:id="706222602">
      <w:bodyDiv w:val="1"/>
      <w:marLeft w:val="0"/>
      <w:marRight w:val="0"/>
      <w:marTop w:val="0"/>
      <w:marBottom w:val="0"/>
      <w:divBdr>
        <w:top w:val="none" w:sz="0" w:space="0" w:color="auto"/>
        <w:left w:val="none" w:sz="0" w:space="0" w:color="auto"/>
        <w:bottom w:val="none" w:sz="0" w:space="0" w:color="auto"/>
        <w:right w:val="none" w:sz="0" w:space="0" w:color="auto"/>
      </w:divBdr>
    </w:div>
    <w:div w:id="715667055">
      <w:bodyDiv w:val="1"/>
      <w:marLeft w:val="0"/>
      <w:marRight w:val="0"/>
      <w:marTop w:val="0"/>
      <w:marBottom w:val="0"/>
      <w:divBdr>
        <w:top w:val="none" w:sz="0" w:space="0" w:color="auto"/>
        <w:left w:val="none" w:sz="0" w:space="0" w:color="auto"/>
        <w:bottom w:val="none" w:sz="0" w:space="0" w:color="auto"/>
        <w:right w:val="none" w:sz="0" w:space="0" w:color="auto"/>
      </w:divBdr>
    </w:div>
    <w:div w:id="718406939">
      <w:bodyDiv w:val="1"/>
      <w:marLeft w:val="0"/>
      <w:marRight w:val="0"/>
      <w:marTop w:val="0"/>
      <w:marBottom w:val="0"/>
      <w:divBdr>
        <w:top w:val="none" w:sz="0" w:space="0" w:color="auto"/>
        <w:left w:val="none" w:sz="0" w:space="0" w:color="auto"/>
        <w:bottom w:val="none" w:sz="0" w:space="0" w:color="auto"/>
        <w:right w:val="none" w:sz="0" w:space="0" w:color="auto"/>
      </w:divBdr>
    </w:div>
    <w:div w:id="720597356">
      <w:bodyDiv w:val="1"/>
      <w:marLeft w:val="0"/>
      <w:marRight w:val="0"/>
      <w:marTop w:val="0"/>
      <w:marBottom w:val="0"/>
      <w:divBdr>
        <w:top w:val="none" w:sz="0" w:space="0" w:color="auto"/>
        <w:left w:val="none" w:sz="0" w:space="0" w:color="auto"/>
        <w:bottom w:val="none" w:sz="0" w:space="0" w:color="auto"/>
        <w:right w:val="none" w:sz="0" w:space="0" w:color="auto"/>
      </w:divBdr>
    </w:div>
    <w:div w:id="728843185">
      <w:bodyDiv w:val="1"/>
      <w:marLeft w:val="0"/>
      <w:marRight w:val="0"/>
      <w:marTop w:val="0"/>
      <w:marBottom w:val="0"/>
      <w:divBdr>
        <w:top w:val="none" w:sz="0" w:space="0" w:color="auto"/>
        <w:left w:val="none" w:sz="0" w:space="0" w:color="auto"/>
        <w:bottom w:val="none" w:sz="0" w:space="0" w:color="auto"/>
        <w:right w:val="none" w:sz="0" w:space="0" w:color="auto"/>
      </w:divBdr>
    </w:div>
    <w:div w:id="730540642">
      <w:bodyDiv w:val="1"/>
      <w:marLeft w:val="0"/>
      <w:marRight w:val="0"/>
      <w:marTop w:val="0"/>
      <w:marBottom w:val="0"/>
      <w:divBdr>
        <w:top w:val="none" w:sz="0" w:space="0" w:color="auto"/>
        <w:left w:val="none" w:sz="0" w:space="0" w:color="auto"/>
        <w:bottom w:val="none" w:sz="0" w:space="0" w:color="auto"/>
        <w:right w:val="none" w:sz="0" w:space="0" w:color="auto"/>
      </w:divBdr>
    </w:div>
    <w:div w:id="733553458">
      <w:bodyDiv w:val="1"/>
      <w:marLeft w:val="0"/>
      <w:marRight w:val="0"/>
      <w:marTop w:val="0"/>
      <w:marBottom w:val="0"/>
      <w:divBdr>
        <w:top w:val="none" w:sz="0" w:space="0" w:color="auto"/>
        <w:left w:val="none" w:sz="0" w:space="0" w:color="auto"/>
        <w:bottom w:val="none" w:sz="0" w:space="0" w:color="auto"/>
        <w:right w:val="none" w:sz="0" w:space="0" w:color="auto"/>
      </w:divBdr>
    </w:div>
    <w:div w:id="737243202">
      <w:bodyDiv w:val="1"/>
      <w:marLeft w:val="0"/>
      <w:marRight w:val="0"/>
      <w:marTop w:val="0"/>
      <w:marBottom w:val="0"/>
      <w:divBdr>
        <w:top w:val="none" w:sz="0" w:space="0" w:color="auto"/>
        <w:left w:val="none" w:sz="0" w:space="0" w:color="auto"/>
        <w:bottom w:val="none" w:sz="0" w:space="0" w:color="auto"/>
        <w:right w:val="none" w:sz="0" w:space="0" w:color="auto"/>
      </w:divBdr>
    </w:div>
    <w:div w:id="737754313">
      <w:bodyDiv w:val="1"/>
      <w:marLeft w:val="0"/>
      <w:marRight w:val="0"/>
      <w:marTop w:val="0"/>
      <w:marBottom w:val="0"/>
      <w:divBdr>
        <w:top w:val="none" w:sz="0" w:space="0" w:color="auto"/>
        <w:left w:val="none" w:sz="0" w:space="0" w:color="auto"/>
        <w:bottom w:val="none" w:sz="0" w:space="0" w:color="auto"/>
        <w:right w:val="none" w:sz="0" w:space="0" w:color="auto"/>
      </w:divBdr>
    </w:div>
    <w:div w:id="737870537">
      <w:bodyDiv w:val="1"/>
      <w:marLeft w:val="0"/>
      <w:marRight w:val="0"/>
      <w:marTop w:val="0"/>
      <w:marBottom w:val="0"/>
      <w:divBdr>
        <w:top w:val="none" w:sz="0" w:space="0" w:color="auto"/>
        <w:left w:val="none" w:sz="0" w:space="0" w:color="auto"/>
        <w:bottom w:val="none" w:sz="0" w:space="0" w:color="auto"/>
        <w:right w:val="none" w:sz="0" w:space="0" w:color="auto"/>
      </w:divBdr>
    </w:div>
    <w:div w:id="740325119">
      <w:bodyDiv w:val="1"/>
      <w:marLeft w:val="0"/>
      <w:marRight w:val="0"/>
      <w:marTop w:val="0"/>
      <w:marBottom w:val="0"/>
      <w:divBdr>
        <w:top w:val="none" w:sz="0" w:space="0" w:color="auto"/>
        <w:left w:val="none" w:sz="0" w:space="0" w:color="auto"/>
        <w:bottom w:val="none" w:sz="0" w:space="0" w:color="auto"/>
        <w:right w:val="none" w:sz="0" w:space="0" w:color="auto"/>
      </w:divBdr>
    </w:div>
    <w:div w:id="745885424">
      <w:bodyDiv w:val="1"/>
      <w:marLeft w:val="0"/>
      <w:marRight w:val="0"/>
      <w:marTop w:val="0"/>
      <w:marBottom w:val="0"/>
      <w:divBdr>
        <w:top w:val="none" w:sz="0" w:space="0" w:color="auto"/>
        <w:left w:val="none" w:sz="0" w:space="0" w:color="auto"/>
        <w:bottom w:val="none" w:sz="0" w:space="0" w:color="auto"/>
        <w:right w:val="none" w:sz="0" w:space="0" w:color="auto"/>
      </w:divBdr>
    </w:div>
    <w:div w:id="751128358">
      <w:bodyDiv w:val="1"/>
      <w:marLeft w:val="0"/>
      <w:marRight w:val="0"/>
      <w:marTop w:val="0"/>
      <w:marBottom w:val="0"/>
      <w:divBdr>
        <w:top w:val="none" w:sz="0" w:space="0" w:color="auto"/>
        <w:left w:val="none" w:sz="0" w:space="0" w:color="auto"/>
        <w:bottom w:val="none" w:sz="0" w:space="0" w:color="auto"/>
        <w:right w:val="none" w:sz="0" w:space="0" w:color="auto"/>
      </w:divBdr>
    </w:div>
    <w:div w:id="753166226">
      <w:bodyDiv w:val="1"/>
      <w:marLeft w:val="0"/>
      <w:marRight w:val="0"/>
      <w:marTop w:val="0"/>
      <w:marBottom w:val="0"/>
      <w:divBdr>
        <w:top w:val="none" w:sz="0" w:space="0" w:color="auto"/>
        <w:left w:val="none" w:sz="0" w:space="0" w:color="auto"/>
        <w:bottom w:val="none" w:sz="0" w:space="0" w:color="auto"/>
        <w:right w:val="none" w:sz="0" w:space="0" w:color="auto"/>
      </w:divBdr>
    </w:div>
    <w:div w:id="754404134">
      <w:bodyDiv w:val="1"/>
      <w:marLeft w:val="0"/>
      <w:marRight w:val="0"/>
      <w:marTop w:val="0"/>
      <w:marBottom w:val="0"/>
      <w:divBdr>
        <w:top w:val="none" w:sz="0" w:space="0" w:color="auto"/>
        <w:left w:val="none" w:sz="0" w:space="0" w:color="auto"/>
        <w:bottom w:val="none" w:sz="0" w:space="0" w:color="auto"/>
        <w:right w:val="none" w:sz="0" w:space="0" w:color="auto"/>
      </w:divBdr>
    </w:div>
    <w:div w:id="758872195">
      <w:bodyDiv w:val="1"/>
      <w:marLeft w:val="0"/>
      <w:marRight w:val="0"/>
      <w:marTop w:val="0"/>
      <w:marBottom w:val="0"/>
      <w:divBdr>
        <w:top w:val="none" w:sz="0" w:space="0" w:color="auto"/>
        <w:left w:val="none" w:sz="0" w:space="0" w:color="auto"/>
        <w:bottom w:val="none" w:sz="0" w:space="0" w:color="auto"/>
        <w:right w:val="none" w:sz="0" w:space="0" w:color="auto"/>
      </w:divBdr>
    </w:div>
    <w:div w:id="761730238">
      <w:bodyDiv w:val="1"/>
      <w:marLeft w:val="0"/>
      <w:marRight w:val="0"/>
      <w:marTop w:val="0"/>
      <w:marBottom w:val="0"/>
      <w:divBdr>
        <w:top w:val="none" w:sz="0" w:space="0" w:color="auto"/>
        <w:left w:val="none" w:sz="0" w:space="0" w:color="auto"/>
        <w:bottom w:val="none" w:sz="0" w:space="0" w:color="auto"/>
        <w:right w:val="none" w:sz="0" w:space="0" w:color="auto"/>
      </w:divBdr>
    </w:div>
    <w:div w:id="764811615">
      <w:bodyDiv w:val="1"/>
      <w:marLeft w:val="0"/>
      <w:marRight w:val="0"/>
      <w:marTop w:val="0"/>
      <w:marBottom w:val="0"/>
      <w:divBdr>
        <w:top w:val="none" w:sz="0" w:space="0" w:color="auto"/>
        <w:left w:val="none" w:sz="0" w:space="0" w:color="auto"/>
        <w:bottom w:val="none" w:sz="0" w:space="0" w:color="auto"/>
        <w:right w:val="none" w:sz="0" w:space="0" w:color="auto"/>
      </w:divBdr>
    </w:div>
    <w:div w:id="767582572">
      <w:bodyDiv w:val="1"/>
      <w:marLeft w:val="0"/>
      <w:marRight w:val="0"/>
      <w:marTop w:val="0"/>
      <w:marBottom w:val="0"/>
      <w:divBdr>
        <w:top w:val="none" w:sz="0" w:space="0" w:color="auto"/>
        <w:left w:val="none" w:sz="0" w:space="0" w:color="auto"/>
        <w:bottom w:val="none" w:sz="0" w:space="0" w:color="auto"/>
        <w:right w:val="none" w:sz="0" w:space="0" w:color="auto"/>
      </w:divBdr>
    </w:div>
    <w:div w:id="772743672">
      <w:bodyDiv w:val="1"/>
      <w:marLeft w:val="0"/>
      <w:marRight w:val="0"/>
      <w:marTop w:val="0"/>
      <w:marBottom w:val="0"/>
      <w:divBdr>
        <w:top w:val="none" w:sz="0" w:space="0" w:color="auto"/>
        <w:left w:val="none" w:sz="0" w:space="0" w:color="auto"/>
        <w:bottom w:val="none" w:sz="0" w:space="0" w:color="auto"/>
        <w:right w:val="none" w:sz="0" w:space="0" w:color="auto"/>
      </w:divBdr>
    </w:div>
    <w:div w:id="775441413">
      <w:bodyDiv w:val="1"/>
      <w:marLeft w:val="0"/>
      <w:marRight w:val="0"/>
      <w:marTop w:val="0"/>
      <w:marBottom w:val="0"/>
      <w:divBdr>
        <w:top w:val="none" w:sz="0" w:space="0" w:color="auto"/>
        <w:left w:val="none" w:sz="0" w:space="0" w:color="auto"/>
        <w:bottom w:val="none" w:sz="0" w:space="0" w:color="auto"/>
        <w:right w:val="none" w:sz="0" w:space="0" w:color="auto"/>
      </w:divBdr>
    </w:div>
    <w:div w:id="780414105">
      <w:bodyDiv w:val="1"/>
      <w:marLeft w:val="0"/>
      <w:marRight w:val="0"/>
      <w:marTop w:val="0"/>
      <w:marBottom w:val="0"/>
      <w:divBdr>
        <w:top w:val="none" w:sz="0" w:space="0" w:color="auto"/>
        <w:left w:val="none" w:sz="0" w:space="0" w:color="auto"/>
        <w:bottom w:val="none" w:sz="0" w:space="0" w:color="auto"/>
        <w:right w:val="none" w:sz="0" w:space="0" w:color="auto"/>
      </w:divBdr>
    </w:div>
    <w:div w:id="781456559">
      <w:bodyDiv w:val="1"/>
      <w:marLeft w:val="0"/>
      <w:marRight w:val="0"/>
      <w:marTop w:val="0"/>
      <w:marBottom w:val="0"/>
      <w:divBdr>
        <w:top w:val="none" w:sz="0" w:space="0" w:color="auto"/>
        <w:left w:val="none" w:sz="0" w:space="0" w:color="auto"/>
        <w:bottom w:val="none" w:sz="0" w:space="0" w:color="auto"/>
        <w:right w:val="none" w:sz="0" w:space="0" w:color="auto"/>
      </w:divBdr>
    </w:div>
    <w:div w:id="782456147">
      <w:bodyDiv w:val="1"/>
      <w:marLeft w:val="0"/>
      <w:marRight w:val="0"/>
      <w:marTop w:val="0"/>
      <w:marBottom w:val="0"/>
      <w:divBdr>
        <w:top w:val="none" w:sz="0" w:space="0" w:color="auto"/>
        <w:left w:val="none" w:sz="0" w:space="0" w:color="auto"/>
        <w:bottom w:val="none" w:sz="0" w:space="0" w:color="auto"/>
        <w:right w:val="none" w:sz="0" w:space="0" w:color="auto"/>
      </w:divBdr>
    </w:div>
    <w:div w:id="783111661">
      <w:bodyDiv w:val="1"/>
      <w:marLeft w:val="0"/>
      <w:marRight w:val="0"/>
      <w:marTop w:val="0"/>
      <w:marBottom w:val="0"/>
      <w:divBdr>
        <w:top w:val="none" w:sz="0" w:space="0" w:color="auto"/>
        <w:left w:val="none" w:sz="0" w:space="0" w:color="auto"/>
        <w:bottom w:val="none" w:sz="0" w:space="0" w:color="auto"/>
        <w:right w:val="none" w:sz="0" w:space="0" w:color="auto"/>
      </w:divBdr>
    </w:div>
    <w:div w:id="784734850">
      <w:bodyDiv w:val="1"/>
      <w:marLeft w:val="0"/>
      <w:marRight w:val="0"/>
      <w:marTop w:val="0"/>
      <w:marBottom w:val="0"/>
      <w:divBdr>
        <w:top w:val="none" w:sz="0" w:space="0" w:color="auto"/>
        <w:left w:val="none" w:sz="0" w:space="0" w:color="auto"/>
        <w:bottom w:val="none" w:sz="0" w:space="0" w:color="auto"/>
        <w:right w:val="none" w:sz="0" w:space="0" w:color="auto"/>
      </w:divBdr>
    </w:div>
    <w:div w:id="788013396">
      <w:bodyDiv w:val="1"/>
      <w:marLeft w:val="0"/>
      <w:marRight w:val="0"/>
      <w:marTop w:val="0"/>
      <w:marBottom w:val="0"/>
      <w:divBdr>
        <w:top w:val="none" w:sz="0" w:space="0" w:color="auto"/>
        <w:left w:val="none" w:sz="0" w:space="0" w:color="auto"/>
        <w:bottom w:val="none" w:sz="0" w:space="0" w:color="auto"/>
        <w:right w:val="none" w:sz="0" w:space="0" w:color="auto"/>
      </w:divBdr>
    </w:div>
    <w:div w:id="805122230">
      <w:bodyDiv w:val="1"/>
      <w:marLeft w:val="0"/>
      <w:marRight w:val="0"/>
      <w:marTop w:val="0"/>
      <w:marBottom w:val="0"/>
      <w:divBdr>
        <w:top w:val="none" w:sz="0" w:space="0" w:color="auto"/>
        <w:left w:val="none" w:sz="0" w:space="0" w:color="auto"/>
        <w:bottom w:val="none" w:sz="0" w:space="0" w:color="auto"/>
        <w:right w:val="none" w:sz="0" w:space="0" w:color="auto"/>
      </w:divBdr>
    </w:div>
    <w:div w:id="807165222">
      <w:bodyDiv w:val="1"/>
      <w:marLeft w:val="0"/>
      <w:marRight w:val="0"/>
      <w:marTop w:val="0"/>
      <w:marBottom w:val="0"/>
      <w:divBdr>
        <w:top w:val="none" w:sz="0" w:space="0" w:color="auto"/>
        <w:left w:val="none" w:sz="0" w:space="0" w:color="auto"/>
        <w:bottom w:val="none" w:sz="0" w:space="0" w:color="auto"/>
        <w:right w:val="none" w:sz="0" w:space="0" w:color="auto"/>
      </w:divBdr>
    </w:div>
    <w:div w:id="807433792">
      <w:bodyDiv w:val="1"/>
      <w:marLeft w:val="0"/>
      <w:marRight w:val="0"/>
      <w:marTop w:val="0"/>
      <w:marBottom w:val="0"/>
      <w:divBdr>
        <w:top w:val="none" w:sz="0" w:space="0" w:color="auto"/>
        <w:left w:val="none" w:sz="0" w:space="0" w:color="auto"/>
        <w:bottom w:val="none" w:sz="0" w:space="0" w:color="auto"/>
        <w:right w:val="none" w:sz="0" w:space="0" w:color="auto"/>
      </w:divBdr>
    </w:div>
    <w:div w:id="808015666">
      <w:bodyDiv w:val="1"/>
      <w:marLeft w:val="0"/>
      <w:marRight w:val="0"/>
      <w:marTop w:val="0"/>
      <w:marBottom w:val="0"/>
      <w:divBdr>
        <w:top w:val="none" w:sz="0" w:space="0" w:color="auto"/>
        <w:left w:val="none" w:sz="0" w:space="0" w:color="auto"/>
        <w:bottom w:val="none" w:sz="0" w:space="0" w:color="auto"/>
        <w:right w:val="none" w:sz="0" w:space="0" w:color="auto"/>
      </w:divBdr>
    </w:div>
    <w:div w:id="812648156">
      <w:bodyDiv w:val="1"/>
      <w:marLeft w:val="0"/>
      <w:marRight w:val="0"/>
      <w:marTop w:val="0"/>
      <w:marBottom w:val="0"/>
      <w:divBdr>
        <w:top w:val="none" w:sz="0" w:space="0" w:color="auto"/>
        <w:left w:val="none" w:sz="0" w:space="0" w:color="auto"/>
        <w:bottom w:val="none" w:sz="0" w:space="0" w:color="auto"/>
        <w:right w:val="none" w:sz="0" w:space="0" w:color="auto"/>
      </w:divBdr>
    </w:div>
    <w:div w:id="812916763">
      <w:bodyDiv w:val="1"/>
      <w:marLeft w:val="0"/>
      <w:marRight w:val="0"/>
      <w:marTop w:val="0"/>
      <w:marBottom w:val="0"/>
      <w:divBdr>
        <w:top w:val="none" w:sz="0" w:space="0" w:color="auto"/>
        <w:left w:val="none" w:sz="0" w:space="0" w:color="auto"/>
        <w:bottom w:val="none" w:sz="0" w:space="0" w:color="auto"/>
        <w:right w:val="none" w:sz="0" w:space="0" w:color="auto"/>
      </w:divBdr>
    </w:div>
    <w:div w:id="817766707">
      <w:bodyDiv w:val="1"/>
      <w:marLeft w:val="0"/>
      <w:marRight w:val="0"/>
      <w:marTop w:val="0"/>
      <w:marBottom w:val="0"/>
      <w:divBdr>
        <w:top w:val="none" w:sz="0" w:space="0" w:color="auto"/>
        <w:left w:val="none" w:sz="0" w:space="0" w:color="auto"/>
        <w:bottom w:val="none" w:sz="0" w:space="0" w:color="auto"/>
        <w:right w:val="none" w:sz="0" w:space="0" w:color="auto"/>
      </w:divBdr>
    </w:div>
    <w:div w:id="819269559">
      <w:bodyDiv w:val="1"/>
      <w:marLeft w:val="0"/>
      <w:marRight w:val="0"/>
      <w:marTop w:val="0"/>
      <w:marBottom w:val="0"/>
      <w:divBdr>
        <w:top w:val="none" w:sz="0" w:space="0" w:color="auto"/>
        <w:left w:val="none" w:sz="0" w:space="0" w:color="auto"/>
        <w:bottom w:val="none" w:sz="0" w:space="0" w:color="auto"/>
        <w:right w:val="none" w:sz="0" w:space="0" w:color="auto"/>
      </w:divBdr>
    </w:div>
    <w:div w:id="821697742">
      <w:bodyDiv w:val="1"/>
      <w:marLeft w:val="0"/>
      <w:marRight w:val="0"/>
      <w:marTop w:val="0"/>
      <w:marBottom w:val="0"/>
      <w:divBdr>
        <w:top w:val="none" w:sz="0" w:space="0" w:color="auto"/>
        <w:left w:val="none" w:sz="0" w:space="0" w:color="auto"/>
        <w:bottom w:val="none" w:sz="0" w:space="0" w:color="auto"/>
        <w:right w:val="none" w:sz="0" w:space="0" w:color="auto"/>
      </w:divBdr>
    </w:div>
    <w:div w:id="823277275">
      <w:bodyDiv w:val="1"/>
      <w:marLeft w:val="0"/>
      <w:marRight w:val="0"/>
      <w:marTop w:val="0"/>
      <w:marBottom w:val="0"/>
      <w:divBdr>
        <w:top w:val="none" w:sz="0" w:space="0" w:color="auto"/>
        <w:left w:val="none" w:sz="0" w:space="0" w:color="auto"/>
        <w:bottom w:val="none" w:sz="0" w:space="0" w:color="auto"/>
        <w:right w:val="none" w:sz="0" w:space="0" w:color="auto"/>
      </w:divBdr>
    </w:div>
    <w:div w:id="823472148">
      <w:bodyDiv w:val="1"/>
      <w:marLeft w:val="0"/>
      <w:marRight w:val="0"/>
      <w:marTop w:val="0"/>
      <w:marBottom w:val="0"/>
      <w:divBdr>
        <w:top w:val="none" w:sz="0" w:space="0" w:color="auto"/>
        <w:left w:val="none" w:sz="0" w:space="0" w:color="auto"/>
        <w:bottom w:val="none" w:sz="0" w:space="0" w:color="auto"/>
        <w:right w:val="none" w:sz="0" w:space="0" w:color="auto"/>
      </w:divBdr>
    </w:div>
    <w:div w:id="826870058">
      <w:bodyDiv w:val="1"/>
      <w:marLeft w:val="0"/>
      <w:marRight w:val="0"/>
      <w:marTop w:val="0"/>
      <w:marBottom w:val="0"/>
      <w:divBdr>
        <w:top w:val="none" w:sz="0" w:space="0" w:color="auto"/>
        <w:left w:val="none" w:sz="0" w:space="0" w:color="auto"/>
        <w:bottom w:val="none" w:sz="0" w:space="0" w:color="auto"/>
        <w:right w:val="none" w:sz="0" w:space="0" w:color="auto"/>
      </w:divBdr>
    </w:div>
    <w:div w:id="830145674">
      <w:bodyDiv w:val="1"/>
      <w:marLeft w:val="0"/>
      <w:marRight w:val="0"/>
      <w:marTop w:val="0"/>
      <w:marBottom w:val="0"/>
      <w:divBdr>
        <w:top w:val="none" w:sz="0" w:space="0" w:color="auto"/>
        <w:left w:val="none" w:sz="0" w:space="0" w:color="auto"/>
        <w:bottom w:val="none" w:sz="0" w:space="0" w:color="auto"/>
        <w:right w:val="none" w:sz="0" w:space="0" w:color="auto"/>
      </w:divBdr>
    </w:div>
    <w:div w:id="830172025">
      <w:bodyDiv w:val="1"/>
      <w:marLeft w:val="0"/>
      <w:marRight w:val="0"/>
      <w:marTop w:val="0"/>
      <w:marBottom w:val="0"/>
      <w:divBdr>
        <w:top w:val="none" w:sz="0" w:space="0" w:color="auto"/>
        <w:left w:val="none" w:sz="0" w:space="0" w:color="auto"/>
        <w:bottom w:val="none" w:sz="0" w:space="0" w:color="auto"/>
        <w:right w:val="none" w:sz="0" w:space="0" w:color="auto"/>
      </w:divBdr>
    </w:div>
    <w:div w:id="832332025">
      <w:bodyDiv w:val="1"/>
      <w:marLeft w:val="0"/>
      <w:marRight w:val="0"/>
      <w:marTop w:val="0"/>
      <w:marBottom w:val="0"/>
      <w:divBdr>
        <w:top w:val="none" w:sz="0" w:space="0" w:color="auto"/>
        <w:left w:val="none" w:sz="0" w:space="0" w:color="auto"/>
        <w:bottom w:val="none" w:sz="0" w:space="0" w:color="auto"/>
        <w:right w:val="none" w:sz="0" w:space="0" w:color="auto"/>
      </w:divBdr>
    </w:div>
    <w:div w:id="833684225">
      <w:bodyDiv w:val="1"/>
      <w:marLeft w:val="0"/>
      <w:marRight w:val="0"/>
      <w:marTop w:val="0"/>
      <w:marBottom w:val="0"/>
      <w:divBdr>
        <w:top w:val="none" w:sz="0" w:space="0" w:color="auto"/>
        <w:left w:val="none" w:sz="0" w:space="0" w:color="auto"/>
        <w:bottom w:val="none" w:sz="0" w:space="0" w:color="auto"/>
        <w:right w:val="none" w:sz="0" w:space="0" w:color="auto"/>
      </w:divBdr>
    </w:div>
    <w:div w:id="834496508">
      <w:bodyDiv w:val="1"/>
      <w:marLeft w:val="0"/>
      <w:marRight w:val="0"/>
      <w:marTop w:val="0"/>
      <w:marBottom w:val="0"/>
      <w:divBdr>
        <w:top w:val="none" w:sz="0" w:space="0" w:color="auto"/>
        <w:left w:val="none" w:sz="0" w:space="0" w:color="auto"/>
        <w:bottom w:val="none" w:sz="0" w:space="0" w:color="auto"/>
        <w:right w:val="none" w:sz="0" w:space="0" w:color="auto"/>
      </w:divBdr>
    </w:div>
    <w:div w:id="835656956">
      <w:bodyDiv w:val="1"/>
      <w:marLeft w:val="0"/>
      <w:marRight w:val="0"/>
      <w:marTop w:val="0"/>
      <w:marBottom w:val="0"/>
      <w:divBdr>
        <w:top w:val="none" w:sz="0" w:space="0" w:color="auto"/>
        <w:left w:val="none" w:sz="0" w:space="0" w:color="auto"/>
        <w:bottom w:val="none" w:sz="0" w:space="0" w:color="auto"/>
        <w:right w:val="none" w:sz="0" w:space="0" w:color="auto"/>
      </w:divBdr>
    </w:div>
    <w:div w:id="836001221">
      <w:bodyDiv w:val="1"/>
      <w:marLeft w:val="0"/>
      <w:marRight w:val="0"/>
      <w:marTop w:val="0"/>
      <w:marBottom w:val="0"/>
      <w:divBdr>
        <w:top w:val="none" w:sz="0" w:space="0" w:color="auto"/>
        <w:left w:val="none" w:sz="0" w:space="0" w:color="auto"/>
        <w:bottom w:val="none" w:sz="0" w:space="0" w:color="auto"/>
        <w:right w:val="none" w:sz="0" w:space="0" w:color="auto"/>
      </w:divBdr>
    </w:div>
    <w:div w:id="840506658">
      <w:bodyDiv w:val="1"/>
      <w:marLeft w:val="0"/>
      <w:marRight w:val="0"/>
      <w:marTop w:val="0"/>
      <w:marBottom w:val="0"/>
      <w:divBdr>
        <w:top w:val="none" w:sz="0" w:space="0" w:color="auto"/>
        <w:left w:val="none" w:sz="0" w:space="0" w:color="auto"/>
        <w:bottom w:val="none" w:sz="0" w:space="0" w:color="auto"/>
        <w:right w:val="none" w:sz="0" w:space="0" w:color="auto"/>
      </w:divBdr>
    </w:div>
    <w:div w:id="843058978">
      <w:bodyDiv w:val="1"/>
      <w:marLeft w:val="0"/>
      <w:marRight w:val="0"/>
      <w:marTop w:val="0"/>
      <w:marBottom w:val="0"/>
      <w:divBdr>
        <w:top w:val="none" w:sz="0" w:space="0" w:color="auto"/>
        <w:left w:val="none" w:sz="0" w:space="0" w:color="auto"/>
        <w:bottom w:val="none" w:sz="0" w:space="0" w:color="auto"/>
        <w:right w:val="none" w:sz="0" w:space="0" w:color="auto"/>
      </w:divBdr>
    </w:div>
    <w:div w:id="846794634">
      <w:bodyDiv w:val="1"/>
      <w:marLeft w:val="0"/>
      <w:marRight w:val="0"/>
      <w:marTop w:val="0"/>
      <w:marBottom w:val="0"/>
      <w:divBdr>
        <w:top w:val="none" w:sz="0" w:space="0" w:color="auto"/>
        <w:left w:val="none" w:sz="0" w:space="0" w:color="auto"/>
        <w:bottom w:val="none" w:sz="0" w:space="0" w:color="auto"/>
        <w:right w:val="none" w:sz="0" w:space="0" w:color="auto"/>
      </w:divBdr>
    </w:div>
    <w:div w:id="847063281">
      <w:bodyDiv w:val="1"/>
      <w:marLeft w:val="0"/>
      <w:marRight w:val="0"/>
      <w:marTop w:val="0"/>
      <w:marBottom w:val="0"/>
      <w:divBdr>
        <w:top w:val="none" w:sz="0" w:space="0" w:color="auto"/>
        <w:left w:val="none" w:sz="0" w:space="0" w:color="auto"/>
        <w:bottom w:val="none" w:sz="0" w:space="0" w:color="auto"/>
        <w:right w:val="none" w:sz="0" w:space="0" w:color="auto"/>
      </w:divBdr>
    </w:div>
    <w:div w:id="847522274">
      <w:bodyDiv w:val="1"/>
      <w:marLeft w:val="0"/>
      <w:marRight w:val="0"/>
      <w:marTop w:val="0"/>
      <w:marBottom w:val="0"/>
      <w:divBdr>
        <w:top w:val="none" w:sz="0" w:space="0" w:color="auto"/>
        <w:left w:val="none" w:sz="0" w:space="0" w:color="auto"/>
        <w:bottom w:val="none" w:sz="0" w:space="0" w:color="auto"/>
        <w:right w:val="none" w:sz="0" w:space="0" w:color="auto"/>
      </w:divBdr>
    </w:div>
    <w:div w:id="856240240">
      <w:bodyDiv w:val="1"/>
      <w:marLeft w:val="0"/>
      <w:marRight w:val="0"/>
      <w:marTop w:val="0"/>
      <w:marBottom w:val="0"/>
      <w:divBdr>
        <w:top w:val="none" w:sz="0" w:space="0" w:color="auto"/>
        <w:left w:val="none" w:sz="0" w:space="0" w:color="auto"/>
        <w:bottom w:val="none" w:sz="0" w:space="0" w:color="auto"/>
        <w:right w:val="none" w:sz="0" w:space="0" w:color="auto"/>
      </w:divBdr>
    </w:div>
    <w:div w:id="859465540">
      <w:bodyDiv w:val="1"/>
      <w:marLeft w:val="0"/>
      <w:marRight w:val="0"/>
      <w:marTop w:val="0"/>
      <w:marBottom w:val="0"/>
      <w:divBdr>
        <w:top w:val="none" w:sz="0" w:space="0" w:color="auto"/>
        <w:left w:val="none" w:sz="0" w:space="0" w:color="auto"/>
        <w:bottom w:val="none" w:sz="0" w:space="0" w:color="auto"/>
        <w:right w:val="none" w:sz="0" w:space="0" w:color="auto"/>
      </w:divBdr>
    </w:div>
    <w:div w:id="861478258">
      <w:bodyDiv w:val="1"/>
      <w:marLeft w:val="0"/>
      <w:marRight w:val="0"/>
      <w:marTop w:val="0"/>
      <w:marBottom w:val="0"/>
      <w:divBdr>
        <w:top w:val="none" w:sz="0" w:space="0" w:color="auto"/>
        <w:left w:val="none" w:sz="0" w:space="0" w:color="auto"/>
        <w:bottom w:val="none" w:sz="0" w:space="0" w:color="auto"/>
        <w:right w:val="none" w:sz="0" w:space="0" w:color="auto"/>
      </w:divBdr>
    </w:div>
    <w:div w:id="864707153">
      <w:bodyDiv w:val="1"/>
      <w:marLeft w:val="0"/>
      <w:marRight w:val="0"/>
      <w:marTop w:val="0"/>
      <w:marBottom w:val="0"/>
      <w:divBdr>
        <w:top w:val="none" w:sz="0" w:space="0" w:color="auto"/>
        <w:left w:val="none" w:sz="0" w:space="0" w:color="auto"/>
        <w:bottom w:val="none" w:sz="0" w:space="0" w:color="auto"/>
        <w:right w:val="none" w:sz="0" w:space="0" w:color="auto"/>
      </w:divBdr>
    </w:div>
    <w:div w:id="865411418">
      <w:bodyDiv w:val="1"/>
      <w:marLeft w:val="0"/>
      <w:marRight w:val="0"/>
      <w:marTop w:val="0"/>
      <w:marBottom w:val="0"/>
      <w:divBdr>
        <w:top w:val="none" w:sz="0" w:space="0" w:color="auto"/>
        <w:left w:val="none" w:sz="0" w:space="0" w:color="auto"/>
        <w:bottom w:val="none" w:sz="0" w:space="0" w:color="auto"/>
        <w:right w:val="none" w:sz="0" w:space="0" w:color="auto"/>
      </w:divBdr>
    </w:div>
    <w:div w:id="868102108">
      <w:bodyDiv w:val="1"/>
      <w:marLeft w:val="0"/>
      <w:marRight w:val="0"/>
      <w:marTop w:val="0"/>
      <w:marBottom w:val="0"/>
      <w:divBdr>
        <w:top w:val="none" w:sz="0" w:space="0" w:color="auto"/>
        <w:left w:val="none" w:sz="0" w:space="0" w:color="auto"/>
        <w:bottom w:val="none" w:sz="0" w:space="0" w:color="auto"/>
        <w:right w:val="none" w:sz="0" w:space="0" w:color="auto"/>
      </w:divBdr>
    </w:div>
    <w:div w:id="868686276">
      <w:bodyDiv w:val="1"/>
      <w:marLeft w:val="0"/>
      <w:marRight w:val="0"/>
      <w:marTop w:val="0"/>
      <w:marBottom w:val="0"/>
      <w:divBdr>
        <w:top w:val="none" w:sz="0" w:space="0" w:color="auto"/>
        <w:left w:val="none" w:sz="0" w:space="0" w:color="auto"/>
        <w:bottom w:val="none" w:sz="0" w:space="0" w:color="auto"/>
        <w:right w:val="none" w:sz="0" w:space="0" w:color="auto"/>
      </w:divBdr>
    </w:div>
    <w:div w:id="869682344">
      <w:bodyDiv w:val="1"/>
      <w:marLeft w:val="0"/>
      <w:marRight w:val="0"/>
      <w:marTop w:val="0"/>
      <w:marBottom w:val="0"/>
      <w:divBdr>
        <w:top w:val="none" w:sz="0" w:space="0" w:color="auto"/>
        <w:left w:val="none" w:sz="0" w:space="0" w:color="auto"/>
        <w:bottom w:val="none" w:sz="0" w:space="0" w:color="auto"/>
        <w:right w:val="none" w:sz="0" w:space="0" w:color="auto"/>
      </w:divBdr>
    </w:div>
    <w:div w:id="870411648">
      <w:bodyDiv w:val="1"/>
      <w:marLeft w:val="0"/>
      <w:marRight w:val="0"/>
      <w:marTop w:val="0"/>
      <w:marBottom w:val="0"/>
      <w:divBdr>
        <w:top w:val="none" w:sz="0" w:space="0" w:color="auto"/>
        <w:left w:val="none" w:sz="0" w:space="0" w:color="auto"/>
        <w:bottom w:val="none" w:sz="0" w:space="0" w:color="auto"/>
        <w:right w:val="none" w:sz="0" w:space="0" w:color="auto"/>
      </w:divBdr>
    </w:div>
    <w:div w:id="871773132">
      <w:bodyDiv w:val="1"/>
      <w:marLeft w:val="0"/>
      <w:marRight w:val="0"/>
      <w:marTop w:val="0"/>
      <w:marBottom w:val="0"/>
      <w:divBdr>
        <w:top w:val="none" w:sz="0" w:space="0" w:color="auto"/>
        <w:left w:val="none" w:sz="0" w:space="0" w:color="auto"/>
        <w:bottom w:val="none" w:sz="0" w:space="0" w:color="auto"/>
        <w:right w:val="none" w:sz="0" w:space="0" w:color="auto"/>
      </w:divBdr>
    </w:div>
    <w:div w:id="874462534">
      <w:bodyDiv w:val="1"/>
      <w:marLeft w:val="0"/>
      <w:marRight w:val="0"/>
      <w:marTop w:val="0"/>
      <w:marBottom w:val="0"/>
      <w:divBdr>
        <w:top w:val="none" w:sz="0" w:space="0" w:color="auto"/>
        <w:left w:val="none" w:sz="0" w:space="0" w:color="auto"/>
        <w:bottom w:val="none" w:sz="0" w:space="0" w:color="auto"/>
        <w:right w:val="none" w:sz="0" w:space="0" w:color="auto"/>
      </w:divBdr>
    </w:div>
    <w:div w:id="879901322">
      <w:bodyDiv w:val="1"/>
      <w:marLeft w:val="0"/>
      <w:marRight w:val="0"/>
      <w:marTop w:val="0"/>
      <w:marBottom w:val="0"/>
      <w:divBdr>
        <w:top w:val="none" w:sz="0" w:space="0" w:color="auto"/>
        <w:left w:val="none" w:sz="0" w:space="0" w:color="auto"/>
        <w:bottom w:val="none" w:sz="0" w:space="0" w:color="auto"/>
        <w:right w:val="none" w:sz="0" w:space="0" w:color="auto"/>
      </w:divBdr>
    </w:div>
    <w:div w:id="881332234">
      <w:bodyDiv w:val="1"/>
      <w:marLeft w:val="0"/>
      <w:marRight w:val="0"/>
      <w:marTop w:val="0"/>
      <w:marBottom w:val="0"/>
      <w:divBdr>
        <w:top w:val="none" w:sz="0" w:space="0" w:color="auto"/>
        <w:left w:val="none" w:sz="0" w:space="0" w:color="auto"/>
        <w:bottom w:val="none" w:sz="0" w:space="0" w:color="auto"/>
        <w:right w:val="none" w:sz="0" w:space="0" w:color="auto"/>
      </w:divBdr>
    </w:div>
    <w:div w:id="882015550">
      <w:bodyDiv w:val="1"/>
      <w:marLeft w:val="0"/>
      <w:marRight w:val="0"/>
      <w:marTop w:val="0"/>
      <w:marBottom w:val="0"/>
      <w:divBdr>
        <w:top w:val="none" w:sz="0" w:space="0" w:color="auto"/>
        <w:left w:val="none" w:sz="0" w:space="0" w:color="auto"/>
        <w:bottom w:val="none" w:sz="0" w:space="0" w:color="auto"/>
        <w:right w:val="none" w:sz="0" w:space="0" w:color="auto"/>
      </w:divBdr>
    </w:div>
    <w:div w:id="886987042">
      <w:bodyDiv w:val="1"/>
      <w:marLeft w:val="0"/>
      <w:marRight w:val="0"/>
      <w:marTop w:val="0"/>
      <w:marBottom w:val="0"/>
      <w:divBdr>
        <w:top w:val="none" w:sz="0" w:space="0" w:color="auto"/>
        <w:left w:val="none" w:sz="0" w:space="0" w:color="auto"/>
        <w:bottom w:val="none" w:sz="0" w:space="0" w:color="auto"/>
        <w:right w:val="none" w:sz="0" w:space="0" w:color="auto"/>
      </w:divBdr>
    </w:div>
    <w:div w:id="886995066">
      <w:bodyDiv w:val="1"/>
      <w:marLeft w:val="0"/>
      <w:marRight w:val="0"/>
      <w:marTop w:val="0"/>
      <w:marBottom w:val="0"/>
      <w:divBdr>
        <w:top w:val="none" w:sz="0" w:space="0" w:color="auto"/>
        <w:left w:val="none" w:sz="0" w:space="0" w:color="auto"/>
        <w:bottom w:val="none" w:sz="0" w:space="0" w:color="auto"/>
        <w:right w:val="none" w:sz="0" w:space="0" w:color="auto"/>
      </w:divBdr>
    </w:div>
    <w:div w:id="889340807">
      <w:bodyDiv w:val="1"/>
      <w:marLeft w:val="0"/>
      <w:marRight w:val="0"/>
      <w:marTop w:val="0"/>
      <w:marBottom w:val="0"/>
      <w:divBdr>
        <w:top w:val="none" w:sz="0" w:space="0" w:color="auto"/>
        <w:left w:val="none" w:sz="0" w:space="0" w:color="auto"/>
        <w:bottom w:val="none" w:sz="0" w:space="0" w:color="auto"/>
        <w:right w:val="none" w:sz="0" w:space="0" w:color="auto"/>
      </w:divBdr>
    </w:div>
    <w:div w:id="889538200">
      <w:bodyDiv w:val="1"/>
      <w:marLeft w:val="0"/>
      <w:marRight w:val="0"/>
      <w:marTop w:val="0"/>
      <w:marBottom w:val="0"/>
      <w:divBdr>
        <w:top w:val="none" w:sz="0" w:space="0" w:color="auto"/>
        <w:left w:val="none" w:sz="0" w:space="0" w:color="auto"/>
        <w:bottom w:val="none" w:sz="0" w:space="0" w:color="auto"/>
        <w:right w:val="none" w:sz="0" w:space="0" w:color="auto"/>
      </w:divBdr>
    </w:div>
    <w:div w:id="893546906">
      <w:bodyDiv w:val="1"/>
      <w:marLeft w:val="0"/>
      <w:marRight w:val="0"/>
      <w:marTop w:val="0"/>
      <w:marBottom w:val="0"/>
      <w:divBdr>
        <w:top w:val="none" w:sz="0" w:space="0" w:color="auto"/>
        <w:left w:val="none" w:sz="0" w:space="0" w:color="auto"/>
        <w:bottom w:val="none" w:sz="0" w:space="0" w:color="auto"/>
        <w:right w:val="none" w:sz="0" w:space="0" w:color="auto"/>
      </w:divBdr>
    </w:div>
    <w:div w:id="900334844">
      <w:bodyDiv w:val="1"/>
      <w:marLeft w:val="0"/>
      <w:marRight w:val="0"/>
      <w:marTop w:val="0"/>
      <w:marBottom w:val="0"/>
      <w:divBdr>
        <w:top w:val="none" w:sz="0" w:space="0" w:color="auto"/>
        <w:left w:val="none" w:sz="0" w:space="0" w:color="auto"/>
        <w:bottom w:val="none" w:sz="0" w:space="0" w:color="auto"/>
        <w:right w:val="none" w:sz="0" w:space="0" w:color="auto"/>
      </w:divBdr>
    </w:div>
    <w:div w:id="907694296">
      <w:bodyDiv w:val="1"/>
      <w:marLeft w:val="0"/>
      <w:marRight w:val="0"/>
      <w:marTop w:val="0"/>
      <w:marBottom w:val="0"/>
      <w:divBdr>
        <w:top w:val="none" w:sz="0" w:space="0" w:color="auto"/>
        <w:left w:val="none" w:sz="0" w:space="0" w:color="auto"/>
        <w:bottom w:val="none" w:sz="0" w:space="0" w:color="auto"/>
        <w:right w:val="none" w:sz="0" w:space="0" w:color="auto"/>
      </w:divBdr>
    </w:div>
    <w:div w:id="912088060">
      <w:bodyDiv w:val="1"/>
      <w:marLeft w:val="0"/>
      <w:marRight w:val="0"/>
      <w:marTop w:val="0"/>
      <w:marBottom w:val="0"/>
      <w:divBdr>
        <w:top w:val="none" w:sz="0" w:space="0" w:color="auto"/>
        <w:left w:val="none" w:sz="0" w:space="0" w:color="auto"/>
        <w:bottom w:val="none" w:sz="0" w:space="0" w:color="auto"/>
        <w:right w:val="none" w:sz="0" w:space="0" w:color="auto"/>
      </w:divBdr>
    </w:div>
    <w:div w:id="914978651">
      <w:bodyDiv w:val="1"/>
      <w:marLeft w:val="0"/>
      <w:marRight w:val="0"/>
      <w:marTop w:val="0"/>
      <w:marBottom w:val="0"/>
      <w:divBdr>
        <w:top w:val="none" w:sz="0" w:space="0" w:color="auto"/>
        <w:left w:val="none" w:sz="0" w:space="0" w:color="auto"/>
        <w:bottom w:val="none" w:sz="0" w:space="0" w:color="auto"/>
        <w:right w:val="none" w:sz="0" w:space="0" w:color="auto"/>
      </w:divBdr>
    </w:div>
    <w:div w:id="919219180">
      <w:bodyDiv w:val="1"/>
      <w:marLeft w:val="0"/>
      <w:marRight w:val="0"/>
      <w:marTop w:val="0"/>
      <w:marBottom w:val="0"/>
      <w:divBdr>
        <w:top w:val="none" w:sz="0" w:space="0" w:color="auto"/>
        <w:left w:val="none" w:sz="0" w:space="0" w:color="auto"/>
        <w:bottom w:val="none" w:sz="0" w:space="0" w:color="auto"/>
        <w:right w:val="none" w:sz="0" w:space="0" w:color="auto"/>
      </w:divBdr>
    </w:div>
    <w:div w:id="923495209">
      <w:bodyDiv w:val="1"/>
      <w:marLeft w:val="0"/>
      <w:marRight w:val="0"/>
      <w:marTop w:val="0"/>
      <w:marBottom w:val="0"/>
      <w:divBdr>
        <w:top w:val="none" w:sz="0" w:space="0" w:color="auto"/>
        <w:left w:val="none" w:sz="0" w:space="0" w:color="auto"/>
        <w:bottom w:val="none" w:sz="0" w:space="0" w:color="auto"/>
        <w:right w:val="none" w:sz="0" w:space="0" w:color="auto"/>
      </w:divBdr>
    </w:div>
    <w:div w:id="928346605">
      <w:bodyDiv w:val="1"/>
      <w:marLeft w:val="0"/>
      <w:marRight w:val="0"/>
      <w:marTop w:val="0"/>
      <w:marBottom w:val="0"/>
      <w:divBdr>
        <w:top w:val="none" w:sz="0" w:space="0" w:color="auto"/>
        <w:left w:val="none" w:sz="0" w:space="0" w:color="auto"/>
        <w:bottom w:val="none" w:sz="0" w:space="0" w:color="auto"/>
        <w:right w:val="none" w:sz="0" w:space="0" w:color="auto"/>
      </w:divBdr>
    </w:div>
    <w:div w:id="929974202">
      <w:bodyDiv w:val="1"/>
      <w:marLeft w:val="0"/>
      <w:marRight w:val="0"/>
      <w:marTop w:val="0"/>
      <w:marBottom w:val="0"/>
      <w:divBdr>
        <w:top w:val="none" w:sz="0" w:space="0" w:color="auto"/>
        <w:left w:val="none" w:sz="0" w:space="0" w:color="auto"/>
        <w:bottom w:val="none" w:sz="0" w:space="0" w:color="auto"/>
        <w:right w:val="none" w:sz="0" w:space="0" w:color="auto"/>
      </w:divBdr>
    </w:div>
    <w:div w:id="932708730">
      <w:bodyDiv w:val="1"/>
      <w:marLeft w:val="0"/>
      <w:marRight w:val="0"/>
      <w:marTop w:val="0"/>
      <w:marBottom w:val="0"/>
      <w:divBdr>
        <w:top w:val="none" w:sz="0" w:space="0" w:color="auto"/>
        <w:left w:val="none" w:sz="0" w:space="0" w:color="auto"/>
        <w:bottom w:val="none" w:sz="0" w:space="0" w:color="auto"/>
        <w:right w:val="none" w:sz="0" w:space="0" w:color="auto"/>
      </w:divBdr>
    </w:div>
    <w:div w:id="933441395">
      <w:bodyDiv w:val="1"/>
      <w:marLeft w:val="0"/>
      <w:marRight w:val="0"/>
      <w:marTop w:val="0"/>
      <w:marBottom w:val="0"/>
      <w:divBdr>
        <w:top w:val="none" w:sz="0" w:space="0" w:color="auto"/>
        <w:left w:val="none" w:sz="0" w:space="0" w:color="auto"/>
        <w:bottom w:val="none" w:sz="0" w:space="0" w:color="auto"/>
        <w:right w:val="none" w:sz="0" w:space="0" w:color="auto"/>
      </w:divBdr>
    </w:div>
    <w:div w:id="934897689">
      <w:bodyDiv w:val="1"/>
      <w:marLeft w:val="0"/>
      <w:marRight w:val="0"/>
      <w:marTop w:val="0"/>
      <w:marBottom w:val="0"/>
      <w:divBdr>
        <w:top w:val="none" w:sz="0" w:space="0" w:color="auto"/>
        <w:left w:val="none" w:sz="0" w:space="0" w:color="auto"/>
        <w:bottom w:val="none" w:sz="0" w:space="0" w:color="auto"/>
        <w:right w:val="none" w:sz="0" w:space="0" w:color="auto"/>
      </w:divBdr>
    </w:div>
    <w:div w:id="936444539">
      <w:bodyDiv w:val="1"/>
      <w:marLeft w:val="0"/>
      <w:marRight w:val="0"/>
      <w:marTop w:val="0"/>
      <w:marBottom w:val="0"/>
      <w:divBdr>
        <w:top w:val="none" w:sz="0" w:space="0" w:color="auto"/>
        <w:left w:val="none" w:sz="0" w:space="0" w:color="auto"/>
        <w:bottom w:val="none" w:sz="0" w:space="0" w:color="auto"/>
        <w:right w:val="none" w:sz="0" w:space="0" w:color="auto"/>
      </w:divBdr>
    </w:div>
    <w:div w:id="942879358">
      <w:bodyDiv w:val="1"/>
      <w:marLeft w:val="0"/>
      <w:marRight w:val="0"/>
      <w:marTop w:val="0"/>
      <w:marBottom w:val="0"/>
      <w:divBdr>
        <w:top w:val="none" w:sz="0" w:space="0" w:color="auto"/>
        <w:left w:val="none" w:sz="0" w:space="0" w:color="auto"/>
        <w:bottom w:val="none" w:sz="0" w:space="0" w:color="auto"/>
        <w:right w:val="none" w:sz="0" w:space="0" w:color="auto"/>
      </w:divBdr>
    </w:div>
    <w:div w:id="944119940">
      <w:bodyDiv w:val="1"/>
      <w:marLeft w:val="0"/>
      <w:marRight w:val="0"/>
      <w:marTop w:val="0"/>
      <w:marBottom w:val="0"/>
      <w:divBdr>
        <w:top w:val="none" w:sz="0" w:space="0" w:color="auto"/>
        <w:left w:val="none" w:sz="0" w:space="0" w:color="auto"/>
        <w:bottom w:val="none" w:sz="0" w:space="0" w:color="auto"/>
        <w:right w:val="none" w:sz="0" w:space="0" w:color="auto"/>
      </w:divBdr>
    </w:div>
    <w:div w:id="947465919">
      <w:bodyDiv w:val="1"/>
      <w:marLeft w:val="0"/>
      <w:marRight w:val="0"/>
      <w:marTop w:val="0"/>
      <w:marBottom w:val="0"/>
      <w:divBdr>
        <w:top w:val="none" w:sz="0" w:space="0" w:color="auto"/>
        <w:left w:val="none" w:sz="0" w:space="0" w:color="auto"/>
        <w:bottom w:val="none" w:sz="0" w:space="0" w:color="auto"/>
        <w:right w:val="none" w:sz="0" w:space="0" w:color="auto"/>
      </w:divBdr>
    </w:div>
    <w:div w:id="950475005">
      <w:bodyDiv w:val="1"/>
      <w:marLeft w:val="0"/>
      <w:marRight w:val="0"/>
      <w:marTop w:val="0"/>
      <w:marBottom w:val="0"/>
      <w:divBdr>
        <w:top w:val="none" w:sz="0" w:space="0" w:color="auto"/>
        <w:left w:val="none" w:sz="0" w:space="0" w:color="auto"/>
        <w:bottom w:val="none" w:sz="0" w:space="0" w:color="auto"/>
        <w:right w:val="none" w:sz="0" w:space="0" w:color="auto"/>
      </w:divBdr>
    </w:div>
    <w:div w:id="953680138">
      <w:bodyDiv w:val="1"/>
      <w:marLeft w:val="0"/>
      <w:marRight w:val="0"/>
      <w:marTop w:val="0"/>
      <w:marBottom w:val="0"/>
      <w:divBdr>
        <w:top w:val="none" w:sz="0" w:space="0" w:color="auto"/>
        <w:left w:val="none" w:sz="0" w:space="0" w:color="auto"/>
        <w:bottom w:val="none" w:sz="0" w:space="0" w:color="auto"/>
        <w:right w:val="none" w:sz="0" w:space="0" w:color="auto"/>
      </w:divBdr>
    </w:div>
    <w:div w:id="954412263">
      <w:bodyDiv w:val="1"/>
      <w:marLeft w:val="0"/>
      <w:marRight w:val="0"/>
      <w:marTop w:val="0"/>
      <w:marBottom w:val="0"/>
      <w:divBdr>
        <w:top w:val="none" w:sz="0" w:space="0" w:color="auto"/>
        <w:left w:val="none" w:sz="0" w:space="0" w:color="auto"/>
        <w:bottom w:val="none" w:sz="0" w:space="0" w:color="auto"/>
        <w:right w:val="none" w:sz="0" w:space="0" w:color="auto"/>
      </w:divBdr>
    </w:div>
    <w:div w:id="957486848">
      <w:bodyDiv w:val="1"/>
      <w:marLeft w:val="0"/>
      <w:marRight w:val="0"/>
      <w:marTop w:val="0"/>
      <w:marBottom w:val="0"/>
      <w:divBdr>
        <w:top w:val="none" w:sz="0" w:space="0" w:color="auto"/>
        <w:left w:val="none" w:sz="0" w:space="0" w:color="auto"/>
        <w:bottom w:val="none" w:sz="0" w:space="0" w:color="auto"/>
        <w:right w:val="none" w:sz="0" w:space="0" w:color="auto"/>
      </w:divBdr>
    </w:div>
    <w:div w:id="960305046">
      <w:bodyDiv w:val="1"/>
      <w:marLeft w:val="0"/>
      <w:marRight w:val="0"/>
      <w:marTop w:val="0"/>
      <w:marBottom w:val="0"/>
      <w:divBdr>
        <w:top w:val="none" w:sz="0" w:space="0" w:color="auto"/>
        <w:left w:val="none" w:sz="0" w:space="0" w:color="auto"/>
        <w:bottom w:val="none" w:sz="0" w:space="0" w:color="auto"/>
        <w:right w:val="none" w:sz="0" w:space="0" w:color="auto"/>
      </w:divBdr>
    </w:div>
    <w:div w:id="963774213">
      <w:bodyDiv w:val="1"/>
      <w:marLeft w:val="0"/>
      <w:marRight w:val="0"/>
      <w:marTop w:val="0"/>
      <w:marBottom w:val="0"/>
      <w:divBdr>
        <w:top w:val="none" w:sz="0" w:space="0" w:color="auto"/>
        <w:left w:val="none" w:sz="0" w:space="0" w:color="auto"/>
        <w:bottom w:val="none" w:sz="0" w:space="0" w:color="auto"/>
        <w:right w:val="none" w:sz="0" w:space="0" w:color="auto"/>
      </w:divBdr>
    </w:div>
    <w:div w:id="964000458">
      <w:bodyDiv w:val="1"/>
      <w:marLeft w:val="0"/>
      <w:marRight w:val="0"/>
      <w:marTop w:val="0"/>
      <w:marBottom w:val="0"/>
      <w:divBdr>
        <w:top w:val="none" w:sz="0" w:space="0" w:color="auto"/>
        <w:left w:val="none" w:sz="0" w:space="0" w:color="auto"/>
        <w:bottom w:val="none" w:sz="0" w:space="0" w:color="auto"/>
        <w:right w:val="none" w:sz="0" w:space="0" w:color="auto"/>
      </w:divBdr>
    </w:div>
    <w:div w:id="966660229">
      <w:bodyDiv w:val="1"/>
      <w:marLeft w:val="0"/>
      <w:marRight w:val="0"/>
      <w:marTop w:val="0"/>
      <w:marBottom w:val="0"/>
      <w:divBdr>
        <w:top w:val="none" w:sz="0" w:space="0" w:color="auto"/>
        <w:left w:val="none" w:sz="0" w:space="0" w:color="auto"/>
        <w:bottom w:val="none" w:sz="0" w:space="0" w:color="auto"/>
        <w:right w:val="none" w:sz="0" w:space="0" w:color="auto"/>
      </w:divBdr>
    </w:div>
    <w:div w:id="968437174">
      <w:bodyDiv w:val="1"/>
      <w:marLeft w:val="0"/>
      <w:marRight w:val="0"/>
      <w:marTop w:val="0"/>
      <w:marBottom w:val="0"/>
      <w:divBdr>
        <w:top w:val="none" w:sz="0" w:space="0" w:color="auto"/>
        <w:left w:val="none" w:sz="0" w:space="0" w:color="auto"/>
        <w:bottom w:val="none" w:sz="0" w:space="0" w:color="auto"/>
        <w:right w:val="none" w:sz="0" w:space="0" w:color="auto"/>
      </w:divBdr>
    </w:div>
    <w:div w:id="970594921">
      <w:bodyDiv w:val="1"/>
      <w:marLeft w:val="0"/>
      <w:marRight w:val="0"/>
      <w:marTop w:val="0"/>
      <w:marBottom w:val="0"/>
      <w:divBdr>
        <w:top w:val="none" w:sz="0" w:space="0" w:color="auto"/>
        <w:left w:val="none" w:sz="0" w:space="0" w:color="auto"/>
        <w:bottom w:val="none" w:sz="0" w:space="0" w:color="auto"/>
        <w:right w:val="none" w:sz="0" w:space="0" w:color="auto"/>
      </w:divBdr>
    </w:div>
    <w:div w:id="970744849">
      <w:bodyDiv w:val="1"/>
      <w:marLeft w:val="0"/>
      <w:marRight w:val="0"/>
      <w:marTop w:val="0"/>
      <w:marBottom w:val="0"/>
      <w:divBdr>
        <w:top w:val="none" w:sz="0" w:space="0" w:color="auto"/>
        <w:left w:val="none" w:sz="0" w:space="0" w:color="auto"/>
        <w:bottom w:val="none" w:sz="0" w:space="0" w:color="auto"/>
        <w:right w:val="none" w:sz="0" w:space="0" w:color="auto"/>
      </w:divBdr>
    </w:div>
    <w:div w:id="971397677">
      <w:bodyDiv w:val="1"/>
      <w:marLeft w:val="0"/>
      <w:marRight w:val="0"/>
      <w:marTop w:val="0"/>
      <w:marBottom w:val="0"/>
      <w:divBdr>
        <w:top w:val="none" w:sz="0" w:space="0" w:color="auto"/>
        <w:left w:val="none" w:sz="0" w:space="0" w:color="auto"/>
        <w:bottom w:val="none" w:sz="0" w:space="0" w:color="auto"/>
        <w:right w:val="none" w:sz="0" w:space="0" w:color="auto"/>
      </w:divBdr>
    </w:div>
    <w:div w:id="971905078">
      <w:bodyDiv w:val="1"/>
      <w:marLeft w:val="0"/>
      <w:marRight w:val="0"/>
      <w:marTop w:val="0"/>
      <w:marBottom w:val="0"/>
      <w:divBdr>
        <w:top w:val="none" w:sz="0" w:space="0" w:color="auto"/>
        <w:left w:val="none" w:sz="0" w:space="0" w:color="auto"/>
        <w:bottom w:val="none" w:sz="0" w:space="0" w:color="auto"/>
        <w:right w:val="none" w:sz="0" w:space="0" w:color="auto"/>
      </w:divBdr>
    </w:div>
    <w:div w:id="974143484">
      <w:bodyDiv w:val="1"/>
      <w:marLeft w:val="0"/>
      <w:marRight w:val="0"/>
      <w:marTop w:val="0"/>
      <w:marBottom w:val="0"/>
      <w:divBdr>
        <w:top w:val="none" w:sz="0" w:space="0" w:color="auto"/>
        <w:left w:val="none" w:sz="0" w:space="0" w:color="auto"/>
        <w:bottom w:val="none" w:sz="0" w:space="0" w:color="auto"/>
        <w:right w:val="none" w:sz="0" w:space="0" w:color="auto"/>
      </w:divBdr>
    </w:div>
    <w:div w:id="977419798">
      <w:bodyDiv w:val="1"/>
      <w:marLeft w:val="0"/>
      <w:marRight w:val="0"/>
      <w:marTop w:val="0"/>
      <w:marBottom w:val="0"/>
      <w:divBdr>
        <w:top w:val="none" w:sz="0" w:space="0" w:color="auto"/>
        <w:left w:val="none" w:sz="0" w:space="0" w:color="auto"/>
        <w:bottom w:val="none" w:sz="0" w:space="0" w:color="auto"/>
        <w:right w:val="none" w:sz="0" w:space="0" w:color="auto"/>
      </w:divBdr>
    </w:div>
    <w:div w:id="982123168">
      <w:bodyDiv w:val="1"/>
      <w:marLeft w:val="0"/>
      <w:marRight w:val="0"/>
      <w:marTop w:val="0"/>
      <w:marBottom w:val="0"/>
      <w:divBdr>
        <w:top w:val="none" w:sz="0" w:space="0" w:color="auto"/>
        <w:left w:val="none" w:sz="0" w:space="0" w:color="auto"/>
        <w:bottom w:val="none" w:sz="0" w:space="0" w:color="auto"/>
        <w:right w:val="none" w:sz="0" w:space="0" w:color="auto"/>
      </w:divBdr>
    </w:div>
    <w:div w:id="986470563">
      <w:bodyDiv w:val="1"/>
      <w:marLeft w:val="0"/>
      <w:marRight w:val="0"/>
      <w:marTop w:val="0"/>
      <w:marBottom w:val="0"/>
      <w:divBdr>
        <w:top w:val="none" w:sz="0" w:space="0" w:color="auto"/>
        <w:left w:val="none" w:sz="0" w:space="0" w:color="auto"/>
        <w:bottom w:val="none" w:sz="0" w:space="0" w:color="auto"/>
        <w:right w:val="none" w:sz="0" w:space="0" w:color="auto"/>
      </w:divBdr>
    </w:div>
    <w:div w:id="988896931">
      <w:bodyDiv w:val="1"/>
      <w:marLeft w:val="0"/>
      <w:marRight w:val="0"/>
      <w:marTop w:val="0"/>
      <w:marBottom w:val="0"/>
      <w:divBdr>
        <w:top w:val="none" w:sz="0" w:space="0" w:color="auto"/>
        <w:left w:val="none" w:sz="0" w:space="0" w:color="auto"/>
        <w:bottom w:val="none" w:sz="0" w:space="0" w:color="auto"/>
        <w:right w:val="none" w:sz="0" w:space="0" w:color="auto"/>
      </w:divBdr>
    </w:div>
    <w:div w:id="988898589">
      <w:bodyDiv w:val="1"/>
      <w:marLeft w:val="0"/>
      <w:marRight w:val="0"/>
      <w:marTop w:val="0"/>
      <w:marBottom w:val="0"/>
      <w:divBdr>
        <w:top w:val="none" w:sz="0" w:space="0" w:color="auto"/>
        <w:left w:val="none" w:sz="0" w:space="0" w:color="auto"/>
        <w:bottom w:val="none" w:sz="0" w:space="0" w:color="auto"/>
        <w:right w:val="none" w:sz="0" w:space="0" w:color="auto"/>
      </w:divBdr>
    </w:div>
    <w:div w:id="996423709">
      <w:bodyDiv w:val="1"/>
      <w:marLeft w:val="0"/>
      <w:marRight w:val="0"/>
      <w:marTop w:val="0"/>
      <w:marBottom w:val="0"/>
      <w:divBdr>
        <w:top w:val="none" w:sz="0" w:space="0" w:color="auto"/>
        <w:left w:val="none" w:sz="0" w:space="0" w:color="auto"/>
        <w:bottom w:val="none" w:sz="0" w:space="0" w:color="auto"/>
        <w:right w:val="none" w:sz="0" w:space="0" w:color="auto"/>
      </w:divBdr>
    </w:div>
    <w:div w:id="997197779">
      <w:bodyDiv w:val="1"/>
      <w:marLeft w:val="0"/>
      <w:marRight w:val="0"/>
      <w:marTop w:val="0"/>
      <w:marBottom w:val="0"/>
      <w:divBdr>
        <w:top w:val="none" w:sz="0" w:space="0" w:color="auto"/>
        <w:left w:val="none" w:sz="0" w:space="0" w:color="auto"/>
        <w:bottom w:val="none" w:sz="0" w:space="0" w:color="auto"/>
        <w:right w:val="none" w:sz="0" w:space="0" w:color="auto"/>
      </w:divBdr>
    </w:div>
    <w:div w:id="997346194">
      <w:bodyDiv w:val="1"/>
      <w:marLeft w:val="0"/>
      <w:marRight w:val="0"/>
      <w:marTop w:val="0"/>
      <w:marBottom w:val="0"/>
      <w:divBdr>
        <w:top w:val="none" w:sz="0" w:space="0" w:color="auto"/>
        <w:left w:val="none" w:sz="0" w:space="0" w:color="auto"/>
        <w:bottom w:val="none" w:sz="0" w:space="0" w:color="auto"/>
        <w:right w:val="none" w:sz="0" w:space="0" w:color="auto"/>
      </w:divBdr>
    </w:div>
    <w:div w:id="997417470">
      <w:bodyDiv w:val="1"/>
      <w:marLeft w:val="0"/>
      <w:marRight w:val="0"/>
      <w:marTop w:val="0"/>
      <w:marBottom w:val="0"/>
      <w:divBdr>
        <w:top w:val="none" w:sz="0" w:space="0" w:color="auto"/>
        <w:left w:val="none" w:sz="0" w:space="0" w:color="auto"/>
        <w:bottom w:val="none" w:sz="0" w:space="0" w:color="auto"/>
        <w:right w:val="none" w:sz="0" w:space="0" w:color="auto"/>
      </w:divBdr>
    </w:div>
    <w:div w:id="1005595173">
      <w:bodyDiv w:val="1"/>
      <w:marLeft w:val="0"/>
      <w:marRight w:val="0"/>
      <w:marTop w:val="0"/>
      <w:marBottom w:val="0"/>
      <w:divBdr>
        <w:top w:val="none" w:sz="0" w:space="0" w:color="auto"/>
        <w:left w:val="none" w:sz="0" w:space="0" w:color="auto"/>
        <w:bottom w:val="none" w:sz="0" w:space="0" w:color="auto"/>
        <w:right w:val="none" w:sz="0" w:space="0" w:color="auto"/>
      </w:divBdr>
    </w:div>
    <w:div w:id="1007945968">
      <w:bodyDiv w:val="1"/>
      <w:marLeft w:val="0"/>
      <w:marRight w:val="0"/>
      <w:marTop w:val="0"/>
      <w:marBottom w:val="0"/>
      <w:divBdr>
        <w:top w:val="none" w:sz="0" w:space="0" w:color="auto"/>
        <w:left w:val="none" w:sz="0" w:space="0" w:color="auto"/>
        <w:bottom w:val="none" w:sz="0" w:space="0" w:color="auto"/>
        <w:right w:val="none" w:sz="0" w:space="0" w:color="auto"/>
      </w:divBdr>
    </w:div>
    <w:div w:id="1010788891">
      <w:bodyDiv w:val="1"/>
      <w:marLeft w:val="0"/>
      <w:marRight w:val="0"/>
      <w:marTop w:val="0"/>
      <w:marBottom w:val="0"/>
      <w:divBdr>
        <w:top w:val="none" w:sz="0" w:space="0" w:color="auto"/>
        <w:left w:val="none" w:sz="0" w:space="0" w:color="auto"/>
        <w:bottom w:val="none" w:sz="0" w:space="0" w:color="auto"/>
        <w:right w:val="none" w:sz="0" w:space="0" w:color="auto"/>
      </w:divBdr>
    </w:div>
    <w:div w:id="1011370473">
      <w:bodyDiv w:val="1"/>
      <w:marLeft w:val="0"/>
      <w:marRight w:val="0"/>
      <w:marTop w:val="0"/>
      <w:marBottom w:val="0"/>
      <w:divBdr>
        <w:top w:val="none" w:sz="0" w:space="0" w:color="auto"/>
        <w:left w:val="none" w:sz="0" w:space="0" w:color="auto"/>
        <w:bottom w:val="none" w:sz="0" w:space="0" w:color="auto"/>
        <w:right w:val="none" w:sz="0" w:space="0" w:color="auto"/>
      </w:divBdr>
    </w:div>
    <w:div w:id="1013606763">
      <w:bodyDiv w:val="1"/>
      <w:marLeft w:val="0"/>
      <w:marRight w:val="0"/>
      <w:marTop w:val="0"/>
      <w:marBottom w:val="0"/>
      <w:divBdr>
        <w:top w:val="none" w:sz="0" w:space="0" w:color="auto"/>
        <w:left w:val="none" w:sz="0" w:space="0" w:color="auto"/>
        <w:bottom w:val="none" w:sz="0" w:space="0" w:color="auto"/>
        <w:right w:val="none" w:sz="0" w:space="0" w:color="auto"/>
      </w:divBdr>
    </w:div>
    <w:div w:id="1013873999">
      <w:bodyDiv w:val="1"/>
      <w:marLeft w:val="0"/>
      <w:marRight w:val="0"/>
      <w:marTop w:val="0"/>
      <w:marBottom w:val="0"/>
      <w:divBdr>
        <w:top w:val="none" w:sz="0" w:space="0" w:color="auto"/>
        <w:left w:val="none" w:sz="0" w:space="0" w:color="auto"/>
        <w:bottom w:val="none" w:sz="0" w:space="0" w:color="auto"/>
        <w:right w:val="none" w:sz="0" w:space="0" w:color="auto"/>
      </w:divBdr>
    </w:div>
    <w:div w:id="1015959238">
      <w:bodyDiv w:val="1"/>
      <w:marLeft w:val="0"/>
      <w:marRight w:val="0"/>
      <w:marTop w:val="0"/>
      <w:marBottom w:val="0"/>
      <w:divBdr>
        <w:top w:val="none" w:sz="0" w:space="0" w:color="auto"/>
        <w:left w:val="none" w:sz="0" w:space="0" w:color="auto"/>
        <w:bottom w:val="none" w:sz="0" w:space="0" w:color="auto"/>
        <w:right w:val="none" w:sz="0" w:space="0" w:color="auto"/>
      </w:divBdr>
    </w:div>
    <w:div w:id="1017195804">
      <w:bodyDiv w:val="1"/>
      <w:marLeft w:val="0"/>
      <w:marRight w:val="0"/>
      <w:marTop w:val="0"/>
      <w:marBottom w:val="0"/>
      <w:divBdr>
        <w:top w:val="none" w:sz="0" w:space="0" w:color="auto"/>
        <w:left w:val="none" w:sz="0" w:space="0" w:color="auto"/>
        <w:bottom w:val="none" w:sz="0" w:space="0" w:color="auto"/>
        <w:right w:val="none" w:sz="0" w:space="0" w:color="auto"/>
      </w:divBdr>
    </w:div>
    <w:div w:id="1020012124">
      <w:bodyDiv w:val="1"/>
      <w:marLeft w:val="0"/>
      <w:marRight w:val="0"/>
      <w:marTop w:val="0"/>
      <w:marBottom w:val="0"/>
      <w:divBdr>
        <w:top w:val="none" w:sz="0" w:space="0" w:color="auto"/>
        <w:left w:val="none" w:sz="0" w:space="0" w:color="auto"/>
        <w:bottom w:val="none" w:sz="0" w:space="0" w:color="auto"/>
        <w:right w:val="none" w:sz="0" w:space="0" w:color="auto"/>
      </w:divBdr>
    </w:div>
    <w:div w:id="1028525306">
      <w:bodyDiv w:val="1"/>
      <w:marLeft w:val="0"/>
      <w:marRight w:val="0"/>
      <w:marTop w:val="0"/>
      <w:marBottom w:val="0"/>
      <w:divBdr>
        <w:top w:val="none" w:sz="0" w:space="0" w:color="auto"/>
        <w:left w:val="none" w:sz="0" w:space="0" w:color="auto"/>
        <w:bottom w:val="none" w:sz="0" w:space="0" w:color="auto"/>
        <w:right w:val="none" w:sz="0" w:space="0" w:color="auto"/>
      </w:divBdr>
    </w:div>
    <w:div w:id="1032926899">
      <w:bodyDiv w:val="1"/>
      <w:marLeft w:val="0"/>
      <w:marRight w:val="0"/>
      <w:marTop w:val="0"/>
      <w:marBottom w:val="0"/>
      <w:divBdr>
        <w:top w:val="none" w:sz="0" w:space="0" w:color="auto"/>
        <w:left w:val="none" w:sz="0" w:space="0" w:color="auto"/>
        <w:bottom w:val="none" w:sz="0" w:space="0" w:color="auto"/>
        <w:right w:val="none" w:sz="0" w:space="0" w:color="auto"/>
      </w:divBdr>
    </w:div>
    <w:div w:id="1033261655">
      <w:bodyDiv w:val="1"/>
      <w:marLeft w:val="0"/>
      <w:marRight w:val="0"/>
      <w:marTop w:val="0"/>
      <w:marBottom w:val="0"/>
      <w:divBdr>
        <w:top w:val="none" w:sz="0" w:space="0" w:color="auto"/>
        <w:left w:val="none" w:sz="0" w:space="0" w:color="auto"/>
        <w:bottom w:val="none" w:sz="0" w:space="0" w:color="auto"/>
        <w:right w:val="none" w:sz="0" w:space="0" w:color="auto"/>
      </w:divBdr>
    </w:div>
    <w:div w:id="1034497116">
      <w:bodyDiv w:val="1"/>
      <w:marLeft w:val="0"/>
      <w:marRight w:val="0"/>
      <w:marTop w:val="0"/>
      <w:marBottom w:val="0"/>
      <w:divBdr>
        <w:top w:val="none" w:sz="0" w:space="0" w:color="auto"/>
        <w:left w:val="none" w:sz="0" w:space="0" w:color="auto"/>
        <w:bottom w:val="none" w:sz="0" w:space="0" w:color="auto"/>
        <w:right w:val="none" w:sz="0" w:space="0" w:color="auto"/>
      </w:divBdr>
    </w:div>
    <w:div w:id="1035690066">
      <w:bodyDiv w:val="1"/>
      <w:marLeft w:val="0"/>
      <w:marRight w:val="0"/>
      <w:marTop w:val="0"/>
      <w:marBottom w:val="0"/>
      <w:divBdr>
        <w:top w:val="none" w:sz="0" w:space="0" w:color="auto"/>
        <w:left w:val="none" w:sz="0" w:space="0" w:color="auto"/>
        <w:bottom w:val="none" w:sz="0" w:space="0" w:color="auto"/>
        <w:right w:val="none" w:sz="0" w:space="0" w:color="auto"/>
      </w:divBdr>
    </w:div>
    <w:div w:id="1036811912">
      <w:bodyDiv w:val="1"/>
      <w:marLeft w:val="0"/>
      <w:marRight w:val="0"/>
      <w:marTop w:val="0"/>
      <w:marBottom w:val="0"/>
      <w:divBdr>
        <w:top w:val="none" w:sz="0" w:space="0" w:color="auto"/>
        <w:left w:val="none" w:sz="0" w:space="0" w:color="auto"/>
        <w:bottom w:val="none" w:sz="0" w:space="0" w:color="auto"/>
        <w:right w:val="none" w:sz="0" w:space="0" w:color="auto"/>
      </w:divBdr>
    </w:div>
    <w:div w:id="1042897416">
      <w:bodyDiv w:val="1"/>
      <w:marLeft w:val="0"/>
      <w:marRight w:val="0"/>
      <w:marTop w:val="0"/>
      <w:marBottom w:val="0"/>
      <w:divBdr>
        <w:top w:val="none" w:sz="0" w:space="0" w:color="auto"/>
        <w:left w:val="none" w:sz="0" w:space="0" w:color="auto"/>
        <w:bottom w:val="none" w:sz="0" w:space="0" w:color="auto"/>
        <w:right w:val="none" w:sz="0" w:space="0" w:color="auto"/>
      </w:divBdr>
    </w:div>
    <w:div w:id="1045787845">
      <w:bodyDiv w:val="1"/>
      <w:marLeft w:val="0"/>
      <w:marRight w:val="0"/>
      <w:marTop w:val="0"/>
      <w:marBottom w:val="0"/>
      <w:divBdr>
        <w:top w:val="none" w:sz="0" w:space="0" w:color="auto"/>
        <w:left w:val="none" w:sz="0" w:space="0" w:color="auto"/>
        <w:bottom w:val="none" w:sz="0" w:space="0" w:color="auto"/>
        <w:right w:val="none" w:sz="0" w:space="0" w:color="auto"/>
      </w:divBdr>
    </w:div>
    <w:div w:id="1053890469">
      <w:bodyDiv w:val="1"/>
      <w:marLeft w:val="0"/>
      <w:marRight w:val="0"/>
      <w:marTop w:val="0"/>
      <w:marBottom w:val="0"/>
      <w:divBdr>
        <w:top w:val="none" w:sz="0" w:space="0" w:color="auto"/>
        <w:left w:val="none" w:sz="0" w:space="0" w:color="auto"/>
        <w:bottom w:val="none" w:sz="0" w:space="0" w:color="auto"/>
        <w:right w:val="none" w:sz="0" w:space="0" w:color="auto"/>
      </w:divBdr>
    </w:div>
    <w:div w:id="1060127507">
      <w:bodyDiv w:val="1"/>
      <w:marLeft w:val="0"/>
      <w:marRight w:val="0"/>
      <w:marTop w:val="0"/>
      <w:marBottom w:val="0"/>
      <w:divBdr>
        <w:top w:val="none" w:sz="0" w:space="0" w:color="auto"/>
        <w:left w:val="none" w:sz="0" w:space="0" w:color="auto"/>
        <w:bottom w:val="none" w:sz="0" w:space="0" w:color="auto"/>
        <w:right w:val="none" w:sz="0" w:space="0" w:color="auto"/>
      </w:divBdr>
    </w:div>
    <w:div w:id="1061755170">
      <w:bodyDiv w:val="1"/>
      <w:marLeft w:val="0"/>
      <w:marRight w:val="0"/>
      <w:marTop w:val="0"/>
      <w:marBottom w:val="0"/>
      <w:divBdr>
        <w:top w:val="none" w:sz="0" w:space="0" w:color="auto"/>
        <w:left w:val="none" w:sz="0" w:space="0" w:color="auto"/>
        <w:bottom w:val="none" w:sz="0" w:space="0" w:color="auto"/>
        <w:right w:val="none" w:sz="0" w:space="0" w:color="auto"/>
      </w:divBdr>
    </w:div>
    <w:div w:id="1063333486">
      <w:bodyDiv w:val="1"/>
      <w:marLeft w:val="0"/>
      <w:marRight w:val="0"/>
      <w:marTop w:val="0"/>
      <w:marBottom w:val="0"/>
      <w:divBdr>
        <w:top w:val="none" w:sz="0" w:space="0" w:color="auto"/>
        <w:left w:val="none" w:sz="0" w:space="0" w:color="auto"/>
        <w:bottom w:val="none" w:sz="0" w:space="0" w:color="auto"/>
        <w:right w:val="none" w:sz="0" w:space="0" w:color="auto"/>
      </w:divBdr>
    </w:div>
    <w:div w:id="1064255546">
      <w:bodyDiv w:val="1"/>
      <w:marLeft w:val="0"/>
      <w:marRight w:val="0"/>
      <w:marTop w:val="0"/>
      <w:marBottom w:val="0"/>
      <w:divBdr>
        <w:top w:val="none" w:sz="0" w:space="0" w:color="auto"/>
        <w:left w:val="none" w:sz="0" w:space="0" w:color="auto"/>
        <w:bottom w:val="none" w:sz="0" w:space="0" w:color="auto"/>
        <w:right w:val="none" w:sz="0" w:space="0" w:color="auto"/>
      </w:divBdr>
    </w:div>
    <w:div w:id="1075737923">
      <w:bodyDiv w:val="1"/>
      <w:marLeft w:val="0"/>
      <w:marRight w:val="0"/>
      <w:marTop w:val="0"/>
      <w:marBottom w:val="0"/>
      <w:divBdr>
        <w:top w:val="none" w:sz="0" w:space="0" w:color="auto"/>
        <w:left w:val="none" w:sz="0" w:space="0" w:color="auto"/>
        <w:bottom w:val="none" w:sz="0" w:space="0" w:color="auto"/>
        <w:right w:val="none" w:sz="0" w:space="0" w:color="auto"/>
      </w:divBdr>
    </w:div>
    <w:div w:id="1081752722">
      <w:bodyDiv w:val="1"/>
      <w:marLeft w:val="0"/>
      <w:marRight w:val="0"/>
      <w:marTop w:val="0"/>
      <w:marBottom w:val="0"/>
      <w:divBdr>
        <w:top w:val="none" w:sz="0" w:space="0" w:color="auto"/>
        <w:left w:val="none" w:sz="0" w:space="0" w:color="auto"/>
        <w:bottom w:val="none" w:sz="0" w:space="0" w:color="auto"/>
        <w:right w:val="none" w:sz="0" w:space="0" w:color="auto"/>
      </w:divBdr>
    </w:div>
    <w:div w:id="1084372904">
      <w:bodyDiv w:val="1"/>
      <w:marLeft w:val="0"/>
      <w:marRight w:val="0"/>
      <w:marTop w:val="0"/>
      <w:marBottom w:val="0"/>
      <w:divBdr>
        <w:top w:val="none" w:sz="0" w:space="0" w:color="auto"/>
        <w:left w:val="none" w:sz="0" w:space="0" w:color="auto"/>
        <w:bottom w:val="none" w:sz="0" w:space="0" w:color="auto"/>
        <w:right w:val="none" w:sz="0" w:space="0" w:color="auto"/>
      </w:divBdr>
    </w:div>
    <w:div w:id="1090856646">
      <w:bodyDiv w:val="1"/>
      <w:marLeft w:val="0"/>
      <w:marRight w:val="0"/>
      <w:marTop w:val="0"/>
      <w:marBottom w:val="0"/>
      <w:divBdr>
        <w:top w:val="none" w:sz="0" w:space="0" w:color="auto"/>
        <w:left w:val="none" w:sz="0" w:space="0" w:color="auto"/>
        <w:bottom w:val="none" w:sz="0" w:space="0" w:color="auto"/>
        <w:right w:val="none" w:sz="0" w:space="0" w:color="auto"/>
      </w:divBdr>
    </w:div>
    <w:div w:id="1091003232">
      <w:bodyDiv w:val="1"/>
      <w:marLeft w:val="0"/>
      <w:marRight w:val="0"/>
      <w:marTop w:val="0"/>
      <w:marBottom w:val="0"/>
      <w:divBdr>
        <w:top w:val="none" w:sz="0" w:space="0" w:color="auto"/>
        <w:left w:val="none" w:sz="0" w:space="0" w:color="auto"/>
        <w:bottom w:val="none" w:sz="0" w:space="0" w:color="auto"/>
        <w:right w:val="none" w:sz="0" w:space="0" w:color="auto"/>
      </w:divBdr>
    </w:div>
    <w:div w:id="1092815940">
      <w:bodyDiv w:val="1"/>
      <w:marLeft w:val="0"/>
      <w:marRight w:val="0"/>
      <w:marTop w:val="0"/>
      <w:marBottom w:val="0"/>
      <w:divBdr>
        <w:top w:val="none" w:sz="0" w:space="0" w:color="auto"/>
        <w:left w:val="none" w:sz="0" w:space="0" w:color="auto"/>
        <w:bottom w:val="none" w:sz="0" w:space="0" w:color="auto"/>
        <w:right w:val="none" w:sz="0" w:space="0" w:color="auto"/>
      </w:divBdr>
    </w:div>
    <w:div w:id="1093013067">
      <w:bodyDiv w:val="1"/>
      <w:marLeft w:val="0"/>
      <w:marRight w:val="0"/>
      <w:marTop w:val="0"/>
      <w:marBottom w:val="0"/>
      <w:divBdr>
        <w:top w:val="none" w:sz="0" w:space="0" w:color="auto"/>
        <w:left w:val="none" w:sz="0" w:space="0" w:color="auto"/>
        <w:bottom w:val="none" w:sz="0" w:space="0" w:color="auto"/>
        <w:right w:val="none" w:sz="0" w:space="0" w:color="auto"/>
      </w:divBdr>
    </w:div>
    <w:div w:id="1093160565">
      <w:bodyDiv w:val="1"/>
      <w:marLeft w:val="0"/>
      <w:marRight w:val="0"/>
      <w:marTop w:val="0"/>
      <w:marBottom w:val="0"/>
      <w:divBdr>
        <w:top w:val="none" w:sz="0" w:space="0" w:color="auto"/>
        <w:left w:val="none" w:sz="0" w:space="0" w:color="auto"/>
        <w:bottom w:val="none" w:sz="0" w:space="0" w:color="auto"/>
        <w:right w:val="none" w:sz="0" w:space="0" w:color="auto"/>
      </w:divBdr>
    </w:div>
    <w:div w:id="1095325728">
      <w:bodyDiv w:val="1"/>
      <w:marLeft w:val="0"/>
      <w:marRight w:val="0"/>
      <w:marTop w:val="0"/>
      <w:marBottom w:val="0"/>
      <w:divBdr>
        <w:top w:val="none" w:sz="0" w:space="0" w:color="auto"/>
        <w:left w:val="none" w:sz="0" w:space="0" w:color="auto"/>
        <w:bottom w:val="none" w:sz="0" w:space="0" w:color="auto"/>
        <w:right w:val="none" w:sz="0" w:space="0" w:color="auto"/>
      </w:divBdr>
    </w:div>
    <w:div w:id="1102258998">
      <w:bodyDiv w:val="1"/>
      <w:marLeft w:val="0"/>
      <w:marRight w:val="0"/>
      <w:marTop w:val="0"/>
      <w:marBottom w:val="0"/>
      <w:divBdr>
        <w:top w:val="none" w:sz="0" w:space="0" w:color="auto"/>
        <w:left w:val="none" w:sz="0" w:space="0" w:color="auto"/>
        <w:bottom w:val="none" w:sz="0" w:space="0" w:color="auto"/>
        <w:right w:val="none" w:sz="0" w:space="0" w:color="auto"/>
      </w:divBdr>
    </w:div>
    <w:div w:id="1104039676">
      <w:bodyDiv w:val="1"/>
      <w:marLeft w:val="0"/>
      <w:marRight w:val="0"/>
      <w:marTop w:val="0"/>
      <w:marBottom w:val="0"/>
      <w:divBdr>
        <w:top w:val="none" w:sz="0" w:space="0" w:color="auto"/>
        <w:left w:val="none" w:sz="0" w:space="0" w:color="auto"/>
        <w:bottom w:val="none" w:sz="0" w:space="0" w:color="auto"/>
        <w:right w:val="none" w:sz="0" w:space="0" w:color="auto"/>
      </w:divBdr>
    </w:div>
    <w:div w:id="1110012395">
      <w:bodyDiv w:val="1"/>
      <w:marLeft w:val="0"/>
      <w:marRight w:val="0"/>
      <w:marTop w:val="0"/>
      <w:marBottom w:val="0"/>
      <w:divBdr>
        <w:top w:val="none" w:sz="0" w:space="0" w:color="auto"/>
        <w:left w:val="none" w:sz="0" w:space="0" w:color="auto"/>
        <w:bottom w:val="none" w:sz="0" w:space="0" w:color="auto"/>
        <w:right w:val="none" w:sz="0" w:space="0" w:color="auto"/>
      </w:divBdr>
    </w:div>
    <w:div w:id="1113986565">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8261332">
      <w:bodyDiv w:val="1"/>
      <w:marLeft w:val="0"/>
      <w:marRight w:val="0"/>
      <w:marTop w:val="0"/>
      <w:marBottom w:val="0"/>
      <w:divBdr>
        <w:top w:val="none" w:sz="0" w:space="0" w:color="auto"/>
        <w:left w:val="none" w:sz="0" w:space="0" w:color="auto"/>
        <w:bottom w:val="none" w:sz="0" w:space="0" w:color="auto"/>
        <w:right w:val="none" w:sz="0" w:space="0" w:color="auto"/>
      </w:divBdr>
    </w:div>
    <w:div w:id="1122573748">
      <w:bodyDiv w:val="1"/>
      <w:marLeft w:val="0"/>
      <w:marRight w:val="0"/>
      <w:marTop w:val="0"/>
      <w:marBottom w:val="0"/>
      <w:divBdr>
        <w:top w:val="none" w:sz="0" w:space="0" w:color="auto"/>
        <w:left w:val="none" w:sz="0" w:space="0" w:color="auto"/>
        <w:bottom w:val="none" w:sz="0" w:space="0" w:color="auto"/>
        <w:right w:val="none" w:sz="0" w:space="0" w:color="auto"/>
      </w:divBdr>
    </w:div>
    <w:div w:id="1123041605">
      <w:bodyDiv w:val="1"/>
      <w:marLeft w:val="0"/>
      <w:marRight w:val="0"/>
      <w:marTop w:val="0"/>
      <w:marBottom w:val="0"/>
      <w:divBdr>
        <w:top w:val="none" w:sz="0" w:space="0" w:color="auto"/>
        <w:left w:val="none" w:sz="0" w:space="0" w:color="auto"/>
        <w:bottom w:val="none" w:sz="0" w:space="0" w:color="auto"/>
        <w:right w:val="none" w:sz="0" w:space="0" w:color="auto"/>
      </w:divBdr>
    </w:div>
    <w:div w:id="1125850576">
      <w:bodyDiv w:val="1"/>
      <w:marLeft w:val="0"/>
      <w:marRight w:val="0"/>
      <w:marTop w:val="0"/>
      <w:marBottom w:val="0"/>
      <w:divBdr>
        <w:top w:val="none" w:sz="0" w:space="0" w:color="auto"/>
        <w:left w:val="none" w:sz="0" w:space="0" w:color="auto"/>
        <w:bottom w:val="none" w:sz="0" w:space="0" w:color="auto"/>
        <w:right w:val="none" w:sz="0" w:space="0" w:color="auto"/>
      </w:divBdr>
    </w:div>
    <w:div w:id="1126896540">
      <w:bodyDiv w:val="1"/>
      <w:marLeft w:val="0"/>
      <w:marRight w:val="0"/>
      <w:marTop w:val="0"/>
      <w:marBottom w:val="0"/>
      <w:divBdr>
        <w:top w:val="none" w:sz="0" w:space="0" w:color="auto"/>
        <w:left w:val="none" w:sz="0" w:space="0" w:color="auto"/>
        <w:bottom w:val="none" w:sz="0" w:space="0" w:color="auto"/>
        <w:right w:val="none" w:sz="0" w:space="0" w:color="auto"/>
      </w:divBdr>
    </w:div>
    <w:div w:id="1133720133">
      <w:bodyDiv w:val="1"/>
      <w:marLeft w:val="0"/>
      <w:marRight w:val="0"/>
      <w:marTop w:val="0"/>
      <w:marBottom w:val="0"/>
      <w:divBdr>
        <w:top w:val="none" w:sz="0" w:space="0" w:color="auto"/>
        <w:left w:val="none" w:sz="0" w:space="0" w:color="auto"/>
        <w:bottom w:val="none" w:sz="0" w:space="0" w:color="auto"/>
        <w:right w:val="none" w:sz="0" w:space="0" w:color="auto"/>
      </w:divBdr>
    </w:div>
    <w:div w:id="1135835160">
      <w:bodyDiv w:val="1"/>
      <w:marLeft w:val="0"/>
      <w:marRight w:val="0"/>
      <w:marTop w:val="0"/>
      <w:marBottom w:val="0"/>
      <w:divBdr>
        <w:top w:val="none" w:sz="0" w:space="0" w:color="auto"/>
        <w:left w:val="none" w:sz="0" w:space="0" w:color="auto"/>
        <w:bottom w:val="none" w:sz="0" w:space="0" w:color="auto"/>
        <w:right w:val="none" w:sz="0" w:space="0" w:color="auto"/>
      </w:divBdr>
    </w:div>
    <w:div w:id="1142581152">
      <w:bodyDiv w:val="1"/>
      <w:marLeft w:val="0"/>
      <w:marRight w:val="0"/>
      <w:marTop w:val="0"/>
      <w:marBottom w:val="0"/>
      <w:divBdr>
        <w:top w:val="none" w:sz="0" w:space="0" w:color="auto"/>
        <w:left w:val="none" w:sz="0" w:space="0" w:color="auto"/>
        <w:bottom w:val="none" w:sz="0" w:space="0" w:color="auto"/>
        <w:right w:val="none" w:sz="0" w:space="0" w:color="auto"/>
      </w:divBdr>
    </w:div>
    <w:div w:id="1144396293">
      <w:bodyDiv w:val="1"/>
      <w:marLeft w:val="0"/>
      <w:marRight w:val="0"/>
      <w:marTop w:val="0"/>
      <w:marBottom w:val="0"/>
      <w:divBdr>
        <w:top w:val="none" w:sz="0" w:space="0" w:color="auto"/>
        <w:left w:val="none" w:sz="0" w:space="0" w:color="auto"/>
        <w:bottom w:val="none" w:sz="0" w:space="0" w:color="auto"/>
        <w:right w:val="none" w:sz="0" w:space="0" w:color="auto"/>
      </w:divBdr>
    </w:div>
    <w:div w:id="1158426576">
      <w:bodyDiv w:val="1"/>
      <w:marLeft w:val="0"/>
      <w:marRight w:val="0"/>
      <w:marTop w:val="0"/>
      <w:marBottom w:val="0"/>
      <w:divBdr>
        <w:top w:val="none" w:sz="0" w:space="0" w:color="auto"/>
        <w:left w:val="none" w:sz="0" w:space="0" w:color="auto"/>
        <w:bottom w:val="none" w:sz="0" w:space="0" w:color="auto"/>
        <w:right w:val="none" w:sz="0" w:space="0" w:color="auto"/>
      </w:divBdr>
    </w:div>
    <w:div w:id="1161657736">
      <w:bodyDiv w:val="1"/>
      <w:marLeft w:val="0"/>
      <w:marRight w:val="0"/>
      <w:marTop w:val="0"/>
      <w:marBottom w:val="0"/>
      <w:divBdr>
        <w:top w:val="none" w:sz="0" w:space="0" w:color="auto"/>
        <w:left w:val="none" w:sz="0" w:space="0" w:color="auto"/>
        <w:bottom w:val="none" w:sz="0" w:space="0" w:color="auto"/>
        <w:right w:val="none" w:sz="0" w:space="0" w:color="auto"/>
      </w:divBdr>
    </w:div>
    <w:div w:id="1162087039">
      <w:bodyDiv w:val="1"/>
      <w:marLeft w:val="0"/>
      <w:marRight w:val="0"/>
      <w:marTop w:val="0"/>
      <w:marBottom w:val="0"/>
      <w:divBdr>
        <w:top w:val="none" w:sz="0" w:space="0" w:color="auto"/>
        <w:left w:val="none" w:sz="0" w:space="0" w:color="auto"/>
        <w:bottom w:val="none" w:sz="0" w:space="0" w:color="auto"/>
        <w:right w:val="none" w:sz="0" w:space="0" w:color="auto"/>
      </w:divBdr>
    </w:div>
    <w:div w:id="1166550268">
      <w:bodyDiv w:val="1"/>
      <w:marLeft w:val="0"/>
      <w:marRight w:val="0"/>
      <w:marTop w:val="0"/>
      <w:marBottom w:val="0"/>
      <w:divBdr>
        <w:top w:val="none" w:sz="0" w:space="0" w:color="auto"/>
        <w:left w:val="none" w:sz="0" w:space="0" w:color="auto"/>
        <w:bottom w:val="none" w:sz="0" w:space="0" w:color="auto"/>
        <w:right w:val="none" w:sz="0" w:space="0" w:color="auto"/>
      </w:divBdr>
    </w:div>
    <w:div w:id="1167359800">
      <w:bodyDiv w:val="1"/>
      <w:marLeft w:val="0"/>
      <w:marRight w:val="0"/>
      <w:marTop w:val="0"/>
      <w:marBottom w:val="0"/>
      <w:divBdr>
        <w:top w:val="none" w:sz="0" w:space="0" w:color="auto"/>
        <w:left w:val="none" w:sz="0" w:space="0" w:color="auto"/>
        <w:bottom w:val="none" w:sz="0" w:space="0" w:color="auto"/>
        <w:right w:val="none" w:sz="0" w:space="0" w:color="auto"/>
      </w:divBdr>
    </w:div>
    <w:div w:id="1169557891">
      <w:bodyDiv w:val="1"/>
      <w:marLeft w:val="0"/>
      <w:marRight w:val="0"/>
      <w:marTop w:val="0"/>
      <w:marBottom w:val="0"/>
      <w:divBdr>
        <w:top w:val="none" w:sz="0" w:space="0" w:color="auto"/>
        <w:left w:val="none" w:sz="0" w:space="0" w:color="auto"/>
        <w:bottom w:val="none" w:sz="0" w:space="0" w:color="auto"/>
        <w:right w:val="none" w:sz="0" w:space="0" w:color="auto"/>
      </w:divBdr>
    </w:div>
    <w:div w:id="1170681120">
      <w:bodyDiv w:val="1"/>
      <w:marLeft w:val="0"/>
      <w:marRight w:val="0"/>
      <w:marTop w:val="0"/>
      <w:marBottom w:val="0"/>
      <w:divBdr>
        <w:top w:val="none" w:sz="0" w:space="0" w:color="auto"/>
        <w:left w:val="none" w:sz="0" w:space="0" w:color="auto"/>
        <w:bottom w:val="none" w:sz="0" w:space="0" w:color="auto"/>
        <w:right w:val="none" w:sz="0" w:space="0" w:color="auto"/>
      </w:divBdr>
    </w:div>
    <w:div w:id="1171338546">
      <w:bodyDiv w:val="1"/>
      <w:marLeft w:val="0"/>
      <w:marRight w:val="0"/>
      <w:marTop w:val="0"/>
      <w:marBottom w:val="0"/>
      <w:divBdr>
        <w:top w:val="none" w:sz="0" w:space="0" w:color="auto"/>
        <w:left w:val="none" w:sz="0" w:space="0" w:color="auto"/>
        <w:bottom w:val="none" w:sz="0" w:space="0" w:color="auto"/>
        <w:right w:val="none" w:sz="0" w:space="0" w:color="auto"/>
      </w:divBdr>
    </w:div>
    <w:div w:id="1177231193">
      <w:bodyDiv w:val="1"/>
      <w:marLeft w:val="0"/>
      <w:marRight w:val="0"/>
      <w:marTop w:val="0"/>
      <w:marBottom w:val="0"/>
      <w:divBdr>
        <w:top w:val="none" w:sz="0" w:space="0" w:color="auto"/>
        <w:left w:val="none" w:sz="0" w:space="0" w:color="auto"/>
        <w:bottom w:val="none" w:sz="0" w:space="0" w:color="auto"/>
        <w:right w:val="none" w:sz="0" w:space="0" w:color="auto"/>
      </w:divBdr>
    </w:div>
    <w:div w:id="1183321652">
      <w:bodyDiv w:val="1"/>
      <w:marLeft w:val="0"/>
      <w:marRight w:val="0"/>
      <w:marTop w:val="0"/>
      <w:marBottom w:val="0"/>
      <w:divBdr>
        <w:top w:val="none" w:sz="0" w:space="0" w:color="auto"/>
        <w:left w:val="none" w:sz="0" w:space="0" w:color="auto"/>
        <w:bottom w:val="none" w:sz="0" w:space="0" w:color="auto"/>
        <w:right w:val="none" w:sz="0" w:space="0" w:color="auto"/>
      </w:divBdr>
    </w:div>
    <w:div w:id="1183712086">
      <w:bodyDiv w:val="1"/>
      <w:marLeft w:val="0"/>
      <w:marRight w:val="0"/>
      <w:marTop w:val="0"/>
      <w:marBottom w:val="0"/>
      <w:divBdr>
        <w:top w:val="none" w:sz="0" w:space="0" w:color="auto"/>
        <w:left w:val="none" w:sz="0" w:space="0" w:color="auto"/>
        <w:bottom w:val="none" w:sz="0" w:space="0" w:color="auto"/>
        <w:right w:val="none" w:sz="0" w:space="0" w:color="auto"/>
      </w:divBdr>
    </w:div>
    <w:div w:id="1185175464">
      <w:bodyDiv w:val="1"/>
      <w:marLeft w:val="0"/>
      <w:marRight w:val="0"/>
      <w:marTop w:val="0"/>
      <w:marBottom w:val="0"/>
      <w:divBdr>
        <w:top w:val="none" w:sz="0" w:space="0" w:color="auto"/>
        <w:left w:val="none" w:sz="0" w:space="0" w:color="auto"/>
        <w:bottom w:val="none" w:sz="0" w:space="0" w:color="auto"/>
        <w:right w:val="none" w:sz="0" w:space="0" w:color="auto"/>
      </w:divBdr>
    </w:div>
    <w:div w:id="1189027734">
      <w:bodyDiv w:val="1"/>
      <w:marLeft w:val="0"/>
      <w:marRight w:val="0"/>
      <w:marTop w:val="0"/>
      <w:marBottom w:val="0"/>
      <w:divBdr>
        <w:top w:val="none" w:sz="0" w:space="0" w:color="auto"/>
        <w:left w:val="none" w:sz="0" w:space="0" w:color="auto"/>
        <w:bottom w:val="none" w:sz="0" w:space="0" w:color="auto"/>
        <w:right w:val="none" w:sz="0" w:space="0" w:color="auto"/>
      </w:divBdr>
    </w:div>
    <w:div w:id="1192844000">
      <w:bodyDiv w:val="1"/>
      <w:marLeft w:val="0"/>
      <w:marRight w:val="0"/>
      <w:marTop w:val="0"/>
      <w:marBottom w:val="0"/>
      <w:divBdr>
        <w:top w:val="none" w:sz="0" w:space="0" w:color="auto"/>
        <w:left w:val="none" w:sz="0" w:space="0" w:color="auto"/>
        <w:bottom w:val="none" w:sz="0" w:space="0" w:color="auto"/>
        <w:right w:val="none" w:sz="0" w:space="0" w:color="auto"/>
      </w:divBdr>
    </w:div>
    <w:div w:id="1200899660">
      <w:bodyDiv w:val="1"/>
      <w:marLeft w:val="0"/>
      <w:marRight w:val="0"/>
      <w:marTop w:val="0"/>
      <w:marBottom w:val="0"/>
      <w:divBdr>
        <w:top w:val="none" w:sz="0" w:space="0" w:color="auto"/>
        <w:left w:val="none" w:sz="0" w:space="0" w:color="auto"/>
        <w:bottom w:val="none" w:sz="0" w:space="0" w:color="auto"/>
        <w:right w:val="none" w:sz="0" w:space="0" w:color="auto"/>
      </w:divBdr>
    </w:div>
    <w:div w:id="1208643252">
      <w:bodyDiv w:val="1"/>
      <w:marLeft w:val="0"/>
      <w:marRight w:val="0"/>
      <w:marTop w:val="0"/>
      <w:marBottom w:val="0"/>
      <w:divBdr>
        <w:top w:val="none" w:sz="0" w:space="0" w:color="auto"/>
        <w:left w:val="none" w:sz="0" w:space="0" w:color="auto"/>
        <w:bottom w:val="none" w:sz="0" w:space="0" w:color="auto"/>
        <w:right w:val="none" w:sz="0" w:space="0" w:color="auto"/>
      </w:divBdr>
    </w:div>
    <w:div w:id="1210846931">
      <w:bodyDiv w:val="1"/>
      <w:marLeft w:val="0"/>
      <w:marRight w:val="0"/>
      <w:marTop w:val="0"/>
      <w:marBottom w:val="0"/>
      <w:divBdr>
        <w:top w:val="none" w:sz="0" w:space="0" w:color="auto"/>
        <w:left w:val="none" w:sz="0" w:space="0" w:color="auto"/>
        <w:bottom w:val="none" w:sz="0" w:space="0" w:color="auto"/>
        <w:right w:val="none" w:sz="0" w:space="0" w:color="auto"/>
      </w:divBdr>
    </w:div>
    <w:div w:id="1211069332">
      <w:bodyDiv w:val="1"/>
      <w:marLeft w:val="0"/>
      <w:marRight w:val="0"/>
      <w:marTop w:val="0"/>
      <w:marBottom w:val="0"/>
      <w:divBdr>
        <w:top w:val="none" w:sz="0" w:space="0" w:color="auto"/>
        <w:left w:val="none" w:sz="0" w:space="0" w:color="auto"/>
        <w:bottom w:val="none" w:sz="0" w:space="0" w:color="auto"/>
        <w:right w:val="none" w:sz="0" w:space="0" w:color="auto"/>
      </w:divBdr>
    </w:div>
    <w:div w:id="1211191861">
      <w:bodyDiv w:val="1"/>
      <w:marLeft w:val="0"/>
      <w:marRight w:val="0"/>
      <w:marTop w:val="0"/>
      <w:marBottom w:val="0"/>
      <w:divBdr>
        <w:top w:val="none" w:sz="0" w:space="0" w:color="auto"/>
        <w:left w:val="none" w:sz="0" w:space="0" w:color="auto"/>
        <w:bottom w:val="none" w:sz="0" w:space="0" w:color="auto"/>
        <w:right w:val="none" w:sz="0" w:space="0" w:color="auto"/>
      </w:divBdr>
    </w:div>
    <w:div w:id="1212226588">
      <w:bodyDiv w:val="1"/>
      <w:marLeft w:val="0"/>
      <w:marRight w:val="0"/>
      <w:marTop w:val="0"/>
      <w:marBottom w:val="0"/>
      <w:divBdr>
        <w:top w:val="none" w:sz="0" w:space="0" w:color="auto"/>
        <w:left w:val="none" w:sz="0" w:space="0" w:color="auto"/>
        <w:bottom w:val="none" w:sz="0" w:space="0" w:color="auto"/>
        <w:right w:val="none" w:sz="0" w:space="0" w:color="auto"/>
      </w:divBdr>
    </w:div>
    <w:div w:id="1216506276">
      <w:bodyDiv w:val="1"/>
      <w:marLeft w:val="0"/>
      <w:marRight w:val="0"/>
      <w:marTop w:val="0"/>
      <w:marBottom w:val="0"/>
      <w:divBdr>
        <w:top w:val="none" w:sz="0" w:space="0" w:color="auto"/>
        <w:left w:val="none" w:sz="0" w:space="0" w:color="auto"/>
        <w:bottom w:val="none" w:sz="0" w:space="0" w:color="auto"/>
        <w:right w:val="none" w:sz="0" w:space="0" w:color="auto"/>
      </w:divBdr>
    </w:div>
    <w:div w:id="1220628604">
      <w:bodyDiv w:val="1"/>
      <w:marLeft w:val="0"/>
      <w:marRight w:val="0"/>
      <w:marTop w:val="0"/>
      <w:marBottom w:val="0"/>
      <w:divBdr>
        <w:top w:val="none" w:sz="0" w:space="0" w:color="auto"/>
        <w:left w:val="none" w:sz="0" w:space="0" w:color="auto"/>
        <w:bottom w:val="none" w:sz="0" w:space="0" w:color="auto"/>
        <w:right w:val="none" w:sz="0" w:space="0" w:color="auto"/>
      </w:divBdr>
    </w:div>
    <w:div w:id="1221020136">
      <w:bodyDiv w:val="1"/>
      <w:marLeft w:val="0"/>
      <w:marRight w:val="0"/>
      <w:marTop w:val="0"/>
      <w:marBottom w:val="0"/>
      <w:divBdr>
        <w:top w:val="none" w:sz="0" w:space="0" w:color="auto"/>
        <w:left w:val="none" w:sz="0" w:space="0" w:color="auto"/>
        <w:bottom w:val="none" w:sz="0" w:space="0" w:color="auto"/>
        <w:right w:val="none" w:sz="0" w:space="0" w:color="auto"/>
      </w:divBdr>
    </w:div>
    <w:div w:id="1225334626">
      <w:bodyDiv w:val="1"/>
      <w:marLeft w:val="0"/>
      <w:marRight w:val="0"/>
      <w:marTop w:val="0"/>
      <w:marBottom w:val="0"/>
      <w:divBdr>
        <w:top w:val="none" w:sz="0" w:space="0" w:color="auto"/>
        <w:left w:val="none" w:sz="0" w:space="0" w:color="auto"/>
        <w:bottom w:val="none" w:sz="0" w:space="0" w:color="auto"/>
        <w:right w:val="none" w:sz="0" w:space="0" w:color="auto"/>
      </w:divBdr>
    </w:div>
    <w:div w:id="1230264209">
      <w:bodyDiv w:val="1"/>
      <w:marLeft w:val="0"/>
      <w:marRight w:val="0"/>
      <w:marTop w:val="0"/>
      <w:marBottom w:val="0"/>
      <w:divBdr>
        <w:top w:val="none" w:sz="0" w:space="0" w:color="auto"/>
        <w:left w:val="none" w:sz="0" w:space="0" w:color="auto"/>
        <w:bottom w:val="none" w:sz="0" w:space="0" w:color="auto"/>
        <w:right w:val="none" w:sz="0" w:space="0" w:color="auto"/>
      </w:divBdr>
    </w:div>
    <w:div w:id="1232695279">
      <w:bodyDiv w:val="1"/>
      <w:marLeft w:val="0"/>
      <w:marRight w:val="0"/>
      <w:marTop w:val="0"/>
      <w:marBottom w:val="0"/>
      <w:divBdr>
        <w:top w:val="none" w:sz="0" w:space="0" w:color="auto"/>
        <w:left w:val="none" w:sz="0" w:space="0" w:color="auto"/>
        <w:bottom w:val="none" w:sz="0" w:space="0" w:color="auto"/>
        <w:right w:val="none" w:sz="0" w:space="0" w:color="auto"/>
      </w:divBdr>
    </w:div>
    <w:div w:id="1233082345">
      <w:bodyDiv w:val="1"/>
      <w:marLeft w:val="0"/>
      <w:marRight w:val="0"/>
      <w:marTop w:val="0"/>
      <w:marBottom w:val="0"/>
      <w:divBdr>
        <w:top w:val="none" w:sz="0" w:space="0" w:color="auto"/>
        <w:left w:val="none" w:sz="0" w:space="0" w:color="auto"/>
        <w:bottom w:val="none" w:sz="0" w:space="0" w:color="auto"/>
        <w:right w:val="none" w:sz="0" w:space="0" w:color="auto"/>
      </w:divBdr>
    </w:div>
    <w:div w:id="1233849760">
      <w:bodyDiv w:val="1"/>
      <w:marLeft w:val="0"/>
      <w:marRight w:val="0"/>
      <w:marTop w:val="0"/>
      <w:marBottom w:val="0"/>
      <w:divBdr>
        <w:top w:val="none" w:sz="0" w:space="0" w:color="auto"/>
        <w:left w:val="none" w:sz="0" w:space="0" w:color="auto"/>
        <w:bottom w:val="none" w:sz="0" w:space="0" w:color="auto"/>
        <w:right w:val="none" w:sz="0" w:space="0" w:color="auto"/>
      </w:divBdr>
    </w:div>
    <w:div w:id="1237085524">
      <w:bodyDiv w:val="1"/>
      <w:marLeft w:val="0"/>
      <w:marRight w:val="0"/>
      <w:marTop w:val="0"/>
      <w:marBottom w:val="0"/>
      <w:divBdr>
        <w:top w:val="none" w:sz="0" w:space="0" w:color="auto"/>
        <w:left w:val="none" w:sz="0" w:space="0" w:color="auto"/>
        <w:bottom w:val="none" w:sz="0" w:space="0" w:color="auto"/>
        <w:right w:val="none" w:sz="0" w:space="0" w:color="auto"/>
      </w:divBdr>
    </w:div>
    <w:div w:id="1240795370">
      <w:bodyDiv w:val="1"/>
      <w:marLeft w:val="0"/>
      <w:marRight w:val="0"/>
      <w:marTop w:val="0"/>
      <w:marBottom w:val="0"/>
      <w:divBdr>
        <w:top w:val="none" w:sz="0" w:space="0" w:color="auto"/>
        <w:left w:val="none" w:sz="0" w:space="0" w:color="auto"/>
        <w:bottom w:val="none" w:sz="0" w:space="0" w:color="auto"/>
        <w:right w:val="none" w:sz="0" w:space="0" w:color="auto"/>
      </w:divBdr>
    </w:div>
    <w:div w:id="1246498885">
      <w:bodyDiv w:val="1"/>
      <w:marLeft w:val="0"/>
      <w:marRight w:val="0"/>
      <w:marTop w:val="0"/>
      <w:marBottom w:val="0"/>
      <w:divBdr>
        <w:top w:val="none" w:sz="0" w:space="0" w:color="auto"/>
        <w:left w:val="none" w:sz="0" w:space="0" w:color="auto"/>
        <w:bottom w:val="none" w:sz="0" w:space="0" w:color="auto"/>
        <w:right w:val="none" w:sz="0" w:space="0" w:color="auto"/>
      </w:divBdr>
    </w:div>
    <w:div w:id="1251083053">
      <w:bodyDiv w:val="1"/>
      <w:marLeft w:val="0"/>
      <w:marRight w:val="0"/>
      <w:marTop w:val="0"/>
      <w:marBottom w:val="0"/>
      <w:divBdr>
        <w:top w:val="none" w:sz="0" w:space="0" w:color="auto"/>
        <w:left w:val="none" w:sz="0" w:space="0" w:color="auto"/>
        <w:bottom w:val="none" w:sz="0" w:space="0" w:color="auto"/>
        <w:right w:val="none" w:sz="0" w:space="0" w:color="auto"/>
      </w:divBdr>
    </w:div>
    <w:div w:id="1252666055">
      <w:bodyDiv w:val="1"/>
      <w:marLeft w:val="0"/>
      <w:marRight w:val="0"/>
      <w:marTop w:val="0"/>
      <w:marBottom w:val="0"/>
      <w:divBdr>
        <w:top w:val="none" w:sz="0" w:space="0" w:color="auto"/>
        <w:left w:val="none" w:sz="0" w:space="0" w:color="auto"/>
        <w:bottom w:val="none" w:sz="0" w:space="0" w:color="auto"/>
        <w:right w:val="none" w:sz="0" w:space="0" w:color="auto"/>
      </w:divBdr>
    </w:div>
    <w:div w:id="1254826740">
      <w:bodyDiv w:val="1"/>
      <w:marLeft w:val="0"/>
      <w:marRight w:val="0"/>
      <w:marTop w:val="0"/>
      <w:marBottom w:val="0"/>
      <w:divBdr>
        <w:top w:val="none" w:sz="0" w:space="0" w:color="auto"/>
        <w:left w:val="none" w:sz="0" w:space="0" w:color="auto"/>
        <w:bottom w:val="none" w:sz="0" w:space="0" w:color="auto"/>
        <w:right w:val="none" w:sz="0" w:space="0" w:color="auto"/>
      </w:divBdr>
    </w:div>
    <w:div w:id="1258447386">
      <w:bodyDiv w:val="1"/>
      <w:marLeft w:val="0"/>
      <w:marRight w:val="0"/>
      <w:marTop w:val="0"/>
      <w:marBottom w:val="0"/>
      <w:divBdr>
        <w:top w:val="none" w:sz="0" w:space="0" w:color="auto"/>
        <w:left w:val="none" w:sz="0" w:space="0" w:color="auto"/>
        <w:bottom w:val="none" w:sz="0" w:space="0" w:color="auto"/>
        <w:right w:val="none" w:sz="0" w:space="0" w:color="auto"/>
      </w:divBdr>
    </w:div>
    <w:div w:id="1264680405">
      <w:bodyDiv w:val="1"/>
      <w:marLeft w:val="0"/>
      <w:marRight w:val="0"/>
      <w:marTop w:val="0"/>
      <w:marBottom w:val="0"/>
      <w:divBdr>
        <w:top w:val="none" w:sz="0" w:space="0" w:color="auto"/>
        <w:left w:val="none" w:sz="0" w:space="0" w:color="auto"/>
        <w:bottom w:val="none" w:sz="0" w:space="0" w:color="auto"/>
        <w:right w:val="none" w:sz="0" w:space="0" w:color="auto"/>
      </w:divBdr>
    </w:div>
    <w:div w:id="1267538097">
      <w:bodyDiv w:val="1"/>
      <w:marLeft w:val="0"/>
      <w:marRight w:val="0"/>
      <w:marTop w:val="0"/>
      <w:marBottom w:val="0"/>
      <w:divBdr>
        <w:top w:val="none" w:sz="0" w:space="0" w:color="auto"/>
        <w:left w:val="none" w:sz="0" w:space="0" w:color="auto"/>
        <w:bottom w:val="none" w:sz="0" w:space="0" w:color="auto"/>
        <w:right w:val="none" w:sz="0" w:space="0" w:color="auto"/>
      </w:divBdr>
    </w:div>
    <w:div w:id="1273323242">
      <w:bodyDiv w:val="1"/>
      <w:marLeft w:val="0"/>
      <w:marRight w:val="0"/>
      <w:marTop w:val="0"/>
      <w:marBottom w:val="0"/>
      <w:divBdr>
        <w:top w:val="none" w:sz="0" w:space="0" w:color="auto"/>
        <w:left w:val="none" w:sz="0" w:space="0" w:color="auto"/>
        <w:bottom w:val="none" w:sz="0" w:space="0" w:color="auto"/>
        <w:right w:val="none" w:sz="0" w:space="0" w:color="auto"/>
      </w:divBdr>
    </w:div>
    <w:div w:id="1275096121">
      <w:bodyDiv w:val="1"/>
      <w:marLeft w:val="0"/>
      <w:marRight w:val="0"/>
      <w:marTop w:val="0"/>
      <w:marBottom w:val="0"/>
      <w:divBdr>
        <w:top w:val="none" w:sz="0" w:space="0" w:color="auto"/>
        <w:left w:val="none" w:sz="0" w:space="0" w:color="auto"/>
        <w:bottom w:val="none" w:sz="0" w:space="0" w:color="auto"/>
        <w:right w:val="none" w:sz="0" w:space="0" w:color="auto"/>
      </w:divBdr>
    </w:div>
    <w:div w:id="1275400608">
      <w:bodyDiv w:val="1"/>
      <w:marLeft w:val="0"/>
      <w:marRight w:val="0"/>
      <w:marTop w:val="0"/>
      <w:marBottom w:val="0"/>
      <w:divBdr>
        <w:top w:val="none" w:sz="0" w:space="0" w:color="auto"/>
        <w:left w:val="none" w:sz="0" w:space="0" w:color="auto"/>
        <w:bottom w:val="none" w:sz="0" w:space="0" w:color="auto"/>
        <w:right w:val="none" w:sz="0" w:space="0" w:color="auto"/>
      </w:divBdr>
    </w:div>
    <w:div w:id="1275403945">
      <w:bodyDiv w:val="1"/>
      <w:marLeft w:val="0"/>
      <w:marRight w:val="0"/>
      <w:marTop w:val="0"/>
      <w:marBottom w:val="0"/>
      <w:divBdr>
        <w:top w:val="none" w:sz="0" w:space="0" w:color="auto"/>
        <w:left w:val="none" w:sz="0" w:space="0" w:color="auto"/>
        <w:bottom w:val="none" w:sz="0" w:space="0" w:color="auto"/>
        <w:right w:val="none" w:sz="0" w:space="0" w:color="auto"/>
      </w:divBdr>
    </w:div>
    <w:div w:id="1278488699">
      <w:bodyDiv w:val="1"/>
      <w:marLeft w:val="0"/>
      <w:marRight w:val="0"/>
      <w:marTop w:val="0"/>
      <w:marBottom w:val="0"/>
      <w:divBdr>
        <w:top w:val="none" w:sz="0" w:space="0" w:color="auto"/>
        <w:left w:val="none" w:sz="0" w:space="0" w:color="auto"/>
        <w:bottom w:val="none" w:sz="0" w:space="0" w:color="auto"/>
        <w:right w:val="none" w:sz="0" w:space="0" w:color="auto"/>
      </w:divBdr>
    </w:div>
    <w:div w:id="1279527081">
      <w:bodyDiv w:val="1"/>
      <w:marLeft w:val="0"/>
      <w:marRight w:val="0"/>
      <w:marTop w:val="0"/>
      <w:marBottom w:val="0"/>
      <w:divBdr>
        <w:top w:val="none" w:sz="0" w:space="0" w:color="auto"/>
        <w:left w:val="none" w:sz="0" w:space="0" w:color="auto"/>
        <w:bottom w:val="none" w:sz="0" w:space="0" w:color="auto"/>
        <w:right w:val="none" w:sz="0" w:space="0" w:color="auto"/>
      </w:divBdr>
    </w:div>
    <w:div w:id="1285386415">
      <w:bodyDiv w:val="1"/>
      <w:marLeft w:val="0"/>
      <w:marRight w:val="0"/>
      <w:marTop w:val="0"/>
      <w:marBottom w:val="0"/>
      <w:divBdr>
        <w:top w:val="none" w:sz="0" w:space="0" w:color="auto"/>
        <w:left w:val="none" w:sz="0" w:space="0" w:color="auto"/>
        <w:bottom w:val="none" w:sz="0" w:space="0" w:color="auto"/>
        <w:right w:val="none" w:sz="0" w:space="0" w:color="auto"/>
      </w:divBdr>
    </w:div>
    <w:div w:id="1287656567">
      <w:bodyDiv w:val="1"/>
      <w:marLeft w:val="0"/>
      <w:marRight w:val="0"/>
      <w:marTop w:val="0"/>
      <w:marBottom w:val="0"/>
      <w:divBdr>
        <w:top w:val="none" w:sz="0" w:space="0" w:color="auto"/>
        <w:left w:val="none" w:sz="0" w:space="0" w:color="auto"/>
        <w:bottom w:val="none" w:sz="0" w:space="0" w:color="auto"/>
        <w:right w:val="none" w:sz="0" w:space="0" w:color="auto"/>
      </w:divBdr>
    </w:div>
    <w:div w:id="1288778363">
      <w:bodyDiv w:val="1"/>
      <w:marLeft w:val="0"/>
      <w:marRight w:val="0"/>
      <w:marTop w:val="0"/>
      <w:marBottom w:val="0"/>
      <w:divBdr>
        <w:top w:val="none" w:sz="0" w:space="0" w:color="auto"/>
        <w:left w:val="none" w:sz="0" w:space="0" w:color="auto"/>
        <w:bottom w:val="none" w:sz="0" w:space="0" w:color="auto"/>
        <w:right w:val="none" w:sz="0" w:space="0" w:color="auto"/>
      </w:divBdr>
    </w:div>
    <w:div w:id="1291085234">
      <w:bodyDiv w:val="1"/>
      <w:marLeft w:val="0"/>
      <w:marRight w:val="0"/>
      <w:marTop w:val="0"/>
      <w:marBottom w:val="0"/>
      <w:divBdr>
        <w:top w:val="none" w:sz="0" w:space="0" w:color="auto"/>
        <w:left w:val="none" w:sz="0" w:space="0" w:color="auto"/>
        <w:bottom w:val="none" w:sz="0" w:space="0" w:color="auto"/>
        <w:right w:val="none" w:sz="0" w:space="0" w:color="auto"/>
      </w:divBdr>
    </w:div>
    <w:div w:id="1293100075">
      <w:bodyDiv w:val="1"/>
      <w:marLeft w:val="0"/>
      <w:marRight w:val="0"/>
      <w:marTop w:val="0"/>
      <w:marBottom w:val="0"/>
      <w:divBdr>
        <w:top w:val="none" w:sz="0" w:space="0" w:color="auto"/>
        <w:left w:val="none" w:sz="0" w:space="0" w:color="auto"/>
        <w:bottom w:val="none" w:sz="0" w:space="0" w:color="auto"/>
        <w:right w:val="none" w:sz="0" w:space="0" w:color="auto"/>
      </w:divBdr>
    </w:div>
    <w:div w:id="1295214155">
      <w:bodyDiv w:val="1"/>
      <w:marLeft w:val="0"/>
      <w:marRight w:val="0"/>
      <w:marTop w:val="0"/>
      <w:marBottom w:val="0"/>
      <w:divBdr>
        <w:top w:val="none" w:sz="0" w:space="0" w:color="auto"/>
        <w:left w:val="none" w:sz="0" w:space="0" w:color="auto"/>
        <w:bottom w:val="none" w:sz="0" w:space="0" w:color="auto"/>
        <w:right w:val="none" w:sz="0" w:space="0" w:color="auto"/>
      </w:divBdr>
    </w:div>
    <w:div w:id="1297295600">
      <w:bodyDiv w:val="1"/>
      <w:marLeft w:val="0"/>
      <w:marRight w:val="0"/>
      <w:marTop w:val="0"/>
      <w:marBottom w:val="0"/>
      <w:divBdr>
        <w:top w:val="none" w:sz="0" w:space="0" w:color="auto"/>
        <w:left w:val="none" w:sz="0" w:space="0" w:color="auto"/>
        <w:bottom w:val="none" w:sz="0" w:space="0" w:color="auto"/>
        <w:right w:val="none" w:sz="0" w:space="0" w:color="auto"/>
      </w:divBdr>
    </w:div>
    <w:div w:id="1302464780">
      <w:bodyDiv w:val="1"/>
      <w:marLeft w:val="0"/>
      <w:marRight w:val="0"/>
      <w:marTop w:val="0"/>
      <w:marBottom w:val="0"/>
      <w:divBdr>
        <w:top w:val="none" w:sz="0" w:space="0" w:color="auto"/>
        <w:left w:val="none" w:sz="0" w:space="0" w:color="auto"/>
        <w:bottom w:val="none" w:sz="0" w:space="0" w:color="auto"/>
        <w:right w:val="none" w:sz="0" w:space="0" w:color="auto"/>
      </w:divBdr>
    </w:div>
    <w:div w:id="1305618018">
      <w:bodyDiv w:val="1"/>
      <w:marLeft w:val="0"/>
      <w:marRight w:val="0"/>
      <w:marTop w:val="0"/>
      <w:marBottom w:val="0"/>
      <w:divBdr>
        <w:top w:val="none" w:sz="0" w:space="0" w:color="auto"/>
        <w:left w:val="none" w:sz="0" w:space="0" w:color="auto"/>
        <w:bottom w:val="none" w:sz="0" w:space="0" w:color="auto"/>
        <w:right w:val="none" w:sz="0" w:space="0" w:color="auto"/>
      </w:divBdr>
    </w:div>
    <w:div w:id="1313410500">
      <w:bodyDiv w:val="1"/>
      <w:marLeft w:val="0"/>
      <w:marRight w:val="0"/>
      <w:marTop w:val="0"/>
      <w:marBottom w:val="0"/>
      <w:divBdr>
        <w:top w:val="none" w:sz="0" w:space="0" w:color="auto"/>
        <w:left w:val="none" w:sz="0" w:space="0" w:color="auto"/>
        <w:bottom w:val="none" w:sz="0" w:space="0" w:color="auto"/>
        <w:right w:val="none" w:sz="0" w:space="0" w:color="auto"/>
      </w:divBdr>
    </w:div>
    <w:div w:id="1316186044">
      <w:bodyDiv w:val="1"/>
      <w:marLeft w:val="0"/>
      <w:marRight w:val="0"/>
      <w:marTop w:val="0"/>
      <w:marBottom w:val="0"/>
      <w:divBdr>
        <w:top w:val="none" w:sz="0" w:space="0" w:color="auto"/>
        <w:left w:val="none" w:sz="0" w:space="0" w:color="auto"/>
        <w:bottom w:val="none" w:sz="0" w:space="0" w:color="auto"/>
        <w:right w:val="none" w:sz="0" w:space="0" w:color="auto"/>
      </w:divBdr>
    </w:div>
    <w:div w:id="1316907814">
      <w:bodyDiv w:val="1"/>
      <w:marLeft w:val="0"/>
      <w:marRight w:val="0"/>
      <w:marTop w:val="0"/>
      <w:marBottom w:val="0"/>
      <w:divBdr>
        <w:top w:val="none" w:sz="0" w:space="0" w:color="auto"/>
        <w:left w:val="none" w:sz="0" w:space="0" w:color="auto"/>
        <w:bottom w:val="none" w:sz="0" w:space="0" w:color="auto"/>
        <w:right w:val="none" w:sz="0" w:space="0" w:color="auto"/>
      </w:divBdr>
    </w:div>
    <w:div w:id="1318530290">
      <w:bodyDiv w:val="1"/>
      <w:marLeft w:val="0"/>
      <w:marRight w:val="0"/>
      <w:marTop w:val="0"/>
      <w:marBottom w:val="0"/>
      <w:divBdr>
        <w:top w:val="none" w:sz="0" w:space="0" w:color="auto"/>
        <w:left w:val="none" w:sz="0" w:space="0" w:color="auto"/>
        <w:bottom w:val="none" w:sz="0" w:space="0" w:color="auto"/>
        <w:right w:val="none" w:sz="0" w:space="0" w:color="auto"/>
      </w:divBdr>
    </w:div>
    <w:div w:id="1328091348">
      <w:bodyDiv w:val="1"/>
      <w:marLeft w:val="0"/>
      <w:marRight w:val="0"/>
      <w:marTop w:val="0"/>
      <w:marBottom w:val="0"/>
      <w:divBdr>
        <w:top w:val="none" w:sz="0" w:space="0" w:color="auto"/>
        <w:left w:val="none" w:sz="0" w:space="0" w:color="auto"/>
        <w:bottom w:val="none" w:sz="0" w:space="0" w:color="auto"/>
        <w:right w:val="none" w:sz="0" w:space="0" w:color="auto"/>
      </w:divBdr>
    </w:div>
    <w:div w:id="1329089399">
      <w:bodyDiv w:val="1"/>
      <w:marLeft w:val="0"/>
      <w:marRight w:val="0"/>
      <w:marTop w:val="0"/>
      <w:marBottom w:val="0"/>
      <w:divBdr>
        <w:top w:val="none" w:sz="0" w:space="0" w:color="auto"/>
        <w:left w:val="none" w:sz="0" w:space="0" w:color="auto"/>
        <w:bottom w:val="none" w:sz="0" w:space="0" w:color="auto"/>
        <w:right w:val="none" w:sz="0" w:space="0" w:color="auto"/>
      </w:divBdr>
    </w:div>
    <w:div w:id="1330600010">
      <w:bodyDiv w:val="1"/>
      <w:marLeft w:val="0"/>
      <w:marRight w:val="0"/>
      <w:marTop w:val="0"/>
      <w:marBottom w:val="0"/>
      <w:divBdr>
        <w:top w:val="none" w:sz="0" w:space="0" w:color="auto"/>
        <w:left w:val="none" w:sz="0" w:space="0" w:color="auto"/>
        <w:bottom w:val="none" w:sz="0" w:space="0" w:color="auto"/>
        <w:right w:val="none" w:sz="0" w:space="0" w:color="auto"/>
      </w:divBdr>
    </w:div>
    <w:div w:id="1330863232">
      <w:bodyDiv w:val="1"/>
      <w:marLeft w:val="0"/>
      <w:marRight w:val="0"/>
      <w:marTop w:val="0"/>
      <w:marBottom w:val="0"/>
      <w:divBdr>
        <w:top w:val="none" w:sz="0" w:space="0" w:color="auto"/>
        <w:left w:val="none" w:sz="0" w:space="0" w:color="auto"/>
        <w:bottom w:val="none" w:sz="0" w:space="0" w:color="auto"/>
        <w:right w:val="none" w:sz="0" w:space="0" w:color="auto"/>
      </w:divBdr>
    </w:div>
    <w:div w:id="1341815064">
      <w:bodyDiv w:val="1"/>
      <w:marLeft w:val="0"/>
      <w:marRight w:val="0"/>
      <w:marTop w:val="0"/>
      <w:marBottom w:val="0"/>
      <w:divBdr>
        <w:top w:val="none" w:sz="0" w:space="0" w:color="auto"/>
        <w:left w:val="none" w:sz="0" w:space="0" w:color="auto"/>
        <w:bottom w:val="none" w:sz="0" w:space="0" w:color="auto"/>
        <w:right w:val="none" w:sz="0" w:space="0" w:color="auto"/>
      </w:divBdr>
    </w:div>
    <w:div w:id="1342775321">
      <w:bodyDiv w:val="1"/>
      <w:marLeft w:val="0"/>
      <w:marRight w:val="0"/>
      <w:marTop w:val="0"/>
      <w:marBottom w:val="0"/>
      <w:divBdr>
        <w:top w:val="none" w:sz="0" w:space="0" w:color="auto"/>
        <w:left w:val="none" w:sz="0" w:space="0" w:color="auto"/>
        <w:bottom w:val="none" w:sz="0" w:space="0" w:color="auto"/>
        <w:right w:val="none" w:sz="0" w:space="0" w:color="auto"/>
      </w:divBdr>
    </w:div>
    <w:div w:id="1353603892">
      <w:bodyDiv w:val="1"/>
      <w:marLeft w:val="0"/>
      <w:marRight w:val="0"/>
      <w:marTop w:val="0"/>
      <w:marBottom w:val="0"/>
      <w:divBdr>
        <w:top w:val="none" w:sz="0" w:space="0" w:color="auto"/>
        <w:left w:val="none" w:sz="0" w:space="0" w:color="auto"/>
        <w:bottom w:val="none" w:sz="0" w:space="0" w:color="auto"/>
        <w:right w:val="none" w:sz="0" w:space="0" w:color="auto"/>
      </w:divBdr>
    </w:div>
    <w:div w:id="1355767113">
      <w:bodyDiv w:val="1"/>
      <w:marLeft w:val="0"/>
      <w:marRight w:val="0"/>
      <w:marTop w:val="0"/>
      <w:marBottom w:val="0"/>
      <w:divBdr>
        <w:top w:val="none" w:sz="0" w:space="0" w:color="auto"/>
        <w:left w:val="none" w:sz="0" w:space="0" w:color="auto"/>
        <w:bottom w:val="none" w:sz="0" w:space="0" w:color="auto"/>
        <w:right w:val="none" w:sz="0" w:space="0" w:color="auto"/>
      </w:divBdr>
    </w:div>
    <w:div w:id="1355810427">
      <w:bodyDiv w:val="1"/>
      <w:marLeft w:val="0"/>
      <w:marRight w:val="0"/>
      <w:marTop w:val="0"/>
      <w:marBottom w:val="0"/>
      <w:divBdr>
        <w:top w:val="none" w:sz="0" w:space="0" w:color="auto"/>
        <w:left w:val="none" w:sz="0" w:space="0" w:color="auto"/>
        <w:bottom w:val="none" w:sz="0" w:space="0" w:color="auto"/>
        <w:right w:val="none" w:sz="0" w:space="0" w:color="auto"/>
      </w:divBdr>
    </w:div>
    <w:div w:id="1356467001">
      <w:bodyDiv w:val="1"/>
      <w:marLeft w:val="0"/>
      <w:marRight w:val="0"/>
      <w:marTop w:val="0"/>
      <w:marBottom w:val="0"/>
      <w:divBdr>
        <w:top w:val="none" w:sz="0" w:space="0" w:color="auto"/>
        <w:left w:val="none" w:sz="0" w:space="0" w:color="auto"/>
        <w:bottom w:val="none" w:sz="0" w:space="0" w:color="auto"/>
        <w:right w:val="none" w:sz="0" w:space="0" w:color="auto"/>
      </w:divBdr>
    </w:div>
    <w:div w:id="1361976721">
      <w:bodyDiv w:val="1"/>
      <w:marLeft w:val="0"/>
      <w:marRight w:val="0"/>
      <w:marTop w:val="0"/>
      <w:marBottom w:val="0"/>
      <w:divBdr>
        <w:top w:val="none" w:sz="0" w:space="0" w:color="auto"/>
        <w:left w:val="none" w:sz="0" w:space="0" w:color="auto"/>
        <w:bottom w:val="none" w:sz="0" w:space="0" w:color="auto"/>
        <w:right w:val="none" w:sz="0" w:space="0" w:color="auto"/>
      </w:divBdr>
    </w:div>
    <w:div w:id="1362438299">
      <w:bodyDiv w:val="1"/>
      <w:marLeft w:val="0"/>
      <w:marRight w:val="0"/>
      <w:marTop w:val="0"/>
      <w:marBottom w:val="0"/>
      <w:divBdr>
        <w:top w:val="none" w:sz="0" w:space="0" w:color="auto"/>
        <w:left w:val="none" w:sz="0" w:space="0" w:color="auto"/>
        <w:bottom w:val="none" w:sz="0" w:space="0" w:color="auto"/>
        <w:right w:val="none" w:sz="0" w:space="0" w:color="auto"/>
      </w:divBdr>
    </w:div>
    <w:div w:id="1363047162">
      <w:bodyDiv w:val="1"/>
      <w:marLeft w:val="0"/>
      <w:marRight w:val="0"/>
      <w:marTop w:val="0"/>
      <w:marBottom w:val="0"/>
      <w:divBdr>
        <w:top w:val="none" w:sz="0" w:space="0" w:color="auto"/>
        <w:left w:val="none" w:sz="0" w:space="0" w:color="auto"/>
        <w:bottom w:val="none" w:sz="0" w:space="0" w:color="auto"/>
        <w:right w:val="none" w:sz="0" w:space="0" w:color="auto"/>
      </w:divBdr>
    </w:div>
    <w:div w:id="1364019155">
      <w:bodyDiv w:val="1"/>
      <w:marLeft w:val="0"/>
      <w:marRight w:val="0"/>
      <w:marTop w:val="0"/>
      <w:marBottom w:val="0"/>
      <w:divBdr>
        <w:top w:val="none" w:sz="0" w:space="0" w:color="auto"/>
        <w:left w:val="none" w:sz="0" w:space="0" w:color="auto"/>
        <w:bottom w:val="none" w:sz="0" w:space="0" w:color="auto"/>
        <w:right w:val="none" w:sz="0" w:space="0" w:color="auto"/>
      </w:divBdr>
    </w:div>
    <w:div w:id="1365904256">
      <w:bodyDiv w:val="1"/>
      <w:marLeft w:val="0"/>
      <w:marRight w:val="0"/>
      <w:marTop w:val="0"/>
      <w:marBottom w:val="0"/>
      <w:divBdr>
        <w:top w:val="none" w:sz="0" w:space="0" w:color="auto"/>
        <w:left w:val="none" w:sz="0" w:space="0" w:color="auto"/>
        <w:bottom w:val="none" w:sz="0" w:space="0" w:color="auto"/>
        <w:right w:val="none" w:sz="0" w:space="0" w:color="auto"/>
      </w:divBdr>
    </w:div>
    <w:div w:id="1371152076">
      <w:bodyDiv w:val="1"/>
      <w:marLeft w:val="0"/>
      <w:marRight w:val="0"/>
      <w:marTop w:val="0"/>
      <w:marBottom w:val="0"/>
      <w:divBdr>
        <w:top w:val="none" w:sz="0" w:space="0" w:color="auto"/>
        <w:left w:val="none" w:sz="0" w:space="0" w:color="auto"/>
        <w:bottom w:val="none" w:sz="0" w:space="0" w:color="auto"/>
        <w:right w:val="none" w:sz="0" w:space="0" w:color="auto"/>
      </w:divBdr>
    </w:div>
    <w:div w:id="1373458723">
      <w:bodyDiv w:val="1"/>
      <w:marLeft w:val="0"/>
      <w:marRight w:val="0"/>
      <w:marTop w:val="0"/>
      <w:marBottom w:val="0"/>
      <w:divBdr>
        <w:top w:val="none" w:sz="0" w:space="0" w:color="auto"/>
        <w:left w:val="none" w:sz="0" w:space="0" w:color="auto"/>
        <w:bottom w:val="none" w:sz="0" w:space="0" w:color="auto"/>
        <w:right w:val="none" w:sz="0" w:space="0" w:color="auto"/>
      </w:divBdr>
    </w:div>
    <w:div w:id="1379084155">
      <w:bodyDiv w:val="1"/>
      <w:marLeft w:val="0"/>
      <w:marRight w:val="0"/>
      <w:marTop w:val="0"/>
      <w:marBottom w:val="0"/>
      <w:divBdr>
        <w:top w:val="none" w:sz="0" w:space="0" w:color="auto"/>
        <w:left w:val="none" w:sz="0" w:space="0" w:color="auto"/>
        <w:bottom w:val="none" w:sz="0" w:space="0" w:color="auto"/>
        <w:right w:val="none" w:sz="0" w:space="0" w:color="auto"/>
      </w:divBdr>
    </w:div>
    <w:div w:id="1380981592">
      <w:bodyDiv w:val="1"/>
      <w:marLeft w:val="0"/>
      <w:marRight w:val="0"/>
      <w:marTop w:val="0"/>
      <w:marBottom w:val="0"/>
      <w:divBdr>
        <w:top w:val="none" w:sz="0" w:space="0" w:color="auto"/>
        <w:left w:val="none" w:sz="0" w:space="0" w:color="auto"/>
        <w:bottom w:val="none" w:sz="0" w:space="0" w:color="auto"/>
        <w:right w:val="none" w:sz="0" w:space="0" w:color="auto"/>
      </w:divBdr>
    </w:div>
    <w:div w:id="1381132894">
      <w:bodyDiv w:val="1"/>
      <w:marLeft w:val="0"/>
      <w:marRight w:val="0"/>
      <w:marTop w:val="0"/>
      <w:marBottom w:val="0"/>
      <w:divBdr>
        <w:top w:val="none" w:sz="0" w:space="0" w:color="auto"/>
        <w:left w:val="none" w:sz="0" w:space="0" w:color="auto"/>
        <w:bottom w:val="none" w:sz="0" w:space="0" w:color="auto"/>
        <w:right w:val="none" w:sz="0" w:space="0" w:color="auto"/>
      </w:divBdr>
    </w:div>
    <w:div w:id="1382973169">
      <w:bodyDiv w:val="1"/>
      <w:marLeft w:val="0"/>
      <w:marRight w:val="0"/>
      <w:marTop w:val="0"/>
      <w:marBottom w:val="0"/>
      <w:divBdr>
        <w:top w:val="none" w:sz="0" w:space="0" w:color="auto"/>
        <w:left w:val="none" w:sz="0" w:space="0" w:color="auto"/>
        <w:bottom w:val="none" w:sz="0" w:space="0" w:color="auto"/>
        <w:right w:val="none" w:sz="0" w:space="0" w:color="auto"/>
      </w:divBdr>
    </w:div>
    <w:div w:id="1383211358">
      <w:bodyDiv w:val="1"/>
      <w:marLeft w:val="0"/>
      <w:marRight w:val="0"/>
      <w:marTop w:val="0"/>
      <w:marBottom w:val="0"/>
      <w:divBdr>
        <w:top w:val="none" w:sz="0" w:space="0" w:color="auto"/>
        <w:left w:val="none" w:sz="0" w:space="0" w:color="auto"/>
        <w:bottom w:val="none" w:sz="0" w:space="0" w:color="auto"/>
        <w:right w:val="none" w:sz="0" w:space="0" w:color="auto"/>
      </w:divBdr>
    </w:div>
    <w:div w:id="1383946643">
      <w:bodyDiv w:val="1"/>
      <w:marLeft w:val="0"/>
      <w:marRight w:val="0"/>
      <w:marTop w:val="0"/>
      <w:marBottom w:val="0"/>
      <w:divBdr>
        <w:top w:val="none" w:sz="0" w:space="0" w:color="auto"/>
        <w:left w:val="none" w:sz="0" w:space="0" w:color="auto"/>
        <w:bottom w:val="none" w:sz="0" w:space="0" w:color="auto"/>
        <w:right w:val="none" w:sz="0" w:space="0" w:color="auto"/>
      </w:divBdr>
    </w:div>
    <w:div w:id="1385563302">
      <w:bodyDiv w:val="1"/>
      <w:marLeft w:val="0"/>
      <w:marRight w:val="0"/>
      <w:marTop w:val="0"/>
      <w:marBottom w:val="0"/>
      <w:divBdr>
        <w:top w:val="none" w:sz="0" w:space="0" w:color="auto"/>
        <w:left w:val="none" w:sz="0" w:space="0" w:color="auto"/>
        <w:bottom w:val="none" w:sz="0" w:space="0" w:color="auto"/>
        <w:right w:val="none" w:sz="0" w:space="0" w:color="auto"/>
      </w:divBdr>
    </w:div>
    <w:div w:id="1390611424">
      <w:bodyDiv w:val="1"/>
      <w:marLeft w:val="0"/>
      <w:marRight w:val="0"/>
      <w:marTop w:val="0"/>
      <w:marBottom w:val="0"/>
      <w:divBdr>
        <w:top w:val="none" w:sz="0" w:space="0" w:color="auto"/>
        <w:left w:val="none" w:sz="0" w:space="0" w:color="auto"/>
        <w:bottom w:val="none" w:sz="0" w:space="0" w:color="auto"/>
        <w:right w:val="none" w:sz="0" w:space="0" w:color="auto"/>
      </w:divBdr>
    </w:div>
    <w:div w:id="1391533936">
      <w:bodyDiv w:val="1"/>
      <w:marLeft w:val="0"/>
      <w:marRight w:val="0"/>
      <w:marTop w:val="0"/>
      <w:marBottom w:val="0"/>
      <w:divBdr>
        <w:top w:val="none" w:sz="0" w:space="0" w:color="auto"/>
        <w:left w:val="none" w:sz="0" w:space="0" w:color="auto"/>
        <w:bottom w:val="none" w:sz="0" w:space="0" w:color="auto"/>
        <w:right w:val="none" w:sz="0" w:space="0" w:color="auto"/>
      </w:divBdr>
    </w:div>
    <w:div w:id="1392076618">
      <w:bodyDiv w:val="1"/>
      <w:marLeft w:val="0"/>
      <w:marRight w:val="0"/>
      <w:marTop w:val="0"/>
      <w:marBottom w:val="0"/>
      <w:divBdr>
        <w:top w:val="none" w:sz="0" w:space="0" w:color="auto"/>
        <w:left w:val="none" w:sz="0" w:space="0" w:color="auto"/>
        <w:bottom w:val="none" w:sz="0" w:space="0" w:color="auto"/>
        <w:right w:val="none" w:sz="0" w:space="0" w:color="auto"/>
      </w:divBdr>
    </w:div>
    <w:div w:id="1393112466">
      <w:bodyDiv w:val="1"/>
      <w:marLeft w:val="0"/>
      <w:marRight w:val="0"/>
      <w:marTop w:val="0"/>
      <w:marBottom w:val="0"/>
      <w:divBdr>
        <w:top w:val="none" w:sz="0" w:space="0" w:color="auto"/>
        <w:left w:val="none" w:sz="0" w:space="0" w:color="auto"/>
        <w:bottom w:val="none" w:sz="0" w:space="0" w:color="auto"/>
        <w:right w:val="none" w:sz="0" w:space="0" w:color="auto"/>
      </w:divBdr>
    </w:div>
    <w:div w:id="1396509394">
      <w:bodyDiv w:val="1"/>
      <w:marLeft w:val="0"/>
      <w:marRight w:val="0"/>
      <w:marTop w:val="0"/>
      <w:marBottom w:val="0"/>
      <w:divBdr>
        <w:top w:val="none" w:sz="0" w:space="0" w:color="auto"/>
        <w:left w:val="none" w:sz="0" w:space="0" w:color="auto"/>
        <w:bottom w:val="none" w:sz="0" w:space="0" w:color="auto"/>
        <w:right w:val="none" w:sz="0" w:space="0" w:color="auto"/>
      </w:divBdr>
    </w:div>
    <w:div w:id="1398093726">
      <w:bodyDiv w:val="1"/>
      <w:marLeft w:val="0"/>
      <w:marRight w:val="0"/>
      <w:marTop w:val="0"/>
      <w:marBottom w:val="0"/>
      <w:divBdr>
        <w:top w:val="none" w:sz="0" w:space="0" w:color="auto"/>
        <w:left w:val="none" w:sz="0" w:space="0" w:color="auto"/>
        <w:bottom w:val="none" w:sz="0" w:space="0" w:color="auto"/>
        <w:right w:val="none" w:sz="0" w:space="0" w:color="auto"/>
      </w:divBdr>
    </w:div>
    <w:div w:id="1402211129">
      <w:bodyDiv w:val="1"/>
      <w:marLeft w:val="0"/>
      <w:marRight w:val="0"/>
      <w:marTop w:val="0"/>
      <w:marBottom w:val="0"/>
      <w:divBdr>
        <w:top w:val="none" w:sz="0" w:space="0" w:color="auto"/>
        <w:left w:val="none" w:sz="0" w:space="0" w:color="auto"/>
        <w:bottom w:val="none" w:sz="0" w:space="0" w:color="auto"/>
        <w:right w:val="none" w:sz="0" w:space="0" w:color="auto"/>
      </w:divBdr>
    </w:div>
    <w:div w:id="1402212606">
      <w:bodyDiv w:val="1"/>
      <w:marLeft w:val="0"/>
      <w:marRight w:val="0"/>
      <w:marTop w:val="0"/>
      <w:marBottom w:val="0"/>
      <w:divBdr>
        <w:top w:val="none" w:sz="0" w:space="0" w:color="auto"/>
        <w:left w:val="none" w:sz="0" w:space="0" w:color="auto"/>
        <w:bottom w:val="none" w:sz="0" w:space="0" w:color="auto"/>
        <w:right w:val="none" w:sz="0" w:space="0" w:color="auto"/>
      </w:divBdr>
    </w:div>
    <w:div w:id="1403260279">
      <w:bodyDiv w:val="1"/>
      <w:marLeft w:val="0"/>
      <w:marRight w:val="0"/>
      <w:marTop w:val="0"/>
      <w:marBottom w:val="0"/>
      <w:divBdr>
        <w:top w:val="none" w:sz="0" w:space="0" w:color="auto"/>
        <w:left w:val="none" w:sz="0" w:space="0" w:color="auto"/>
        <w:bottom w:val="none" w:sz="0" w:space="0" w:color="auto"/>
        <w:right w:val="none" w:sz="0" w:space="0" w:color="auto"/>
      </w:divBdr>
    </w:div>
    <w:div w:id="1404137749">
      <w:bodyDiv w:val="1"/>
      <w:marLeft w:val="0"/>
      <w:marRight w:val="0"/>
      <w:marTop w:val="0"/>
      <w:marBottom w:val="0"/>
      <w:divBdr>
        <w:top w:val="none" w:sz="0" w:space="0" w:color="auto"/>
        <w:left w:val="none" w:sz="0" w:space="0" w:color="auto"/>
        <w:bottom w:val="none" w:sz="0" w:space="0" w:color="auto"/>
        <w:right w:val="none" w:sz="0" w:space="0" w:color="auto"/>
      </w:divBdr>
    </w:div>
    <w:div w:id="1407531964">
      <w:bodyDiv w:val="1"/>
      <w:marLeft w:val="0"/>
      <w:marRight w:val="0"/>
      <w:marTop w:val="0"/>
      <w:marBottom w:val="0"/>
      <w:divBdr>
        <w:top w:val="none" w:sz="0" w:space="0" w:color="auto"/>
        <w:left w:val="none" w:sz="0" w:space="0" w:color="auto"/>
        <w:bottom w:val="none" w:sz="0" w:space="0" w:color="auto"/>
        <w:right w:val="none" w:sz="0" w:space="0" w:color="auto"/>
      </w:divBdr>
    </w:div>
    <w:div w:id="1407846076">
      <w:bodyDiv w:val="1"/>
      <w:marLeft w:val="0"/>
      <w:marRight w:val="0"/>
      <w:marTop w:val="0"/>
      <w:marBottom w:val="0"/>
      <w:divBdr>
        <w:top w:val="none" w:sz="0" w:space="0" w:color="auto"/>
        <w:left w:val="none" w:sz="0" w:space="0" w:color="auto"/>
        <w:bottom w:val="none" w:sz="0" w:space="0" w:color="auto"/>
        <w:right w:val="none" w:sz="0" w:space="0" w:color="auto"/>
      </w:divBdr>
    </w:div>
    <w:div w:id="1410347927">
      <w:bodyDiv w:val="1"/>
      <w:marLeft w:val="0"/>
      <w:marRight w:val="0"/>
      <w:marTop w:val="0"/>
      <w:marBottom w:val="0"/>
      <w:divBdr>
        <w:top w:val="none" w:sz="0" w:space="0" w:color="auto"/>
        <w:left w:val="none" w:sz="0" w:space="0" w:color="auto"/>
        <w:bottom w:val="none" w:sz="0" w:space="0" w:color="auto"/>
        <w:right w:val="none" w:sz="0" w:space="0" w:color="auto"/>
      </w:divBdr>
    </w:div>
    <w:div w:id="1410805240">
      <w:bodyDiv w:val="1"/>
      <w:marLeft w:val="0"/>
      <w:marRight w:val="0"/>
      <w:marTop w:val="0"/>
      <w:marBottom w:val="0"/>
      <w:divBdr>
        <w:top w:val="none" w:sz="0" w:space="0" w:color="auto"/>
        <w:left w:val="none" w:sz="0" w:space="0" w:color="auto"/>
        <w:bottom w:val="none" w:sz="0" w:space="0" w:color="auto"/>
        <w:right w:val="none" w:sz="0" w:space="0" w:color="auto"/>
      </w:divBdr>
    </w:div>
    <w:div w:id="1420520890">
      <w:bodyDiv w:val="1"/>
      <w:marLeft w:val="0"/>
      <w:marRight w:val="0"/>
      <w:marTop w:val="0"/>
      <w:marBottom w:val="0"/>
      <w:divBdr>
        <w:top w:val="none" w:sz="0" w:space="0" w:color="auto"/>
        <w:left w:val="none" w:sz="0" w:space="0" w:color="auto"/>
        <w:bottom w:val="none" w:sz="0" w:space="0" w:color="auto"/>
        <w:right w:val="none" w:sz="0" w:space="0" w:color="auto"/>
      </w:divBdr>
    </w:div>
    <w:div w:id="1421221127">
      <w:bodyDiv w:val="1"/>
      <w:marLeft w:val="0"/>
      <w:marRight w:val="0"/>
      <w:marTop w:val="0"/>
      <w:marBottom w:val="0"/>
      <w:divBdr>
        <w:top w:val="none" w:sz="0" w:space="0" w:color="auto"/>
        <w:left w:val="none" w:sz="0" w:space="0" w:color="auto"/>
        <w:bottom w:val="none" w:sz="0" w:space="0" w:color="auto"/>
        <w:right w:val="none" w:sz="0" w:space="0" w:color="auto"/>
      </w:divBdr>
    </w:div>
    <w:div w:id="1422097992">
      <w:bodyDiv w:val="1"/>
      <w:marLeft w:val="0"/>
      <w:marRight w:val="0"/>
      <w:marTop w:val="0"/>
      <w:marBottom w:val="0"/>
      <w:divBdr>
        <w:top w:val="none" w:sz="0" w:space="0" w:color="auto"/>
        <w:left w:val="none" w:sz="0" w:space="0" w:color="auto"/>
        <w:bottom w:val="none" w:sz="0" w:space="0" w:color="auto"/>
        <w:right w:val="none" w:sz="0" w:space="0" w:color="auto"/>
      </w:divBdr>
    </w:div>
    <w:div w:id="1430203047">
      <w:bodyDiv w:val="1"/>
      <w:marLeft w:val="0"/>
      <w:marRight w:val="0"/>
      <w:marTop w:val="0"/>
      <w:marBottom w:val="0"/>
      <w:divBdr>
        <w:top w:val="none" w:sz="0" w:space="0" w:color="auto"/>
        <w:left w:val="none" w:sz="0" w:space="0" w:color="auto"/>
        <w:bottom w:val="none" w:sz="0" w:space="0" w:color="auto"/>
        <w:right w:val="none" w:sz="0" w:space="0" w:color="auto"/>
      </w:divBdr>
    </w:div>
    <w:div w:id="1431854688">
      <w:bodyDiv w:val="1"/>
      <w:marLeft w:val="0"/>
      <w:marRight w:val="0"/>
      <w:marTop w:val="0"/>
      <w:marBottom w:val="0"/>
      <w:divBdr>
        <w:top w:val="none" w:sz="0" w:space="0" w:color="auto"/>
        <w:left w:val="none" w:sz="0" w:space="0" w:color="auto"/>
        <w:bottom w:val="none" w:sz="0" w:space="0" w:color="auto"/>
        <w:right w:val="none" w:sz="0" w:space="0" w:color="auto"/>
      </w:divBdr>
    </w:div>
    <w:div w:id="1432159875">
      <w:bodyDiv w:val="1"/>
      <w:marLeft w:val="0"/>
      <w:marRight w:val="0"/>
      <w:marTop w:val="0"/>
      <w:marBottom w:val="0"/>
      <w:divBdr>
        <w:top w:val="none" w:sz="0" w:space="0" w:color="auto"/>
        <w:left w:val="none" w:sz="0" w:space="0" w:color="auto"/>
        <w:bottom w:val="none" w:sz="0" w:space="0" w:color="auto"/>
        <w:right w:val="none" w:sz="0" w:space="0" w:color="auto"/>
      </w:divBdr>
    </w:div>
    <w:div w:id="1435173344">
      <w:bodyDiv w:val="1"/>
      <w:marLeft w:val="0"/>
      <w:marRight w:val="0"/>
      <w:marTop w:val="0"/>
      <w:marBottom w:val="0"/>
      <w:divBdr>
        <w:top w:val="none" w:sz="0" w:space="0" w:color="auto"/>
        <w:left w:val="none" w:sz="0" w:space="0" w:color="auto"/>
        <w:bottom w:val="none" w:sz="0" w:space="0" w:color="auto"/>
        <w:right w:val="none" w:sz="0" w:space="0" w:color="auto"/>
      </w:divBdr>
    </w:div>
    <w:div w:id="1436092523">
      <w:bodyDiv w:val="1"/>
      <w:marLeft w:val="0"/>
      <w:marRight w:val="0"/>
      <w:marTop w:val="0"/>
      <w:marBottom w:val="0"/>
      <w:divBdr>
        <w:top w:val="none" w:sz="0" w:space="0" w:color="auto"/>
        <w:left w:val="none" w:sz="0" w:space="0" w:color="auto"/>
        <w:bottom w:val="none" w:sz="0" w:space="0" w:color="auto"/>
        <w:right w:val="none" w:sz="0" w:space="0" w:color="auto"/>
      </w:divBdr>
    </w:div>
    <w:div w:id="1437478546">
      <w:bodyDiv w:val="1"/>
      <w:marLeft w:val="0"/>
      <w:marRight w:val="0"/>
      <w:marTop w:val="0"/>
      <w:marBottom w:val="0"/>
      <w:divBdr>
        <w:top w:val="none" w:sz="0" w:space="0" w:color="auto"/>
        <w:left w:val="none" w:sz="0" w:space="0" w:color="auto"/>
        <w:bottom w:val="none" w:sz="0" w:space="0" w:color="auto"/>
        <w:right w:val="none" w:sz="0" w:space="0" w:color="auto"/>
      </w:divBdr>
    </w:div>
    <w:div w:id="1439369913">
      <w:bodyDiv w:val="1"/>
      <w:marLeft w:val="0"/>
      <w:marRight w:val="0"/>
      <w:marTop w:val="0"/>
      <w:marBottom w:val="0"/>
      <w:divBdr>
        <w:top w:val="none" w:sz="0" w:space="0" w:color="auto"/>
        <w:left w:val="none" w:sz="0" w:space="0" w:color="auto"/>
        <w:bottom w:val="none" w:sz="0" w:space="0" w:color="auto"/>
        <w:right w:val="none" w:sz="0" w:space="0" w:color="auto"/>
      </w:divBdr>
    </w:div>
    <w:div w:id="1448499728">
      <w:bodyDiv w:val="1"/>
      <w:marLeft w:val="0"/>
      <w:marRight w:val="0"/>
      <w:marTop w:val="0"/>
      <w:marBottom w:val="0"/>
      <w:divBdr>
        <w:top w:val="none" w:sz="0" w:space="0" w:color="auto"/>
        <w:left w:val="none" w:sz="0" w:space="0" w:color="auto"/>
        <w:bottom w:val="none" w:sz="0" w:space="0" w:color="auto"/>
        <w:right w:val="none" w:sz="0" w:space="0" w:color="auto"/>
      </w:divBdr>
    </w:div>
    <w:div w:id="1454441036">
      <w:bodyDiv w:val="1"/>
      <w:marLeft w:val="0"/>
      <w:marRight w:val="0"/>
      <w:marTop w:val="0"/>
      <w:marBottom w:val="0"/>
      <w:divBdr>
        <w:top w:val="none" w:sz="0" w:space="0" w:color="auto"/>
        <w:left w:val="none" w:sz="0" w:space="0" w:color="auto"/>
        <w:bottom w:val="none" w:sz="0" w:space="0" w:color="auto"/>
        <w:right w:val="none" w:sz="0" w:space="0" w:color="auto"/>
      </w:divBdr>
    </w:div>
    <w:div w:id="1456411472">
      <w:bodyDiv w:val="1"/>
      <w:marLeft w:val="0"/>
      <w:marRight w:val="0"/>
      <w:marTop w:val="0"/>
      <w:marBottom w:val="0"/>
      <w:divBdr>
        <w:top w:val="none" w:sz="0" w:space="0" w:color="auto"/>
        <w:left w:val="none" w:sz="0" w:space="0" w:color="auto"/>
        <w:bottom w:val="none" w:sz="0" w:space="0" w:color="auto"/>
        <w:right w:val="none" w:sz="0" w:space="0" w:color="auto"/>
      </w:divBdr>
    </w:div>
    <w:div w:id="1456557235">
      <w:bodyDiv w:val="1"/>
      <w:marLeft w:val="0"/>
      <w:marRight w:val="0"/>
      <w:marTop w:val="0"/>
      <w:marBottom w:val="0"/>
      <w:divBdr>
        <w:top w:val="none" w:sz="0" w:space="0" w:color="auto"/>
        <w:left w:val="none" w:sz="0" w:space="0" w:color="auto"/>
        <w:bottom w:val="none" w:sz="0" w:space="0" w:color="auto"/>
        <w:right w:val="none" w:sz="0" w:space="0" w:color="auto"/>
      </w:divBdr>
    </w:div>
    <w:div w:id="1456752890">
      <w:bodyDiv w:val="1"/>
      <w:marLeft w:val="0"/>
      <w:marRight w:val="0"/>
      <w:marTop w:val="0"/>
      <w:marBottom w:val="0"/>
      <w:divBdr>
        <w:top w:val="none" w:sz="0" w:space="0" w:color="auto"/>
        <w:left w:val="none" w:sz="0" w:space="0" w:color="auto"/>
        <w:bottom w:val="none" w:sz="0" w:space="0" w:color="auto"/>
        <w:right w:val="none" w:sz="0" w:space="0" w:color="auto"/>
      </w:divBdr>
    </w:div>
    <w:div w:id="1457794715">
      <w:bodyDiv w:val="1"/>
      <w:marLeft w:val="0"/>
      <w:marRight w:val="0"/>
      <w:marTop w:val="0"/>
      <w:marBottom w:val="0"/>
      <w:divBdr>
        <w:top w:val="none" w:sz="0" w:space="0" w:color="auto"/>
        <w:left w:val="none" w:sz="0" w:space="0" w:color="auto"/>
        <w:bottom w:val="none" w:sz="0" w:space="0" w:color="auto"/>
        <w:right w:val="none" w:sz="0" w:space="0" w:color="auto"/>
      </w:divBdr>
    </w:div>
    <w:div w:id="1460563792">
      <w:bodyDiv w:val="1"/>
      <w:marLeft w:val="0"/>
      <w:marRight w:val="0"/>
      <w:marTop w:val="0"/>
      <w:marBottom w:val="0"/>
      <w:divBdr>
        <w:top w:val="none" w:sz="0" w:space="0" w:color="auto"/>
        <w:left w:val="none" w:sz="0" w:space="0" w:color="auto"/>
        <w:bottom w:val="none" w:sz="0" w:space="0" w:color="auto"/>
        <w:right w:val="none" w:sz="0" w:space="0" w:color="auto"/>
      </w:divBdr>
    </w:div>
    <w:div w:id="1462572273">
      <w:bodyDiv w:val="1"/>
      <w:marLeft w:val="0"/>
      <w:marRight w:val="0"/>
      <w:marTop w:val="0"/>
      <w:marBottom w:val="0"/>
      <w:divBdr>
        <w:top w:val="none" w:sz="0" w:space="0" w:color="auto"/>
        <w:left w:val="none" w:sz="0" w:space="0" w:color="auto"/>
        <w:bottom w:val="none" w:sz="0" w:space="0" w:color="auto"/>
        <w:right w:val="none" w:sz="0" w:space="0" w:color="auto"/>
      </w:divBdr>
    </w:div>
    <w:div w:id="1464688176">
      <w:bodyDiv w:val="1"/>
      <w:marLeft w:val="0"/>
      <w:marRight w:val="0"/>
      <w:marTop w:val="0"/>
      <w:marBottom w:val="0"/>
      <w:divBdr>
        <w:top w:val="none" w:sz="0" w:space="0" w:color="auto"/>
        <w:left w:val="none" w:sz="0" w:space="0" w:color="auto"/>
        <w:bottom w:val="none" w:sz="0" w:space="0" w:color="auto"/>
        <w:right w:val="none" w:sz="0" w:space="0" w:color="auto"/>
      </w:divBdr>
    </w:div>
    <w:div w:id="1467623793">
      <w:bodyDiv w:val="1"/>
      <w:marLeft w:val="0"/>
      <w:marRight w:val="0"/>
      <w:marTop w:val="0"/>
      <w:marBottom w:val="0"/>
      <w:divBdr>
        <w:top w:val="none" w:sz="0" w:space="0" w:color="auto"/>
        <w:left w:val="none" w:sz="0" w:space="0" w:color="auto"/>
        <w:bottom w:val="none" w:sz="0" w:space="0" w:color="auto"/>
        <w:right w:val="none" w:sz="0" w:space="0" w:color="auto"/>
      </w:divBdr>
    </w:div>
    <w:div w:id="1469200757">
      <w:bodyDiv w:val="1"/>
      <w:marLeft w:val="0"/>
      <w:marRight w:val="0"/>
      <w:marTop w:val="0"/>
      <w:marBottom w:val="0"/>
      <w:divBdr>
        <w:top w:val="none" w:sz="0" w:space="0" w:color="auto"/>
        <w:left w:val="none" w:sz="0" w:space="0" w:color="auto"/>
        <w:bottom w:val="none" w:sz="0" w:space="0" w:color="auto"/>
        <w:right w:val="none" w:sz="0" w:space="0" w:color="auto"/>
      </w:divBdr>
    </w:div>
    <w:div w:id="1478841189">
      <w:bodyDiv w:val="1"/>
      <w:marLeft w:val="0"/>
      <w:marRight w:val="0"/>
      <w:marTop w:val="0"/>
      <w:marBottom w:val="0"/>
      <w:divBdr>
        <w:top w:val="none" w:sz="0" w:space="0" w:color="auto"/>
        <w:left w:val="none" w:sz="0" w:space="0" w:color="auto"/>
        <w:bottom w:val="none" w:sz="0" w:space="0" w:color="auto"/>
        <w:right w:val="none" w:sz="0" w:space="0" w:color="auto"/>
      </w:divBdr>
    </w:div>
    <w:div w:id="1479230694">
      <w:bodyDiv w:val="1"/>
      <w:marLeft w:val="0"/>
      <w:marRight w:val="0"/>
      <w:marTop w:val="0"/>
      <w:marBottom w:val="0"/>
      <w:divBdr>
        <w:top w:val="none" w:sz="0" w:space="0" w:color="auto"/>
        <w:left w:val="none" w:sz="0" w:space="0" w:color="auto"/>
        <w:bottom w:val="none" w:sz="0" w:space="0" w:color="auto"/>
        <w:right w:val="none" w:sz="0" w:space="0" w:color="auto"/>
      </w:divBdr>
    </w:div>
    <w:div w:id="1482579736">
      <w:bodyDiv w:val="1"/>
      <w:marLeft w:val="0"/>
      <w:marRight w:val="0"/>
      <w:marTop w:val="0"/>
      <w:marBottom w:val="0"/>
      <w:divBdr>
        <w:top w:val="none" w:sz="0" w:space="0" w:color="auto"/>
        <w:left w:val="none" w:sz="0" w:space="0" w:color="auto"/>
        <w:bottom w:val="none" w:sz="0" w:space="0" w:color="auto"/>
        <w:right w:val="none" w:sz="0" w:space="0" w:color="auto"/>
      </w:divBdr>
    </w:div>
    <w:div w:id="1487093304">
      <w:bodyDiv w:val="1"/>
      <w:marLeft w:val="0"/>
      <w:marRight w:val="0"/>
      <w:marTop w:val="0"/>
      <w:marBottom w:val="0"/>
      <w:divBdr>
        <w:top w:val="none" w:sz="0" w:space="0" w:color="auto"/>
        <w:left w:val="none" w:sz="0" w:space="0" w:color="auto"/>
        <w:bottom w:val="none" w:sz="0" w:space="0" w:color="auto"/>
        <w:right w:val="none" w:sz="0" w:space="0" w:color="auto"/>
      </w:divBdr>
    </w:div>
    <w:div w:id="1494177345">
      <w:bodyDiv w:val="1"/>
      <w:marLeft w:val="0"/>
      <w:marRight w:val="0"/>
      <w:marTop w:val="0"/>
      <w:marBottom w:val="0"/>
      <w:divBdr>
        <w:top w:val="none" w:sz="0" w:space="0" w:color="auto"/>
        <w:left w:val="none" w:sz="0" w:space="0" w:color="auto"/>
        <w:bottom w:val="none" w:sz="0" w:space="0" w:color="auto"/>
        <w:right w:val="none" w:sz="0" w:space="0" w:color="auto"/>
      </w:divBdr>
    </w:div>
    <w:div w:id="1500851619">
      <w:bodyDiv w:val="1"/>
      <w:marLeft w:val="0"/>
      <w:marRight w:val="0"/>
      <w:marTop w:val="0"/>
      <w:marBottom w:val="0"/>
      <w:divBdr>
        <w:top w:val="none" w:sz="0" w:space="0" w:color="auto"/>
        <w:left w:val="none" w:sz="0" w:space="0" w:color="auto"/>
        <w:bottom w:val="none" w:sz="0" w:space="0" w:color="auto"/>
        <w:right w:val="none" w:sz="0" w:space="0" w:color="auto"/>
      </w:divBdr>
    </w:div>
    <w:div w:id="1501919670">
      <w:bodyDiv w:val="1"/>
      <w:marLeft w:val="0"/>
      <w:marRight w:val="0"/>
      <w:marTop w:val="0"/>
      <w:marBottom w:val="0"/>
      <w:divBdr>
        <w:top w:val="none" w:sz="0" w:space="0" w:color="auto"/>
        <w:left w:val="none" w:sz="0" w:space="0" w:color="auto"/>
        <w:bottom w:val="none" w:sz="0" w:space="0" w:color="auto"/>
        <w:right w:val="none" w:sz="0" w:space="0" w:color="auto"/>
      </w:divBdr>
    </w:div>
    <w:div w:id="1502576234">
      <w:bodyDiv w:val="1"/>
      <w:marLeft w:val="0"/>
      <w:marRight w:val="0"/>
      <w:marTop w:val="0"/>
      <w:marBottom w:val="0"/>
      <w:divBdr>
        <w:top w:val="none" w:sz="0" w:space="0" w:color="auto"/>
        <w:left w:val="none" w:sz="0" w:space="0" w:color="auto"/>
        <w:bottom w:val="none" w:sz="0" w:space="0" w:color="auto"/>
        <w:right w:val="none" w:sz="0" w:space="0" w:color="auto"/>
      </w:divBdr>
    </w:div>
    <w:div w:id="1505629907">
      <w:bodyDiv w:val="1"/>
      <w:marLeft w:val="0"/>
      <w:marRight w:val="0"/>
      <w:marTop w:val="0"/>
      <w:marBottom w:val="0"/>
      <w:divBdr>
        <w:top w:val="none" w:sz="0" w:space="0" w:color="auto"/>
        <w:left w:val="none" w:sz="0" w:space="0" w:color="auto"/>
        <w:bottom w:val="none" w:sz="0" w:space="0" w:color="auto"/>
        <w:right w:val="none" w:sz="0" w:space="0" w:color="auto"/>
      </w:divBdr>
    </w:div>
    <w:div w:id="1506019366">
      <w:bodyDiv w:val="1"/>
      <w:marLeft w:val="0"/>
      <w:marRight w:val="0"/>
      <w:marTop w:val="0"/>
      <w:marBottom w:val="0"/>
      <w:divBdr>
        <w:top w:val="none" w:sz="0" w:space="0" w:color="auto"/>
        <w:left w:val="none" w:sz="0" w:space="0" w:color="auto"/>
        <w:bottom w:val="none" w:sz="0" w:space="0" w:color="auto"/>
        <w:right w:val="none" w:sz="0" w:space="0" w:color="auto"/>
      </w:divBdr>
    </w:div>
    <w:div w:id="1508598553">
      <w:bodyDiv w:val="1"/>
      <w:marLeft w:val="0"/>
      <w:marRight w:val="0"/>
      <w:marTop w:val="0"/>
      <w:marBottom w:val="0"/>
      <w:divBdr>
        <w:top w:val="none" w:sz="0" w:space="0" w:color="auto"/>
        <w:left w:val="none" w:sz="0" w:space="0" w:color="auto"/>
        <w:bottom w:val="none" w:sz="0" w:space="0" w:color="auto"/>
        <w:right w:val="none" w:sz="0" w:space="0" w:color="auto"/>
      </w:divBdr>
    </w:div>
    <w:div w:id="1514033509">
      <w:bodyDiv w:val="1"/>
      <w:marLeft w:val="0"/>
      <w:marRight w:val="0"/>
      <w:marTop w:val="0"/>
      <w:marBottom w:val="0"/>
      <w:divBdr>
        <w:top w:val="none" w:sz="0" w:space="0" w:color="auto"/>
        <w:left w:val="none" w:sz="0" w:space="0" w:color="auto"/>
        <w:bottom w:val="none" w:sz="0" w:space="0" w:color="auto"/>
        <w:right w:val="none" w:sz="0" w:space="0" w:color="auto"/>
      </w:divBdr>
    </w:div>
    <w:div w:id="1520242247">
      <w:bodyDiv w:val="1"/>
      <w:marLeft w:val="0"/>
      <w:marRight w:val="0"/>
      <w:marTop w:val="0"/>
      <w:marBottom w:val="0"/>
      <w:divBdr>
        <w:top w:val="none" w:sz="0" w:space="0" w:color="auto"/>
        <w:left w:val="none" w:sz="0" w:space="0" w:color="auto"/>
        <w:bottom w:val="none" w:sz="0" w:space="0" w:color="auto"/>
        <w:right w:val="none" w:sz="0" w:space="0" w:color="auto"/>
      </w:divBdr>
    </w:div>
    <w:div w:id="1520847948">
      <w:bodyDiv w:val="1"/>
      <w:marLeft w:val="0"/>
      <w:marRight w:val="0"/>
      <w:marTop w:val="0"/>
      <w:marBottom w:val="0"/>
      <w:divBdr>
        <w:top w:val="none" w:sz="0" w:space="0" w:color="auto"/>
        <w:left w:val="none" w:sz="0" w:space="0" w:color="auto"/>
        <w:bottom w:val="none" w:sz="0" w:space="0" w:color="auto"/>
        <w:right w:val="none" w:sz="0" w:space="0" w:color="auto"/>
      </w:divBdr>
    </w:div>
    <w:div w:id="1521162235">
      <w:bodyDiv w:val="1"/>
      <w:marLeft w:val="0"/>
      <w:marRight w:val="0"/>
      <w:marTop w:val="0"/>
      <w:marBottom w:val="0"/>
      <w:divBdr>
        <w:top w:val="none" w:sz="0" w:space="0" w:color="auto"/>
        <w:left w:val="none" w:sz="0" w:space="0" w:color="auto"/>
        <w:bottom w:val="none" w:sz="0" w:space="0" w:color="auto"/>
        <w:right w:val="none" w:sz="0" w:space="0" w:color="auto"/>
      </w:divBdr>
    </w:div>
    <w:div w:id="1526094656">
      <w:bodyDiv w:val="1"/>
      <w:marLeft w:val="0"/>
      <w:marRight w:val="0"/>
      <w:marTop w:val="0"/>
      <w:marBottom w:val="0"/>
      <w:divBdr>
        <w:top w:val="none" w:sz="0" w:space="0" w:color="auto"/>
        <w:left w:val="none" w:sz="0" w:space="0" w:color="auto"/>
        <w:bottom w:val="none" w:sz="0" w:space="0" w:color="auto"/>
        <w:right w:val="none" w:sz="0" w:space="0" w:color="auto"/>
      </w:divBdr>
    </w:div>
    <w:div w:id="1528829615">
      <w:bodyDiv w:val="1"/>
      <w:marLeft w:val="0"/>
      <w:marRight w:val="0"/>
      <w:marTop w:val="0"/>
      <w:marBottom w:val="0"/>
      <w:divBdr>
        <w:top w:val="none" w:sz="0" w:space="0" w:color="auto"/>
        <w:left w:val="none" w:sz="0" w:space="0" w:color="auto"/>
        <w:bottom w:val="none" w:sz="0" w:space="0" w:color="auto"/>
        <w:right w:val="none" w:sz="0" w:space="0" w:color="auto"/>
      </w:divBdr>
    </w:div>
    <w:div w:id="1529028530">
      <w:bodyDiv w:val="1"/>
      <w:marLeft w:val="0"/>
      <w:marRight w:val="0"/>
      <w:marTop w:val="0"/>
      <w:marBottom w:val="0"/>
      <w:divBdr>
        <w:top w:val="none" w:sz="0" w:space="0" w:color="auto"/>
        <w:left w:val="none" w:sz="0" w:space="0" w:color="auto"/>
        <w:bottom w:val="none" w:sz="0" w:space="0" w:color="auto"/>
        <w:right w:val="none" w:sz="0" w:space="0" w:color="auto"/>
      </w:divBdr>
    </w:div>
    <w:div w:id="1535851156">
      <w:bodyDiv w:val="1"/>
      <w:marLeft w:val="0"/>
      <w:marRight w:val="0"/>
      <w:marTop w:val="0"/>
      <w:marBottom w:val="0"/>
      <w:divBdr>
        <w:top w:val="none" w:sz="0" w:space="0" w:color="auto"/>
        <w:left w:val="none" w:sz="0" w:space="0" w:color="auto"/>
        <w:bottom w:val="none" w:sz="0" w:space="0" w:color="auto"/>
        <w:right w:val="none" w:sz="0" w:space="0" w:color="auto"/>
      </w:divBdr>
    </w:div>
    <w:div w:id="1537622807">
      <w:bodyDiv w:val="1"/>
      <w:marLeft w:val="0"/>
      <w:marRight w:val="0"/>
      <w:marTop w:val="0"/>
      <w:marBottom w:val="0"/>
      <w:divBdr>
        <w:top w:val="none" w:sz="0" w:space="0" w:color="auto"/>
        <w:left w:val="none" w:sz="0" w:space="0" w:color="auto"/>
        <w:bottom w:val="none" w:sz="0" w:space="0" w:color="auto"/>
        <w:right w:val="none" w:sz="0" w:space="0" w:color="auto"/>
      </w:divBdr>
    </w:div>
    <w:div w:id="1539119173">
      <w:bodyDiv w:val="1"/>
      <w:marLeft w:val="0"/>
      <w:marRight w:val="0"/>
      <w:marTop w:val="0"/>
      <w:marBottom w:val="0"/>
      <w:divBdr>
        <w:top w:val="none" w:sz="0" w:space="0" w:color="auto"/>
        <w:left w:val="none" w:sz="0" w:space="0" w:color="auto"/>
        <w:bottom w:val="none" w:sz="0" w:space="0" w:color="auto"/>
        <w:right w:val="none" w:sz="0" w:space="0" w:color="auto"/>
      </w:divBdr>
    </w:div>
    <w:div w:id="1540126431">
      <w:bodyDiv w:val="1"/>
      <w:marLeft w:val="0"/>
      <w:marRight w:val="0"/>
      <w:marTop w:val="0"/>
      <w:marBottom w:val="0"/>
      <w:divBdr>
        <w:top w:val="none" w:sz="0" w:space="0" w:color="auto"/>
        <w:left w:val="none" w:sz="0" w:space="0" w:color="auto"/>
        <w:bottom w:val="none" w:sz="0" w:space="0" w:color="auto"/>
        <w:right w:val="none" w:sz="0" w:space="0" w:color="auto"/>
      </w:divBdr>
    </w:div>
    <w:div w:id="1542744871">
      <w:bodyDiv w:val="1"/>
      <w:marLeft w:val="0"/>
      <w:marRight w:val="0"/>
      <w:marTop w:val="0"/>
      <w:marBottom w:val="0"/>
      <w:divBdr>
        <w:top w:val="none" w:sz="0" w:space="0" w:color="auto"/>
        <w:left w:val="none" w:sz="0" w:space="0" w:color="auto"/>
        <w:bottom w:val="none" w:sz="0" w:space="0" w:color="auto"/>
        <w:right w:val="none" w:sz="0" w:space="0" w:color="auto"/>
      </w:divBdr>
    </w:div>
    <w:div w:id="1543133289">
      <w:bodyDiv w:val="1"/>
      <w:marLeft w:val="0"/>
      <w:marRight w:val="0"/>
      <w:marTop w:val="0"/>
      <w:marBottom w:val="0"/>
      <w:divBdr>
        <w:top w:val="none" w:sz="0" w:space="0" w:color="auto"/>
        <w:left w:val="none" w:sz="0" w:space="0" w:color="auto"/>
        <w:bottom w:val="none" w:sz="0" w:space="0" w:color="auto"/>
        <w:right w:val="none" w:sz="0" w:space="0" w:color="auto"/>
      </w:divBdr>
    </w:div>
    <w:div w:id="1549150148">
      <w:bodyDiv w:val="1"/>
      <w:marLeft w:val="0"/>
      <w:marRight w:val="0"/>
      <w:marTop w:val="0"/>
      <w:marBottom w:val="0"/>
      <w:divBdr>
        <w:top w:val="none" w:sz="0" w:space="0" w:color="auto"/>
        <w:left w:val="none" w:sz="0" w:space="0" w:color="auto"/>
        <w:bottom w:val="none" w:sz="0" w:space="0" w:color="auto"/>
        <w:right w:val="none" w:sz="0" w:space="0" w:color="auto"/>
      </w:divBdr>
    </w:div>
    <w:div w:id="1553543515">
      <w:bodyDiv w:val="1"/>
      <w:marLeft w:val="0"/>
      <w:marRight w:val="0"/>
      <w:marTop w:val="0"/>
      <w:marBottom w:val="0"/>
      <w:divBdr>
        <w:top w:val="none" w:sz="0" w:space="0" w:color="auto"/>
        <w:left w:val="none" w:sz="0" w:space="0" w:color="auto"/>
        <w:bottom w:val="none" w:sz="0" w:space="0" w:color="auto"/>
        <w:right w:val="none" w:sz="0" w:space="0" w:color="auto"/>
      </w:divBdr>
    </w:div>
    <w:div w:id="1553735532">
      <w:bodyDiv w:val="1"/>
      <w:marLeft w:val="0"/>
      <w:marRight w:val="0"/>
      <w:marTop w:val="0"/>
      <w:marBottom w:val="0"/>
      <w:divBdr>
        <w:top w:val="none" w:sz="0" w:space="0" w:color="auto"/>
        <w:left w:val="none" w:sz="0" w:space="0" w:color="auto"/>
        <w:bottom w:val="none" w:sz="0" w:space="0" w:color="auto"/>
        <w:right w:val="none" w:sz="0" w:space="0" w:color="auto"/>
      </w:divBdr>
    </w:div>
    <w:div w:id="1556886845">
      <w:bodyDiv w:val="1"/>
      <w:marLeft w:val="0"/>
      <w:marRight w:val="0"/>
      <w:marTop w:val="0"/>
      <w:marBottom w:val="0"/>
      <w:divBdr>
        <w:top w:val="none" w:sz="0" w:space="0" w:color="auto"/>
        <w:left w:val="none" w:sz="0" w:space="0" w:color="auto"/>
        <w:bottom w:val="none" w:sz="0" w:space="0" w:color="auto"/>
        <w:right w:val="none" w:sz="0" w:space="0" w:color="auto"/>
      </w:divBdr>
    </w:div>
    <w:div w:id="1559513623">
      <w:bodyDiv w:val="1"/>
      <w:marLeft w:val="0"/>
      <w:marRight w:val="0"/>
      <w:marTop w:val="0"/>
      <w:marBottom w:val="0"/>
      <w:divBdr>
        <w:top w:val="none" w:sz="0" w:space="0" w:color="auto"/>
        <w:left w:val="none" w:sz="0" w:space="0" w:color="auto"/>
        <w:bottom w:val="none" w:sz="0" w:space="0" w:color="auto"/>
        <w:right w:val="none" w:sz="0" w:space="0" w:color="auto"/>
      </w:divBdr>
    </w:div>
    <w:div w:id="1560938391">
      <w:bodyDiv w:val="1"/>
      <w:marLeft w:val="0"/>
      <w:marRight w:val="0"/>
      <w:marTop w:val="0"/>
      <w:marBottom w:val="0"/>
      <w:divBdr>
        <w:top w:val="none" w:sz="0" w:space="0" w:color="auto"/>
        <w:left w:val="none" w:sz="0" w:space="0" w:color="auto"/>
        <w:bottom w:val="none" w:sz="0" w:space="0" w:color="auto"/>
        <w:right w:val="none" w:sz="0" w:space="0" w:color="auto"/>
      </w:divBdr>
    </w:div>
    <w:div w:id="1563324084">
      <w:bodyDiv w:val="1"/>
      <w:marLeft w:val="0"/>
      <w:marRight w:val="0"/>
      <w:marTop w:val="0"/>
      <w:marBottom w:val="0"/>
      <w:divBdr>
        <w:top w:val="none" w:sz="0" w:space="0" w:color="auto"/>
        <w:left w:val="none" w:sz="0" w:space="0" w:color="auto"/>
        <w:bottom w:val="none" w:sz="0" w:space="0" w:color="auto"/>
        <w:right w:val="none" w:sz="0" w:space="0" w:color="auto"/>
      </w:divBdr>
    </w:div>
    <w:div w:id="1564218740">
      <w:bodyDiv w:val="1"/>
      <w:marLeft w:val="0"/>
      <w:marRight w:val="0"/>
      <w:marTop w:val="0"/>
      <w:marBottom w:val="0"/>
      <w:divBdr>
        <w:top w:val="none" w:sz="0" w:space="0" w:color="auto"/>
        <w:left w:val="none" w:sz="0" w:space="0" w:color="auto"/>
        <w:bottom w:val="none" w:sz="0" w:space="0" w:color="auto"/>
        <w:right w:val="none" w:sz="0" w:space="0" w:color="auto"/>
      </w:divBdr>
    </w:div>
    <w:div w:id="1565215084">
      <w:bodyDiv w:val="1"/>
      <w:marLeft w:val="0"/>
      <w:marRight w:val="0"/>
      <w:marTop w:val="0"/>
      <w:marBottom w:val="0"/>
      <w:divBdr>
        <w:top w:val="none" w:sz="0" w:space="0" w:color="auto"/>
        <w:left w:val="none" w:sz="0" w:space="0" w:color="auto"/>
        <w:bottom w:val="none" w:sz="0" w:space="0" w:color="auto"/>
        <w:right w:val="none" w:sz="0" w:space="0" w:color="auto"/>
      </w:divBdr>
    </w:div>
    <w:div w:id="1567111669">
      <w:bodyDiv w:val="1"/>
      <w:marLeft w:val="0"/>
      <w:marRight w:val="0"/>
      <w:marTop w:val="0"/>
      <w:marBottom w:val="0"/>
      <w:divBdr>
        <w:top w:val="none" w:sz="0" w:space="0" w:color="auto"/>
        <w:left w:val="none" w:sz="0" w:space="0" w:color="auto"/>
        <w:bottom w:val="none" w:sz="0" w:space="0" w:color="auto"/>
        <w:right w:val="none" w:sz="0" w:space="0" w:color="auto"/>
      </w:divBdr>
    </w:div>
    <w:div w:id="1567717072">
      <w:bodyDiv w:val="1"/>
      <w:marLeft w:val="0"/>
      <w:marRight w:val="0"/>
      <w:marTop w:val="0"/>
      <w:marBottom w:val="0"/>
      <w:divBdr>
        <w:top w:val="none" w:sz="0" w:space="0" w:color="auto"/>
        <w:left w:val="none" w:sz="0" w:space="0" w:color="auto"/>
        <w:bottom w:val="none" w:sz="0" w:space="0" w:color="auto"/>
        <w:right w:val="none" w:sz="0" w:space="0" w:color="auto"/>
      </w:divBdr>
    </w:div>
    <w:div w:id="1568029125">
      <w:bodyDiv w:val="1"/>
      <w:marLeft w:val="0"/>
      <w:marRight w:val="0"/>
      <w:marTop w:val="0"/>
      <w:marBottom w:val="0"/>
      <w:divBdr>
        <w:top w:val="none" w:sz="0" w:space="0" w:color="auto"/>
        <w:left w:val="none" w:sz="0" w:space="0" w:color="auto"/>
        <w:bottom w:val="none" w:sz="0" w:space="0" w:color="auto"/>
        <w:right w:val="none" w:sz="0" w:space="0" w:color="auto"/>
      </w:divBdr>
    </w:div>
    <w:div w:id="1568370698">
      <w:bodyDiv w:val="1"/>
      <w:marLeft w:val="0"/>
      <w:marRight w:val="0"/>
      <w:marTop w:val="0"/>
      <w:marBottom w:val="0"/>
      <w:divBdr>
        <w:top w:val="none" w:sz="0" w:space="0" w:color="auto"/>
        <w:left w:val="none" w:sz="0" w:space="0" w:color="auto"/>
        <w:bottom w:val="none" w:sz="0" w:space="0" w:color="auto"/>
        <w:right w:val="none" w:sz="0" w:space="0" w:color="auto"/>
      </w:divBdr>
    </w:div>
    <w:div w:id="1568540029">
      <w:bodyDiv w:val="1"/>
      <w:marLeft w:val="0"/>
      <w:marRight w:val="0"/>
      <w:marTop w:val="0"/>
      <w:marBottom w:val="0"/>
      <w:divBdr>
        <w:top w:val="none" w:sz="0" w:space="0" w:color="auto"/>
        <w:left w:val="none" w:sz="0" w:space="0" w:color="auto"/>
        <w:bottom w:val="none" w:sz="0" w:space="0" w:color="auto"/>
        <w:right w:val="none" w:sz="0" w:space="0" w:color="auto"/>
      </w:divBdr>
    </w:div>
    <w:div w:id="1569999557">
      <w:bodyDiv w:val="1"/>
      <w:marLeft w:val="0"/>
      <w:marRight w:val="0"/>
      <w:marTop w:val="0"/>
      <w:marBottom w:val="0"/>
      <w:divBdr>
        <w:top w:val="none" w:sz="0" w:space="0" w:color="auto"/>
        <w:left w:val="none" w:sz="0" w:space="0" w:color="auto"/>
        <w:bottom w:val="none" w:sz="0" w:space="0" w:color="auto"/>
        <w:right w:val="none" w:sz="0" w:space="0" w:color="auto"/>
      </w:divBdr>
    </w:div>
    <w:div w:id="1572154020">
      <w:bodyDiv w:val="1"/>
      <w:marLeft w:val="0"/>
      <w:marRight w:val="0"/>
      <w:marTop w:val="0"/>
      <w:marBottom w:val="0"/>
      <w:divBdr>
        <w:top w:val="none" w:sz="0" w:space="0" w:color="auto"/>
        <w:left w:val="none" w:sz="0" w:space="0" w:color="auto"/>
        <w:bottom w:val="none" w:sz="0" w:space="0" w:color="auto"/>
        <w:right w:val="none" w:sz="0" w:space="0" w:color="auto"/>
      </w:divBdr>
    </w:div>
    <w:div w:id="1573856534">
      <w:bodyDiv w:val="1"/>
      <w:marLeft w:val="0"/>
      <w:marRight w:val="0"/>
      <w:marTop w:val="0"/>
      <w:marBottom w:val="0"/>
      <w:divBdr>
        <w:top w:val="none" w:sz="0" w:space="0" w:color="auto"/>
        <w:left w:val="none" w:sz="0" w:space="0" w:color="auto"/>
        <w:bottom w:val="none" w:sz="0" w:space="0" w:color="auto"/>
        <w:right w:val="none" w:sz="0" w:space="0" w:color="auto"/>
      </w:divBdr>
    </w:div>
    <w:div w:id="1574386148">
      <w:bodyDiv w:val="1"/>
      <w:marLeft w:val="0"/>
      <w:marRight w:val="0"/>
      <w:marTop w:val="0"/>
      <w:marBottom w:val="0"/>
      <w:divBdr>
        <w:top w:val="none" w:sz="0" w:space="0" w:color="auto"/>
        <w:left w:val="none" w:sz="0" w:space="0" w:color="auto"/>
        <w:bottom w:val="none" w:sz="0" w:space="0" w:color="auto"/>
        <w:right w:val="none" w:sz="0" w:space="0" w:color="auto"/>
      </w:divBdr>
    </w:div>
    <w:div w:id="1574730034">
      <w:bodyDiv w:val="1"/>
      <w:marLeft w:val="0"/>
      <w:marRight w:val="0"/>
      <w:marTop w:val="0"/>
      <w:marBottom w:val="0"/>
      <w:divBdr>
        <w:top w:val="none" w:sz="0" w:space="0" w:color="auto"/>
        <w:left w:val="none" w:sz="0" w:space="0" w:color="auto"/>
        <w:bottom w:val="none" w:sz="0" w:space="0" w:color="auto"/>
        <w:right w:val="none" w:sz="0" w:space="0" w:color="auto"/>
      </w:divBdr>
    </w:div>
    <w:div w:id="1578713181">
      <w:bodyDiv w:val="1"/>
      <w:marLeft w:val="0"/>
      <w:marRight w:val="0"/>
      <w:marTop w:val="0"/>
      <w:marBottom w:val="0"/>
      <w:divBdr>
        <w:top w:val="none" w:sz="0" w:space="0" w:color="auto"/>
        <w:left w:val="none" w:sz="0" w:space="0" w:color="auto"/>
        <w:bottom w:val="none" w:sz="0" w:space="0" w:color="auto"/>
        <w:right w:val="none" w:sz="0" w:space="0" w:color="auto"/>
      </w:divBdr>
    </w:div>
    <w:div w:id="1580599799">
      <w:bodyDiv w:val="1"/>
      <w:marLeft w:val="0"/>
      <w:marRight w:val="0"/>
      <w:marTop w:val="0"/>
      <w:marBottom w:val="0"/>
      <w:divBdr>
        <w:top w:val="none" w:sz="0" w:space="0" w:color="auto"/>
        <w:left w:val="none" w:sz="0" w:space="0" w:color="auto"/>
        <w:bottom w:val="none" w:sz="0" w:space="0" w:color="auto"/>
        <w:right w:val="none" w:sz="0" w:space="0" w:color="auto"/>
      </w:divBdr>
    </w:div>
    <w:div w:id="1581862756">
      <w:bodyDiv w:val="1"/>
      <w:marLeft w:val="0"/>
      <w:marRight w:val="0"/>
      <w:marTop w:val="0"/>
      <w:marBottom w:val="0"/>
      <w:divBdr>
        <w:top w:val="none" w:sz="0" w:space="0" w:color="auto"/>
        <w:left w:val="none" w:sz="0" w:space="0" w:color="auto"/>
        <w:bottom w:val="none" w:sz="0" w:space="0" w:color="auto"/>
        <w:right w:val="none" w:sz="0" w:space="0" w:color="auto"/>
      </w:divBdr>
    </w:div>
    <w:div w:id="1589079740">
      <w:bodyDiv w:val="1"/>
      <w:marLeft w:val="0"/>
      <w:marRight w:val="0"/>
      <w:marTop w:val="0"/>
      <w:marBottom w:val="0"/>
      <w:divBdr>
        <w:top w:val="none" w:sz="0" w:space="0" w:color="auto"/>
        <w:left w:val="none" w:sz="0" w:space="0" w:color="auto"/>
        <w:bottom w:val="none" w:sz="0" w:space="0" w:color="auto"/>
        <w:right w:val="none" w:sz="0" w:space="0" w:color="auto"/>
      </w:divBdr>
    </w:div>
    <w:div w:id="1590506500">
      <w:bodyDiv w:val="1"/>
      <w:marLeft w:val="0"/>
      <w:marRight w:val="0"/>
      <w:marTop w:val="0"/>
      <w:marBottom w:val="0"/>
      <w:divBdr>
        <w:top w:val="none" w:sz="0" w:space="0" w:color="auto"/>
        <w:left w:val="none" w:sz="0" w:space="0" w:color="auto"/>
        <w:bottom w:val="none" w:sz="0" w:space="0" w:color="auto"/>
        <w:right w:val="none" w:sz="0" w:space="0" w:color="auto"/>
      </w:divBdr>
    </w:div>
    <w:div w:id="1617637651">
      <w:bodyDiv w:val="1"/>
      <w:marLeft w:val="0"/>
      <w:marRight w:val="0"/>
      <w:marTop w:val="0"/>
      <w:marBottom w:val="0"/>
      <w:divBdr>
        <w:top w:val="none" w:sz="0" w:space="0" w:color="auto"/>
        <w:left w:val="none" w:sz="0" w:space="0" w:color="auto"/>
        <w:bottom w:val="none" w:sz="0" w:space="0" w:color="auto"/>
        <w:right w:val="none" w:sz="0" w:space="0" w:color="auto"/>
      </w:divBdr>
    </w:div>
    <w:div w:id="1618174149">
      <w:bodyDiv w:val="1"/>
      <w:marLeft w:val="0"/>
      <w:marRight w:val="0"/>
      <w:marTop w:val="0"/>
      <w:marBottom w:val="0"/>
      <w:divBdr>
        <w:top w:val="none" w:sz="0" w:space="0" w:color="auto"/>
        <w:left w:val="none" w:sz="0" w:space="0" w:color="auto"/>
        <w:bottom w:val="none" w:sz="0" w:space="0" w:color="auto"/>
        <w:right w:val="none" w:sz="0" w:space="0" w:color="auto"/>
      </w:divBdr>
    </w:div>
    <w:div w:id="1620181077">
      <w:bodyDiv w:val="1"/>
      <w:marLeft w:val="0"/>
      <w:marRight w:val="0"/>
      <w:marTop w:val="0"/>
      <w:marBottom w:val="0"/>
      <w:divBdr>
        <w:top w:val="none" w:sz="0" w:space="0" w:color="auto"/>
        <w:left w:val="none" w:sz="0" w:space="0" w:color="auto"/>
        <w:bottom w:val="none" w:sz="0" w:space="0" w:color="auto"/>
        <w:right w:val="none" w:sz="0" w:space="0" w:color="auto"/>
      </w:divBdr>
    </w:div>
    <w:div w:id="1622110643">
      <w:bodyDiv w:val="1"/>
      <w:marLeft w:val="0"/>
      <w:marRight w:val="0"/>
      <w:marTop w:val="0"/>
      <w:marBottom w:val="0"/>
      <w:divBdr>
        <w:top w:val="none" w:sz="0" w:space="0" w:color="auto"/>
        <w:left w:val="none" w:sz="0" w:space="0" w:color="auto"/>
        <w:bottom w:val="none" w:sz="0" w:space="0" w:color="auto"/>
        <w:right w:val="none" w:sz="0" w:space="0" w:color="auto"/>
      </w:divBdr>
    </w:div>
    <w:div w:id="1623806929">
      <w:bodyDiv w:val="1"/>
      <w:marLeft w:val="0"/>
      <w:marRight w:val="0"/>
      <w:marTop w:val="0"/>
      <w:marBottom w:val="0"/>
      <w:divBdr>
        <w:top w:val="none" w:sz="0" w:space="0" w:color="auto"/>
        <w:left w:val="none" w:sz="0" w:space="0" w:color="auto"/>
        <w:bottom w:val="none" w:sz="0" w:space="0" w:color="auto"/>
        <w:right w:val="none" w:sz="0" w:space="0" w:color="auto"/>
      </w:divBdr>
    </w:div>
    <w:div w:id="1624313505">
      <w:bodyDiv w:val="1"/>
      <w:marLeft w:val="0"/>
      <w:marRight w:val="0"/>
      <w:marTop w:val="0"/>
      <w:marBottom w:val="0"/>
      <w:divBdr>
        <w:top w:val="none" w:sz="0" w:space="0" w:color="auto"/>
        <w:left w:val="none" w:sz="0" w:space="0" w:color="auto"/>
        <w:bottom w:val="none" w:sz="0" w:space="0" w:color="auto"/>
        <w:right w:val="none" w:sz="0" w:space="0" w:color="auto"/>
      </w:divBdr>
    </w:div>
    <w:div w:id="1626811768">
      <w:bodyDiv w:val="1"/>
      <w:marLeft w:val="0"/>
      <w:marRight w:val="0"/>
      <w:marTop w:val="0"/>
      <w:marBottom w:val="0"/>
      <w:divBdr>
        <w:top w:val="none" w:sz="0" w:space="0" w:color="auto"/>
        <w:left w:val="none" w:sz="0" w:space="0" w:color="auto"/>
        <w:bottom w:val="none" w:sz="0" w:space="0" w:color="auto"/>
        <w:right w:val="none" w:sz="0" w:space="0" w:color="auto"/>
      </w:divBdr>
    </w:div>
    <w:div w:id="1630896041">
      <w:bodyDiv w:val="1"/>
      <w:marLeft w:val="0"/>
      <w:marRight w:val="0"/>
      <w:marTop w:val="0"/>
      <w:marBottom w:val="0"/>
      <w:divBdr>
        <w:top w:val="none" w:sz="0" w:space="0" w:color="auto"/>
        <w:left w:val="none" w:sz="0" w:space="0" w:color="auto"/>
        <w:bottom w:val="none" w:sz="0" w:space="0" w:color="auto"/>
        <w:right w:val="none" w:sz="0" w:space="0" w:color="auto"/>
      </w:divBdr>
    </w:div>
    <w:div w:id="1632175067">
      <w:bodyDiv w:val="1"/>
      <w:marLeft w:val="0"/>
      <w:marRight w:val="0"/>
      <w:marTop w:val="0"/>
      <w:marBottom w:val="0"/>
      <w:divBdr>
        <w:top w:val="none" w:sz="0" w:space="0" w:color="auto"/>
        <w:left w:val="none" w:sz="0" w:space="0" w:color="auto"/>
        <w:bottom w:val="none" w:sz="0" w:space="0" w:color="auto"/>
        <w:right w:val="none" w:sz="0" w:space="0" w:color="auto"/>
      </w:divBdr>
    </w:div>
    <w:div w:id="1632632888">
      <w:bodyDiv w:val="1"/>
      <w:marLeft w:val="0"/>
      <w:marRight w:val="0"/>
      <w:marTop w:val="0"/>
      <w:marBottom w:val="0"/>
      <w:divBdr>
        <w:top w:val="none" w:sz="0" w:space="0" w:color="auto"/>
        <w:left w:val="none" w:sz="0" w:space="0" w:color="auto"/>
        <w:bottom w:val="none" w:sz="0" w:space="0" w:color="auto"/>
        <w:right w:val="none" w:sz="0" w:space="0" w:color="auto"/>
      </w:divBdr>
    </w:div>
    <w:div w:id="1635670285">
      <w:bodyDiv w:val="1"/>
      <w:marLeft w:val="0"/>
      <w:marRight w:val="0"/>
      <w:marTop w:val="0"/>
      <w:marBottom w:val="0"/>
      <w:divBdr>
        <w:top w:val="none" w:sz="0" w:space="0" w:color="auto"/>
        <w:left w:val="none" w:sz="0" w:space="0" w:color="auto"/>
        <w:bottom w:val="none" w:sz="0" w:space="0" w:color="auto"/>
        <w:right w:val="none" w:sz="0" w:space="0" w:color="auto"/>
      </w:divBdr>
    </w:div>
    <w:div w:id="1635676985">
      <w:bodyDiv w:val="1"/>
      <w:marLeft w:val="0"/>
      <w:marRight w:val="0"/>
      <w:marTop w:val="0"/>
      <w:marBottom w:val="0"/>
      <w:divBdr>
        <w:top w:val="none" w:sz="0" w:space="0" w:color="auto"/>
        <w:left w:val="none" w:sz="0" w:space="0" w:color="auto"/>
        <w:bottom w:val="none" w:sz="0" w:space="0" w:color="auto"/>
        <w:right w:val="none" w:sz="0" w:space="0" w:color="auto"/>
      </w:divBdr>
    </w:div>
    <w:div w:id="1636446592">
      <w:bodyDiv w:val="1"/>
      <w:marLeft w:val="0"/>
      <w:marRight w:val="0"/>
      <w:marTop w:val="0"/>
      <w:marBottom w:val="0"/>
      <w:divBdr>
        <w:top w:val="none" w:sz="0" w:space="0" w:color="auto"/>
        <w:left w:val="none" w:sz="0" w:space="0" w:color="auto"/>
        <w:bottom w:val="none" w:sz="0" w:space="0" w:color="auto"/>
        <w:right w:val="none" w:sz="0" w:space="0" w:color="auto"/>
      </w:divBdr>
    </w:div>
    <w:div w:id="1638604123">
      <w:bodyDiv w:val="1"/>
      <w:marLeft w:val="0"/>
      <w:marRight w:val="0"/>
      <w:marTop w:val="0"/>
      <w:marBottom w:val="0"/>
      <w:divBdr>
        <w:top w:val="none" w:sz="0" w:space="0" w:color="auto"/>
        <w:left w:val="none" w:sz="0" w:space="0" w:color="auto"/>
        <w:bottom w:val="none" w:sz="0" w:space="0" w:color="auto"/>
        <w:right w:val="none" w:sz="0" w:space="0" w:color="auto"/>
      </w:divBdr>
    </w:div>
    <w:div w:id="1639647146">
      <w:bodyDiv w:val="1"/>
      <w:marLeft w:val="0"/>
      <w:marRight w:val="0"/>
      <w:marTop w:val="0"/>
      <w:marBottom w:val="0"/>
      <w:divBdr>
        <w:top w:val="none" w:sz="0" w:space="0" w:color="auto"/>
        <w:left w:val="none" w:sz="0" w:space="0" w:color="auto"/>
        <w:bottom w:val="none" w:sz="0" w:space="0" w:color="auto"/>
        <w:right w:val="none" w:sz="0" w:space="0" w:color="auto"/>
      </w:divBdr>
    </w:div>
    <w:div w:id="1649091933">
      <w:bodyDiv w:val="1"/>
      <w:marLeft w:val="0"/>
      <w:marRight w:val="0"/>
      <w:marTop w:val="0"/>
      <w:marBottom w:val="0"/>
      <w:divBdr>
        <w:top w:val="none" w:sz="0" w:space="0" w:color="auto"/>
        <w:left w:val="none" w:sz="0" w:space="0" w:color="auto"/>
        <w:bottom w:val="none" w:sz="0" w:space="0" w:color="auto"/>
        <w:right w:val="none" w:sz="0" w:space="0" w:color="auto"/>
      </w:divBdr>
    </w:div>
    <w:div w:id="1651638296">
      <w:bodyDiv w:val="1"/>
      <w:marLeft w:val="0"/>
      <w:marRight w:val="0"/>
      <w:marTop w:val="0"/>
      <w:marBottom w:val="0"/>
      <w:divBdr>
        <w:top w:val="none" w:sz="0" w:space="0" w:color="auto"/>
        <w:left w:val="none" w:sz="0" w:space="0" w:color="auto"/>
        <w:bottom w:val="none" w:sz="0" w:space="0" w:color="auto"/>
        <w:right w:val="none" w:sz="0" w:space="0" w:color="auto"/>
      </w:divBdr>
    </w:div>
    <w:div w:id="1654287918">
      <w:bodyDiv w:val="1"/>
      <w:marLeft w:val="0"/>
      <w:marRight w:val="0"/>
      <w:marTop w:val="0"/>
      <w:marBottom w:val="0"/>
      <w:divBdr>
        <w:top w:val="none" w:sz="0" w:space="0" w:color="auto"/>
        <w:left w:val="none" w:sz="0" w:space="0" w:color="auto"/>
        <w:bottom w:val="none" w:sz="0" w:space="0" w:color="auto"/>
        <w:right w:val="none" w:sz="0" w:space="0" w:color="auto"/>
      </w:divBdr>
    </w:div>
    <w:div w:id="1655140226">
      <w:bodyDiv w:val="1"/>
      <w:marLeft w:val="0"/>
      <w:marRight w:val="0"/>
      <w:marTop w:val="0"/>
      <w:marBottom w:val="0"/>
      <w:divBdr>
        <w:top w:val="none" w:sz="0" w:space="0" w:color="auto"/>
        <w:left w:val="none" w:sz="0" w:space="0" w:color="auto"/>
        <w:bottom w:val="none" w:sz="0" w:space="0" w:color="auto"/>
        <w:right w:val="none" w:sz="0" w:space="0" w:color="auto"/>
      </w:divBdr>
    </w:div>
    <w:div w:id="1655335398">
      <w:bodyDiv w:val="1"/>
      <w:marLeft w:val="0"/>
      <w:marRight w:val="0"/>
      <w:marTop w:val="0"/>
      <w:marBottom w:val="0"/>
      <w:divBdr>
        <w:top w:val="none" w:sz="0" w:space="0" w:color="auto"/>
        <w:left w:val="none" w:sz="0" w:space="0" w:color="auto"/>
        <w:bottom w:val="none" w:sz="0" w:space="0" w:color="auto"/>
        <w:right w:val="none" w:sz="0" w:space="0" w:color="auto"/>
      </w:divBdr>
    </w:div>
    <w:div w:id="1657958358">
      <w:bodyDiv w:val="1"/>
      <w:marLeft w:val="0"/>
      <w:marRight w:val="0"/>
      <w:marTop w:val="0"/>
      <w:marBottom w:val="0"/>
      <w:divBdr>
        <w:top w:val="none" w:sz="0" w:space="0" w:color="auto"/>
        <w:left w:val="none" w:sz="0" w:space="0" w:color="auto"/>
        <w:bottom w:val="none" w:sz="0" w:space="0" w:color="auto"/>
        <w:right w:val="none" w:sz="0" w:space="0" w:color="auto"/>
      </w:divBdr>
    </w:div>
    <w:div w:id="1660233072">
      <w:bodyDiv w:val="1"/>
      <w:marLeft w:val="0"/>
      <w:marRight w:val="0"/>
      <w:marTop w:val="0"/>
      <w:marBottom w:val="0"/>
      <w:divBdr>
        <w:top w:val="none" w:sz="0" w:space="0" w:color="auto"/>
        <w:left w:val="none" w:sz="0" w:space="0" w:color="auto"/>
        <w:bottom w:val="none" w:sz="0" w:space="0" w:color="auto"/>
        <w:right w:val="none" w:sz="0" w:space="0" w:color="auto"/>
      </w:divBdr>
    </w:div>
    <w:div w:id="1660574641">
      <w:bodyDiv w:val="1"/>
      <w:marLeft w:val="0"/>
      <w:marRight w:val="0"/>
      <w:marTop w:val="0"/>
      <w:marBottom w:val="0"/>
      <w:divBdr>
        <w:top w:val="none" w:sz="0" w:space="0" w:color="auto"/>
        <w:left w:val="none" w:sz="0" w:space="0" w:color="auto"/>
        <w:bottom w:val="none" w:sz="0" w:space="0" w:color="auto"/>
        <w:right w:val="none" w:sz="0" w:space="0" w:color="auto"/>
      </w:divBdr>
    </w:div>
    <w:div w:id="1663000268">
      <w:bodyDiv w:val="1"/>
      <w:marLeft w:val="0"/>
      <w:marRight w:val="0"/>
      <w:marTop w:val="0"/>
      <w:marBottom w:val="0"/>
      <w:divBdr>
        <w:top w:val="none" w:sz="0" w:space="0" w:color="auto"/>
        <w:left w:val="none" w:sz="0" w:space="0" w:color="auto"/>
        <w:bottom w:val="none" w:sz="0" w:space="0" w:color="auto"/>
        <w:right w:val="none" w:sz="0" w:space="0" w:color="auto"/>
      </w:divBdr>
    </w:div>
    <w:div w:id="1663509147">
      <w:bodyDiv w:val="1"/>
      <w:marLeft w:val="0"/>
      <w:marRight w:val="0"/>
      <w:marTop w:val="0"/>
      <w:marBottom w:val="0"/>
      <w:divBdr>
        <w:top w:val="none" w:sz="0" w:space="0" w:color="auto"/>
        <w:left w:val="none" w:sz="0" w:space="0" w:color="auto"/>
        <w:bottom w:val="none" w:sz="0" w:space="0" w:color="auto"/>
        <w:right w:val="none" w:sz="0" w:space="0" w:color="auto"/>
      </w:divBdr>
    </w:div>
    <w:div w:id="1665204968">
      <w:bodyDiv w:val="1"/>
      <w:marLeft w:val="0"/>
      <w:marRight w:val="0"/>
      <w:marTop w:val="0"/>
      <w:marBottom w:val="0"/>
      <w:divBdr>
        <w:top w:val="none" w:sz="0" w:space="0" w:color="auto"/>
        <w:left w:val="none" w:sz="0" w:space="0" w:color="auto"/>
        <w:bottom w:val="none" w:sz="0" w:space="0" w:color="auto"/>
        <w:right w:val="none" w:sz="0" w:space="0" w:color="auto"/>
      </w:divBdr>
    </w:div>
    <w:div w:id="1670669135">
      <w:bodyDiv w:val="1"/>
      <w:marLeft w:val="0"/>
      <w:marRight w:val="0"/>
      <w:marTop w:val="0"/>
      <w:marBottom w:val="0"/>
      <w:divBdr>
        <w:top w:val="none" w:sz="0" w:space="0" w:color="auto"/>
        <w:left w:val="none" w:sz="0" w:space="0" w:color="auto"/>
        <w:bottom w:val="none" w:sz="0" w:space="0" w:color="auto"/>
        <w:right w:val="none" w:sz="0" w:space="0" w:color="auto"/>
      </w:divBdr>
    </w:div>
    <w:div w:id="1673609187">
      <w:bodyDiv w:val="1"/>
      <w:marLeft w:val="0"/>
      <w:marRight w:val="0"/>
      <w:marTop w:val="0"/>
      <w:marBottom w:val="0"/>
      <w:divBdr>
        <w:top w:val="none" w:sz="0" w:space="0" w:color="auto"/>
        <w:left w:val="none" w:sz="0" w:space="0" w:color="auto"/>
        <w:bottom w:val="none" w:sz="0" w:space="0" w:color="auto"/>
        <w:right w:val="none" w:sz="0" w:space="0" w:color="auto"/>
      </w:divBdr>
    </w:div>
    <w:div w:id="1683435770">
      <w:bodyDiv w:val="1"/>
      <w:marLeft w:val="0"/>
      <w:marRight w:val="0"/>
      <w:marTop w:val="0"/>
      <w:marBottom w:val="0"/>
      <w:divBdr>
        <w:top w:val="none" w:sz="0" w:space="0" w:color="auto"/>
        <w:left w:val="none" w:sz="0" w:space="0" w:color="auto"/>
        <w:bottom w:val="none" w:sz="0" w:space="0" w:color="auto"/>
        <w:right w:val="none" w:sz="0" w:space="0" w:color="auto"/>
      </w:divBdr>
    </w:div>
    <w:div w:id="1685861300">
      <w:bodyDiv w:val="1"/>
      <w:marLeft w:val="0"/>
      <w:marRight w:val="0"/>
      <w:marTop w:val="0"/>
      <w:marBottom w:val="0"/>
      <w:divBdr>
        <w:top w:val="none" w:sz="0" w:space="0" w:color="auto"/>
        <w:left w:val="none" w:sz="0" w:space="0" w:color="auto"/>
        <w:bottom w:val="none" w:sz="0" w:space="0" w:color="auto"/>
        <w:right w:val="none" w:sz="0" w:space="0" w:color="auto"/>
      </w:divBdr>
    </w:div>
    <w:div w:id="1688142288">
      <w:bodyDiv w:val="1"/>
      <w:marLeft w:val="0"/>
      <w:marRight w:val="0"/>
      <w:marTop w:val="0"/>
      <w:marBottom w:val="0"/>
      <w:divBdr>
        <w:top w:val="none" w:sz="0" w:space="0" w:color="auto"/>
        <w:left w:val="none" w:sz="0" w:space="0" w:color="auto"/>
        <w:bottom w:val="none" w:sz="0" w:space="0" w:color="auto"/>
        <w:right w:val="none" w:sz="0" w:space="0" w:color="auto"/>
      </w:divBdr>
    </w:div>
    <w:div w:id="1693917729">
      <w:bodyDiv w:val="1"/>
      <w:marLeft w:val="0"/>
      <w:marRight w:val="0"/>
      <w:marTop w:val="0"/>
      <w:marBottom w:val="0"/>
      <w:divBdr>
        <w:top w:val="none" w:sz="0" w:space="0" w:color="auto"/>
        <w:left w:val="none" w:sz="0" w:space="0" w:color="auto"/>
        <w:bottom w:val="none" w:sz="0" w:space="0" w:color="auto"/>
        <w:right w:val="none" w:sz="0" w:space="0" w:color="auto"/>
      </w:divBdr>
    </w:div>
    <w:div w:id="1696735541">
      <w:bodyDiv w:val="1"/>
      <w:marLeft w:val="0"/>
      <w:marRight w:val="0"/>
      <w:marTop w:val="0"/>
      <w:marBottom w:val="0"/>
      <w:divBdr>
        <w:top w:val="none" w:sz="0" w:space="0" w:color="auto"/>
        <w:left w:val="none" w:sz="0" w:space="0" w:color="auto"/>
        <w:bottom w:val="none" w:sz="0" w:space="0" w:color="auto"/>
        <w:right w:val="none" w:sz="0" w:space="0" w:color="auto"/>
      </w:divBdr>
    </w:div>
    <w:div w:id="1702197845">
      <w:bodyDiv w:val="1"/>
      <w:marLeft w:val="0"/>
      <w:marRight w:val="0"/>
      <w:marTop w:val="0"/>
      <w:marBottom w:val="0"/>
      <w:divBdr>
        <w:top w:val="none" w:sz="0" w:space="0" w:color="auto"/>
        <w:left w:val="none" w:sz="0" w:space="0" w:color="auto"/>
        <w:bottom w:val="none" w:sz="0" w:space="0" w:color="auto"/>
        <w:right w:val="none" w:sz="0" w:space="0" w:color="auto"/>
      </w:divBdr>
    </w:div>
    <w:div w:id="1703555768">
      <w:bodyDiv w:val="1"/>
      <w:marLeft w:val="0"/>
      <w:marRight w:val="0"/>
      <w:marTop w:val="0"/>
      <w:marBottom w:val="0"/>
      <w:divBdr>
        <w:top w:val="none" w:sz="0" w:space="0" w:color="auto"/>
        <w:left w:val="none" w:sz="0" w:space="0" w:color="auto"/>
        <w:bottom w:val="none" w:sz="0" w:space="0" w:color="auto"/>
        <w:right w:val="none" w:sz="0" w:space="0" w:color="auto"/>
      </w:divBdr>
    </w:div>
    <w:div w:id="1704482228">
      <w:bodyDiv w:val="1"/>
      <w:marLeft w:val="0"/>
      <w:marRight w:val="0"/>
      <w:marTop w:val="0"/>
      <w:marBottom w:val="0"/>
      <w:divBdr>
        <w:top w:val="none" w:sz="0" w:space="0" w:color="auto"/>
        <w:left w:val="none" w:sz="0" w:space="0" w:color="auto"/>
        <w:bottom w:val="none" w:sz="0" w:space="0" w:color="auto"/>
        <w:right w:val="none" w:sz="0" w:space="0" w:color="auto"/>
      </w:divBdr>
    </w:div>
    <w:div w:id="1706559315">
      <w:bodyDiv w:val="1"/>
      <w:marLeft w:val="0"/>
      <w:marRight w:val="0"/>
      <w:marTop w:val="0"/>
      <w:marBottom w:val="0"/>
      <w:divBdr>
        <w:top w:val="none" w:sz="0" w:space="0" w:color="auto"/>
        <w:left w:val="none" w:sz="0" w:space="0" w:color="auto"/>
        <w:bottom w:val="none" w:sz="0" w:space="0" w:color="auto"/>
        <w:right w:val="none" w:sz="0" w:space="0" w:color="auto"/>
      </w:divBdr>
    </w:div>
    <w:div w:id="1708678048">
      <w:bodyDiv w:val="1"/>
      <w:marLeft w:val="0"/>
      <w:marRight w:val="0"/>
      <w:marTop w:val="0"/>
      <w:marBottom w:val="0"/>
      <w:divBdr>
        <w:top w:val="none" w:sz="0" w:space="0" w:color="auto"/>
        <w:left w:val="none" w:sz="0" w:space="0" w:color="auto"/>
        <w:bottom w:val="none" w:sz="0" w:space="0" w:color="auto"/>
        <w:right w:val="none" w:sz="0" w:space="0" w:color="auto"/>
      </w:divBdr>
    </w:div>
    <w:div w:id="1709253633">
      <w:bodyDiv w:val="1"/>
      <w:marLeft w:val="0"/>
      <w:marRight w:val="0"/>
      <w:marTop w:val="0"/>
      <w:marBottom w:val="0"/>
      <w:divBdr>
        <w:top w:val="none" w:sz="0" w:space="0" w:color="auto"/>
        <w:left w:val="none" w:sz="0" w:space="0" w:color="auto"/>
        <w:bottom w:val="none" w:sz="0" w:space="0" w:color="auto"/>
        <w:right w:val="none" w:sz="0" w:space="0" w:color="auto"/>
      </w:divBdr>
    </w:div>
    <w:div w:id="1714036323">
      <w:bodyDiv w:val="1"/>
      <w:marLeft w:val="0"/>
      <w:marRight w:val="0"/>
      <w:marTop w:val="0"/>
      <w:marBottom w:val="0"/>
      <w:divBdr>
        <w:top w:val="none" w:sz="0" w:space="0" w:color="auto"/>
        <w:left w:val="none" w:sz="0" w:space="0" w:color="auto"/>
        <w:bottom w:val="none" w:sz="0" w:space="0" w:color="auto"/>
        <w:right w:val="none" w:sz="0" w:space="0" w:color="auto"/>
      </w:divBdr>
    </w:div>
    <w:div w:id="1716273657">
      <w:bodyDiv w:val="1"/>
      <w:marLeft w:val="0"/>
      <w:marRight w:val="0"/>
      <w:marTop w:val="0"/>
      <w:marBottom w:val="0"/>
      <w:divBdr>
        <w:top w:val="none" w:sz="0" w:space="0" w:color="auto"/>
        <w:left w:val="none" w:sz="0" w:space="0" w:color="auto"/>
        <w:bottom w:val="none" w:sz="0" w:space="0" w:color="auto"/>
        <w:right w:val="none" w:sz="0" w:space="0" w:color="auto"/>
      </w:divBdr>
    </w:div>
    <w:div w:id="1719357351">
      <w:bodyDiv w:val="1"/>
      <w:marLeft w:val="0"/>
      <w:marRight w:val="0"/>
      <w:marTop w:val="0"/>
      <w:marBottom w:val="0"/>
      <w:divBdr>
        <w:top w:val="none" w:sz="0" w:space="0" w:color="auto"/>
        <w:left w:val="none" w:sz="0" w:space="0" w:color="auto"/>
        <w:bottom w:val="none" w:sz="0" w:space="0" w:color="auto"/>
        <w:right w:val="none" w:sz="0" w:space="0" w:color="auto"/>
      </w:divBdr>
    </w:div>
    <w:div w:id="1724790557">
      <w:bodyDiv w:val="1"/>
      <w:marLeft w:val="0"/>
      <w:marRight w:val="0"/>
      <w:marTop w:val="0"/>
      <w:marBottom w:val="0"/>
      <w:divBdr>
        <w:top w:val="none" w:sz="0" w:space="0" w:color="auto"/>
        <w:left w:val="none" w:sz="0" w:space="0" w:color="auto"/>
        <w:bottom w:val="none" w:sz="0" w:space="0" w:color="auto"/>
        <w:right w:val="none" w:sz="0" w:space="0" w:color="auto"/>
      </w:divBdr>
    </w:div>
    <w:div w:id="1727679702">
      <w:bodyDiv w:val="1"/>
      <w:marLeft w:val="0"/>
      <w:marRight w:val="0"/>
      <w:marTop w:val="0"/>
      <w:marBottom w:val="0"/>
      <w:divBdr>
        <w:top w:val="none" w:sz="0" w:space="0" w:color="auto"/>
        <w:left w:val="none" w:sz="0" w:space="0" w:color="auto"/>
        <w:bottom w:val="none" w:sz="0" w:space="0" w:color="auto"/>
        <w:right w:val="none" w:sz="0" w:space="0" w:color="auto"/>
      </w:divBdr>
    </w:div>
    <w:div w:id="1728407438">
      <w:bodyDiv w:val="1"/>
      <w:marLeft w:val="0"/>
      <w:marRight w:val="0"/>
      <w:marTop w:val="0"/>
      <w:marBottom w:val="0"/>
      <w:divBdr>
        <w:top w:val="none" w:sz="0" w:space="0" w:color="auto"/>
        <w:left w:val="none" w:sz="0" w:space="0" w:color="auto"/>
        <w:bottom w:val="none" w:sz="0" w:space="0" w:color="auto"/>
        <w:right w:val="none" w:sz="0" w:space="0" w:color="auto"/>
      </w:divBdr>
    </w:div>
    <w:div w:id="1733581018">
      <w:bodyDiv w:val="1"/>
      <w:marLeft w:val="0"/>
      <w:marRight w:val="0"/>
      <w:marTop w:val="0"/>
      <w:marBottom w:val="0"/>
      <w:divBdr>
        <w:top w:val="none" w:sz="0" w:space="0" w:color="auto"/>
        <w:left w:val="none" w:sz="0" w:space="0" w:color="auto"/>
        <w:bottom w:val="none" w:sz="0" w:space="0" w:color="auto"/>
        <w:right w:val="none" w:sz="0" w:space="0" w:color="auto"/>
      </w:divBdr>
    </w:div>
    <w:div w:id="1737705344">
      <w:bodyDiv w:val="1"/>
      <w:marLeft w:val="0"/>
      <w:marRight w:val="0"/>
      <w:marTop w:val="0"/>
      <w:marBottom w:val="0"/>
      <w:divBdr>
        <w:top w:val="none" w:sz="0" w:space="0" w:color="auto"/>
        <w:left w:val="none" w:sz="0" w:space="0" w:color="auto"/>
        <w:bottom w:val="none" w:sz="0" w:space="0" w:color="auto"/>
        <w:right w:val="none" w:sz="0" w:space="0" w:color="auto"/>
      </w:divBdr>
    </w:div>
    <w:div w:id="1738017785">
      <w:bodyDiv w:val="1"/>
      <w:marLeft w:val="0"/>
      <w:marRight w:val="0"/>
      <w:marTop w:val="0"/>
      <w:marBottom w:val="0"/>
      <w:divBdr>
        <w:top w:val="none" w:sz="0" w:space="0" w:color="auto"/>
        <w:left w:val="none" w:sz="0" w:space="0" w:color="auto"/>
        <w:bottom w:val="none" w:sz="0" w:space="0" w:color="auto"/>
        <w:right w:val="none" w:sz="0" w:space="0" w:color="auto"/>
      </w:divBdr>
    </w:div>
    <w:div w:id="1738043863">
      <w:bodyDiv w:val="1"/>
      <w:marLeft w:val="0"/>
      <w:marRight w:val="0"/>
      <w:marTop w:val="0"/>
      <w:marBottom w:val="0"/>
      <w:divBdr>
        <w:top w:val="none" w:sz="0" w:space="0" w:color="auto"/>
        <w:left w:val="none" w:sz="0" w:space="0" w:color="auto"/>
        <w:bottom w:val="none" w:sz="0" w:space="0" w:color="auto"/>
        <w:right w:val="none" w:sz="0" w:space="0" w:color="auto"/>
      </w:divBdr>
    </w:div>
    <w:div w:id="1738432233">
      <w:bodyDiv w:val="1"/>
      <w:marLeft w:val="0"/>
      <w:marRight w:val="0"/>
      <w:marTop w:val="0"/>
      <w:marBottom w:val="0"/>
      <w:divBdr>
        <w:top w:val="none" w:sz="0" w:space="0" w:color="auto"/>
        <w:left w:val="none" w:sz="0" w:space="0" w:color="auto"/>
        <w:bottom w:val="none" w:sz="0" w:space="0" w:color="auto"/>
        <w:right w:val="none" w:sz="0" w:space="0" w:color="auto"/>
      </w:divBdr>
    </w:div>
    <w:div w:id="1740208187">
      <w:bodyDiv w:val="1"/>
      <w:marLeft w:val="0"/>
      <w:marRight w:val="0"/>
      <w:marTop w:val="0"/>
      <w:marBottom w:val="0"/>
      <w:divBdr>
        <w:top w:val="none" w:sz="0" w:space="0" w:color="auto"/>
        <w:left w:val="none" w:sz="0" w:space="0" w:color="auto"/>
        <w:bottom w:val="none" w:sz="0" w:space="0" w:color="auto"/>
        <w:right w:val="none" w:sz="0" w:space="0" w:color="auto"/>
      </w:divBdr>
    </w:div>
    <w:div w:id="1741948614">
      <w:bodyDiv w:val="1"/>
      <w:marLeft w:val="0"/>
      <w:marRight w:val="0"/>
      <w:marTop w:val="0"/>
      <w:marBottom w:val="0"/>
      <w:divBdr>
        <w:top w:val="none" w:sz="0" w:space="0" w:color="auto"/>
        <w:left w:val="none" w:sz="0" w:space="0" w:color="auto"/>
        <w:bottom w:val="none" w:sz="0" w:space="0" w:color="auto"/>
        <w:right w:val="none" w:sz="0" w:space="0" w:color="auto"/>
      </w:divBdr>
    </w:div>
    <w:div w:id="1742482167">
      <w:bodyDiv w:val="1"/>
      <w:marLeft w:val="0"/>
      <w:marRight w:val="0"/>
      <w:marTop w:val="0"/>
      <w:marBottom w:val="0"/>
      <w:divBdr>
        <w:top w:val="none" w:sz="0" w:space="0" w:color="auto"/>
        <w:left w:val="none" w:sz="0" w:space="0" w:color="auto"/>
        <w:bottom w:val="none" w:sz="0" w:space="0" w:color="auto"/>
        <w:right w:val="none" w:sz="0" w:space="0" w:color="auto"/>
      </w:divBdr>
    </w:div>
    <w:div w:id="1743722742">
      <w:bodyDiv w:val="1"/>
      <w:marLeft w:val="0"/>
      <w:marRight w:val="0"/>
      <w:marTop w:val="0"/>
      <w:marBottom w:val="0"/>
      <w:divBdr>
        <w:top w:val="none" w:sz="0" w:space="0" w:color="auto"/>
        <w:left w:val="none" w:sz="0" w:space="0" w:color="auto"/>
        <w:bottom w:val="none" w:sz="0" w:space="0" w:color="auto"/>
        <w:right w:val="none" w:sz="0" w:space="0" w:color="auto"/>
      </w:divBdr>
    </w:div>
    <w:div w:id="1745109037">
      <w:bodyDiv w:val="1"/>
      <w:marLeft w:val="0"/>
      <w:marRight w:val="0"/>
      <w:marTop w:val="0"/>
      <w:marBottom w:val="0"/>
      <w:divBdr>
        <w:top w:val="none" w:sz="0" w:space="0" w:color="auto"/>
        <w:left w:val="none" w:sz="0" w:space="0" w:color="auto"/>
        <w:bottom w:val="none" w:sz="0" w:space="0" w:color="auto"/>
        <w:right w:val="none" w:sz="0" w:space="0" w:color="auto"/>
      </w:divBdr>
    </w:div>
    <w:div w:id="1753239084">
      <w:bodyDiv w:val="1"/>
      <w:marLeft w:val="0"/>
      <w:marRight w:val="0"/>
      <w:marTop w:val="0"/>
      <w:marBottom w:val="0"/>
      <w:divBdr>
        <w:top w:val="none" w:sz="0" w:space="0" w:color="auto"/>
        <w:left w:val="none" w:sz="0" w:space="0" w:color="auto"/>
        <w:bottom w:val="none" w:sz="0" w:space="0" w:color="auto"/>
        <w:right w:val="none" w:sz="0" w:space="0" w:color="auto"/>
      </w:divBdr>
    </w:div>
    <w:div w:id="1757437249">
      <w:bodyDiv w:val="1"/>
      <w:marLeft w:val="0"/>
      <w:marRight w:val="0"/>
      <w:marTop w:val="0"/>
      <w:marBottom w:val="0"/>
      <w:divBdr>
        <w:top w:val="none" w:sz="0" w:space="0" w:color="auto"/>
        <w:left w:val="none" w:sz="0" w:space="0" w:color="auto"/>
        <w:bottom w:val="none" w:sz="0" w:space="0" w:color="auto"/>
        <w:right w:val="none" w:sz="0" w:space="0" w:color="auto"/>
      </w:divBdr>
    </w:div>
    <w:div w:id="1760253220">
      <w:bodyDiv w:val="1"/>
      <w:marLeft w:val="0"/>
      <w:marRight w:val="0"/>
      <w:marTop w:val="0"/>
      <w:marBottom w:val="0"/>
      <w:divBdr>
        <w:top w:val="none" w:sz="0" w:space="0" w:color="auto"/>
        <w:left w:val="none" w:sz="0" w:space="0" w:color="auto"/>
        <w:bottom w:val="none" w:sz="0" w:space="0" w:color="auto"/>
        <w:right w:val="none" w:sz="0" w:space="0" w:color="auto"/>
      </w:divBdr>
    </w:div>
    <w:div w:id="1762918954">
      <w:bodyDiv w:val="1"/>
      <w:marLeft w:val="0"/>
      <w:marRight w:val="0"/>
      <w:marTop w:val="0"/>
      <w:marBottom w:val="0"/>
      <w:divBdr>
        <w:top w:val="none" w:sz="0" w:space="0" w:color="auto"/>
        <w:left w:val="none" w:sz="0" w:space="0" w:color="auto"/>
        <w:bottom w:val="none" w:sz="0" w:space="0" w:color="auto"/>
        <w:right w:val="none" w:sz="0" w:space="0" w:color="auto"/>
      </w:divBdr>
    </w:div>
    <w:div w:id="1762988136">
      <w:bodyDiv w:val="1"/>
      <w:marLeft w:val="0"/>
      <w:marRight w:val="0"/>
      <w:marTop w:val="0"/>
      <w:marBottom w:val="0"/>
      <w:divBdr>
        <w:top w:val="none" w:sz="0" w:space="0" w:color="auto"/>
        <w:left w:val="none" w:sz="0" w:space="0" w:color="auto"/>
        <w:bottom w:val="none" w:sz="0" w:space="0" w:color="auto"/>
        <w:right w:val="none" w:sz="0" w:space="0" w:color="auto"/>
      </w:divBdr>
    </w:div>
    <w:div w:id="1764446814">
      <w:bodyDiv w:val="1"/>
      <w:marLeft w:val="0"/>
      <w:marRight w:val="0"/>
      <w:marTop w:val="0"/>
      <w:marBottom w:val="0"/>
      <w:divBdr>
        <w:top w:val="none" w:sz="0" w:space="0" w:color="auto"/>
        <w:left w:val="none" w:sz="0" w:space="0" w:color="auto"/>
        <w:bottom w:val="none" w:sz="0" w:space="0" w:color="auto"/>
        <w:right w:val="none" w:sz="0" w:space="0" w:color="auto"/>
      </w:divBdr>
    </w:div>
    <w:div w:id="1766922508">
      <w:bodyDiv w:val="1"/>
      <w:marLeft w:val="0"/>
      <w:marRight w:val="0"/>
      <w:marTop w:val="0"/>
      <w:marBottom w:val="0"/>
      <w:divBdr>
        <w:top w:val="none" w:sz="0" w:space="0" w:color="auto"/>
        <w:left w:val="none" w:sz="0" w:space="0" w:color="auto"/>
        <w:bottom w:val="none" w:sz="0" w:space="0" w:color="auto"/>
        <w:right w:val="none" w:sz="0" w:space="0" w:color="auto"/>
      </w:divBdr>
    </w:div>
    <w:div w:id="1767918832">
      <w:bodyDiv w:val="1"/>
      <w:marLeft w:val="0"/>
      <w:marRight w:val="0"/>
      <w:marTop w:val="0"/>
      <w:marBottom w:val="0"/>
      <w:divBdr>
        <w:top w:val="none" w:sz="0" w:space="0" w:color="auto"/>
        <w:left w:val="none" w:sz="0" w:space="0" w:color="auto"/>
        <w:bottom w:val="none" w:sz="0" w:space="0" w:color="auto"/>
        <w:right w:val="none" w:sz="0" w:space="0" w:color="auto"/>
      </w:divBdr>
    </w:div>
    <w:div w:id="1768847946">
      <w:bodyDiv w:val="1"/>
      <w:marLeft w:val="0"/>
      <w:marRight w:val="0"/>
      <w:marTop w:val="0"/>
      <w:marBottom w:val="0"/>
      <w:divBdr>
        <w:top w:val="none" w:sz="0" w:space="0" w:color="auto"/>
        <w:left w:val="none" w:sz="0" w:space="0" w:color="auto"/>
        <w:bottom w:val="none" w:sz="0" w:space="0" w:color="auto"/>
        <w:right w:val="none" w:sz="0" w:space="0" w:color="auto"/>
      </w:divBdr>
    </w:div>
    <w:div w:id="1770392131">
      <w:bodyDiv w:val="1"/>
      <w:marLeft w:val="0"/>
      <w:marRight w:val="0"/>
      <w:marTop w:val="0"/>
      <w:marBottom w:val="0"/>
      <w:divBdr>
        <w:top w:val="none" w:sz="0" w:space="0" w:color="auto"/>
        <w:left w:val="none" w:sz="0" w:space="0" w:color="auto"/>
        <w:bottom w:val="none" w:sz="0" w:space="0" w:color="auto"/>
        <w:right w:val="none" w:sz="0" w:space="0" w:color="auto"/>
      </w:divBdr>
    </w:div>
    <w:div w:id="1770469958">
      <w:bodyDiv w:val="1"/>
      <w:marLeft w:val="0"/>
      <w:marRight w:val="0"/>
      <w:marTop w:val="0"/>
      <w:marBottom w:val="0"/>
      <w:divBdr>
        <w:top w:val="none" w:sz="0" w:space="0" w:color="auto"/>
        <w:left w:val="none" w:sz="0" w:space="0" w:color="auto"/>
        <w:bottom w:val="none" w:sz="0" w:space="0" w:color="auto"/>
        <w:right w:val="none" w:sz="0" w:space="0" w:color="auto"/>
      </w:divBdr>
    </w:div>
    <w:div w:id="1772041533">
      <w:bodyDiv w:val="1"/>
      <w:marLeft w:val="0"/>
      <w:marRight w:val="0"/>
      <w:marTop w:val="0"/>
      <w:marBottom w:val="0"/>
      <w:divBdr>
        <w:top w:val="none" w:sz="0" w:space="0" w:color="auto"/>
        <w:left w:val="none" w:sz="0" w:space="0" w:color="auto"/>
        <w:bottom w:val="none" w:sz="0" w:space="0" w:color="auto"/>
        <w:right w:val="none" w:sz="0" w:space="0" w:color="auto"/>
      </w:divBdr>
    </w:div>
    <w:div w:id="1774977712">
      <w:bodyDiv w:val="1"/>
      <w:marLeft w:val="0"/>
      <w:marRight w:val="0"/>
      <w:marTop w:val="0"/>
      <w:marBottom w:val="0"/>
      <w:divBdr>
        <w:top w:val="none" w:sz="0" w:space="0" w:color="auto"/>
        <w:left w:val="none" w:sz="0" w:space="0" w:color="auto"/>
        <w:bottom w:val="none" w:sz="0" w:space="0" w:color="auto"/>
        <w:right w:val="none" w:sz="0" w:space="0" w:color="auto"/>
      </w:divBdr>
    </w:div>
    <w:div w:id="1780023763">
      <w:bodyDiv w:val="1"/>
      <w:marLeft w:val="0"/>
      <w:marRight w:val="0"/>
      <w:marTop w:val="0"/>
      <w:marBottom w:val="0"/>
      <w:divBdr>
        <w:top w:val="none" w:sz="0" w:space="0" w:color="auto"/>
        <w:left w:val="none" w:sz="0" w:space="0" w:color="auto"/>
        <w:bottom w:val="none" w:sz="0" w:space="0" w:color="auto"/>
        <w:right w:val="none" w:sz="0" w:space="0" w:color="auto"/>
      </w:divBdr>
    </w:div>
    <w:div w:id="1780638277">
      <w:bodyDiv w:val="1"/>
      <w:marLeft w:val="0"/>
      <w:marRight w:val="0"/>
      <w:marTop w:val="0"/>
      <w:marBottom w:val="0"/>
      <w:divBdr>
        <w:top w:val="none" w:sz="0" w:space="0" w:color="auto"/>
        <w:left w:val="none" w:sz="0" w:space="0" w:color="auto"/>
        <w:bottom w:val="none" w:sz="0" w:space="0" w:color="auto"/>
        <w:right w:val="none" w:sz="0" w:space="0" w:color="auto"/>
      </w:divBdr>
    </w:div>
    <w:div w:id="1786346353">
      <w:bodyDiv w:val="1"/>
      <w:marLeft w:val="0"/>
      <w:marRight w:val="0"/>
      <w:marTop w:val="0"/>
      <w:marBottom w:val="0"/>
      <w:divBdr>
        <w:top w:val="none" w:sz="0" w:space="0" w:color="auto"/>
        <w:left w:val="none" w:sz="0" w:space="0" w:color="auto"/>
        <w:bottom w:val="none" w:sz="0" w:space="0" w:color="auto"/>
        <w:right w:val="none" w:sz="0" w:space="0" w:color="auto"/>
      </w:divBdr>
    </w:div>
    <w:div w:id="1787576412">
      <w:bodyDiv w:val="1"/>
      <w:marLeft w:val="0"/>
      <w:marRight w:val="0"/>
      <w:marTop w:val="0"/>
      <w:marBottom w:val="0"/>
      <w:divBdr>
        <w:top w:val="none" w:sz="0" w:space="0" w:color="auto"/>
        <w:left w:val="none" w:sz="0" w:space="0" w:color="auto"/>
        <w:bottom w:val="none" w:sz="0" w:space="0" w:color="auto"/>
        <w:right w:val="none" w:sz="0" w:space="0" w:color="auto"/>
      </w:divBdr>
    </w:div>
    <w:div w:id="1795053018">
      <w:bodyDiv w:val="1"/>
      <w:marLeft w:val="0"/>
      <w:marRight w:val="0"/>
      <w:marTop w:val="0"/>
      <w:marBottom w:val="0"/>
      <w:divBdr>
        <w:top w:val="none" w:sz="0" w:space="0" w:color="auto"/>
        <w:left w:val="none" w:sz="0" w:space="0" w:color="auto"/>
        <w:bottom w:val="none" w:sz="0" w:space="0" w:color="auto"/>
        <w:right w:val="none" w:sz="0" w:space="0" w:color="auto"/>
      </w:divBdr>
    </w:div>
    <w:div w:id="1798336134">
      <w:bodyDiv w:val="1"/>
      <w:marLeft w:val="0"/>
      <w:marRight w:val="0"/>
      <w:marTop w:val="0"/>
      <w:marBottom w:val="0"/>
      <w:divBdr>
        <w:top w:val="none" w:sz="0" w:space="0" w:color="auto"/>
        <w:left w:val="none" w:sz="0" w:space="0" w:color="auto"/>
        <w:bottom w:val="none" w:sz="0" w:space="0" w:color="auto"/>
        <w:right w:val="none" w:sz="0" w:space="0" w:color="auto"/>
      </w:divBdr>
    </w:div>
    <w:div w:id="1798991937">
      <w:bodyDiv w:val="1"/>
      <w:marLeft w:val="0"/>
      <w:marRight w:val="0"/>
      <w:marTop w:val="0"/>
      <w:marBottom w:val="0"/>
      <w:divBdr>
        <w:top w:val="none" w:sz="0" w:space="0" w:color="auto"/>
        <w:left w:val="none" w:sz="0" w:space="0" w:color="auto"/>
        <w:bottom w:val="none" w:sz="0" w:space="0" w:color="auto"/>
        <w:right w:val="none" w:sz="0" w:space="0" w:color="auto"/>
      </w:divBdr>
    </w:div>
    <w:div w:id="1803887593">
      <w:bodyDiv w:val="1"/>
      <w:marLeft w:val="0"/>
      <w:marRight w:val="0"/>
      <w:marTop w:val="0"/>
      <w:marBottom w:val="0"/>
      <w:divBdr>
        <w:top w:val="none" w:sz="0" w:space="0" w:color="auto"/>
        <w:left w:val="none" w:sz="0" w:space="0" w:color="auto"/>
        <w:bottom w:val="none" w:sz="0" w:space="0" w:color="auto"/>
        <w:right w:val="none" w:sz="0" w:space="0" w:color="auto"/>
      </w:divBdr>
    </w:div>
    <w:div w:id="1808204258">
      <w:bodyDiv w:val="1"/>
      <w:marLeft w:val="0"/>
      <w:marRight w:val="0"/>
      <w:marTop w:val="0"/>
      <w:marBottom w:val="0"/>
      <w:divBdr>
        <w:top w:val="none" w:sz="0" w:space="0" w:color="auto"/>
        <w:left w:val="none" w:sz="0" w:space="0" w:color="auto"/>
        <w:bottom w:val="none" w:sz="0" w:space="0" w:color="auto"/>
        <w:right w:val="none" w:sz="0" w:space="0" w:color="auto"/>
      </w:divBdr>
    </w:div>
    <w:div w:id="1812092119">
      <w:bodyDiv w:val="1"/>
      <w:marLeft w:val="0"/>
      <w:marRight w:val="0"/>
      <w:marTop w:val="0"/>
      <w:marBottom w:val="0"/>
      <w:divBdr>
        <w:top w:val="none" w:sz="0" w:space="0" w:color="auto"/>
        <w:left w:val="none" w:sz="0" w:space="0" w:color="auto"/>
        <w:bottom w:val="none" w:sz="0" w:space="0" w:color="auto"/>
        <w:right w:val="none" w:sz="0" w:space="0" w:color="auto"/>
      </w:divBdr>
    </w:div>
    <w:div w:id="1820076529">
      <w:bodyDiv w:val="1"/>
      <w:marLeft w:val="0"/>
      <w:marRight w:val="0"/>
      <w:marTop w:val="0"/>
      <w:marBottom w:val="0"/>
      <w:divBdr>
        <w:top w:val="none" w:sz="0" w:space="0" w:color="auto"/>
        <w:left w:val="none" w:sz="0" w:space="0" w:color="auto"/>
        <w:bottom w:val="none" w:sz="0" w:space="0" w:color="auto"/>
        <w:right w:val="none" w:sz="0" w:space="0" w:color="auto"/>
      </w:divBdr>
    </w:div>
    <w:div w:id="1824002862">
      <w:bodyDiv w:val="1"/>
      <w:marLeft w:val="0"/>
      <w:marRight w:val="0"/>
      <w:marTop w:val="0"/>
      <w:marBottom w:val="0"/>
      <w:divBdr>
        <w:top w:val="none" w:sz="0" w:space="0" w:color="auto"/>
        <w:left w:val="none" w:sz="0" w:space="0" w:color="auto"/>
        <w:bottom w:val="none" w:sz="0" w:space="0" w:color="auto"/>
        <w:right w:val="none" w:sz="0" w:space="0" w:color="auto"/>
      </w:divBdr>
    </w:div>
    <w:div w:id="1824934149">
      <w:bodyDiv w:val="1"/>
      <w:marLeft w:val="0"/>
      <w:marRight w:val="0"/>
      <w:marTop w:val="0"/>
      <w:marBottom w:val="0"/>
      <w:divBdr>
        <w:top w:val="none" w:sz="0" w:space="0" w:color="auto"/>
        <w:left w:val="none" w:sz="0" w:space="0" w:color="auto"/>
        <w:bottom w:val="none" w:sz="0" w:space="0" w:color="auto"/>
        <w:right w:val="none" w:sz="0" w:space="0" w:color="auto"/>
      </w:divBdr>
    </w:div>
    <w:div w:id="1827471980">
      <w:bodyDiv w:val="1"/>
      <w:marLeft w:val="0"/>
      <w:marRight w:val="0"/>
      <w:marTop w:val="0"/>
      <w:marBottom w:val="0"/>
      <w:divBdr>
        <w:top w:val="none" w:sz="0" w:space="0" w:color="auto"/>
        <w:left w:val="none" w:sz="0" w:space="0" w:color="auto"/>
        <w:bottom w:val="none" w:sz="0" w:space="0" w:color="auto"/>
        <w:right w:val="none" w:sz="0" w:space="0" w:color="auto"/>
      </w:divBdr>
    </w:div>
    <w:div w:id="1827823539">
      <w:bodyDiv w:val="1"/>
      <w:marLeft w:val="0"/>
      <w:marRight w:val="0"/>
      <w:marTop w:val="0"/>
      <w:marBottom w:val="0"/>
      <w:divBdr>
        <w:top w:val="none" w:sz="0" w:space="0" w:color="auto"/>
        <w:left w:val="none" w:sz="0" w:space="0" w:color="auto"/>
        <w:bottom w:val="none" w:sz="0" w:space="0" w:color="auto"/>
        <w:right w:val="none" w:sz="0" w:space="0" w:color="auto"/>
      </w:divBdr>
    </w:div>
    <w:div w:id="1829710235">
      <w:bodyDiv w:val="1"/>
      <w:marLeft w:val="0"/>
      <w:marRight w:val="0"/>
      <w:marTop w:val="0"/>
      <w:marBottom w:val="0"/>
      <w:divBdr>
        <w:top w:val="none" w:sz="0" w:space="0" w:color="auto"/>
        <w:left w:val="none" w:sz="0" w:space="0" w:color="auto"/>
        <w:bottom w:val="none" w:sz="0" w:space="0" w:color="auto"/>
        <w:right w:val="none" w:sz="0" w:space="0" w:color="auto"/>
      </w:divBdr>
    </w:div>
    <w:div w:id="1830366025">
      <w:bodyDiv w:val="1"/>
      <w:marLeft w:val="0"/>
      <w:marRight w:val="0"/>
      <w:marTop w:val="0"/>
      <w:marBottom w:val="0"/>
      <w:divBdr>
        <w:top w:val="none" w:sz="0" w:space="0" w:color="auto"/>
        <w:left w:val="none" w:sz="0" w:space="0" w:color="auto"/>
        <w:bottom w:val="none" w:sz="0" w:space="0" w:color="auto"/>
        <w:right w:val="none" w:sz="0" w:space="0" w:color="auto"/>
      </w:divBdr>
    </w:div>
    <w:div w:id="1831561416">
      <w:bodyDiv w:val="1"/>
      <w:marLeft w:val="0"/>
      <w:marRight w:val="0"/>
      <w:marTop w:val="0"/>
      <w:marBottom w:val="0"/>
      <w:divBdr>
        <w:top w:val="none" w:sz="0" w:space="0" w:color="auto"/>
        <w:left w:val="none" w:sz="0" w:space="0" w:color="auto"/>
        <w:bottom w:val="none" w:sz="0" w:space="0" w:color="auto"/>
        <w:right w:val="none" w:sz="0" w:space="0" w:color="auto"/>
      </w:divBdr>
    </w:div>
    <w:div w:id="1832406237">
      <w:bodyDiv w:val="1"/>
      <w:marLeft w:val="0"/>
      <w:marRight w:val="0"/>
      <w:marTop w:val="0"/>
      <w:marBottom w:val="0"/>
      <w:divBdr>
        <w:top w:val="none" w:sz="0" w:space="0" w:color="auto"/>
        <w:left w:val="none" w:sz="0" w:space="0" w:color="auto"/>
        <w:bottom w:val="none" w:sz="0" w:space="0" w:color="auto"/>
        <w:right w:val="none" w:sz="0" w:space="0" w:color="auto"/>
      </w:divBdr>
    </w:div>
    <w:div w:id="1839727498">
      <w:bodyDiv w:val="1"/>
      <w:marLeft w:val="0"/>
      <w:marRight w:val="0"/>
      <w:marTop w:val="0"/>
      <w:marBottom w:val="0"/>
      <w:divBdr>
        <w:top w:val="none" w:sz="0" w:space="0" w:color="auto"/>
        <w:left w:val="none" w:sz="0" w:space="0" w:color="auto"/>
        <w:bottom w:val="none" w:sz="0" w:space="0" w:color="auto"/>
        <w:right w:val="none" w:sz="0" w:space="0" w:color="auto"/>
      </w:divBdr>
    </w:div>
    <w:div w:id="1839728073">
      <w:bodyDiv w:val="1"/>
      <w:marLeft w:val="0"/>
      <w:marRight w:val="0"/>
      <w:marTop w:val="0"/>
      <w:marBottom w:val="0"/>
      <w:divBdr>
        <w:top w:val="none" w:sz="0" w:space="0" w:color="auto"/>
        <w:left w:val="none" w:sz="0" w:space="0" w:color="auto"/>
        <w:bottom w:val="none" w:sz="0" w:space="0" w:color="auto"/>
        <w:right w:val="none" w:sz="0" w:space="0" w:color="auto"/>
      </w:divBdr>
    </w:div>
    <w:div w:id="1840539321">
      <w:bodyDiv w:val="1"/>
      <w:marLeft w:val="0"/>
      <w:marRight w:val="0"/>
      <w:marTop w:val="0"/>
      <w:marBottom w:val="0"/>
      <w:divBdr>
        <w:top w:val="none" w:sz="0" w:space="0" w:color="auto"/>
        <w:left w:val="none" w:sz="0" w:space="0" w:color="auto"/>
        <w:bottom w:val="none" w:sz="0" w:space="0" w:color="auto"/>
        <w:right w:val="none" w:sz="0" w:space="0" w:color="auto"/>
      </w:divBdr>
    </w:div>
    <w:div w:id="1841386913">
      <w:bodyDiv w:val="1"/>
      <w:marLeft w:val="0"/>
      <w:marRight w:val="0"/>
      <w:marTop w:val="0"/>
      <w:marBottom w:val="0"/>
      <w:divBdr>
        <w:top w:val="none" w:sz="0" w:space="0" w:color="auto"/>
        <w:left w:val="none" w:sz="0" w:space="0" w:color="auto"/>
        <w:bottom w:val="none" w:sz="0" w:space="0" w:color="auto"/>
        <w:right w:val="none" w:sz="0" w:space="0" w:color="auto"/>
      </w:divBdr>
    </w:div>
    <w:div w:id="1842967132">
      <w:bodyDiv w:val="1"/>
      <w:marLeft w:val="0"/>
      <w:marRight w:val="0"/>
      <w:marTop w:val="0"/>
      <w:marBottom w:val="0"/>
      <w:divBdr>
        <w:top w:val="none" w:sz="0" w:space="0" w:color="auto"/>
        <w:left w:val="none" w:sz="0" w:space="0" w:color="auto"/>
        <w:bottom w:val="none" w:sz="0" w:space="0" w:color="auto"/>
        <w:right w:val="none" w:sz="0" w:space="0" w:color="auto"/>
      </w:divBdr>
    </w:div>
    <w:div w:id="1843398230">
      <w:bodyDiv w:val="1"/>
      <w:marLeft w:val="0"/>
      <w:marRight w:val="0"/>
      <w:marTop w:val="0"/>
      <w:marBottom w:val="0"/>
      <w:divBdr>
        <w:top w:val="none" w:sz="0" w:space="0" w:color="auto"/>
        <w:left w:val="none" w:sz="0" w:space="0" w:color="auto"/>
        <w:bottom w:val="none" w:sz="0" w:space="0" w:color="auto"/>
        <w:right w:val="none" w:sz="0" w:space="0" w:color="auto"/>
      </w:divBdr>
    </w:div>
    <w:div w:id="1847746684">
      <w:bodyDiv w:val="1"/>
      <w:marLeft w:val="0"/>
      <w:marRight w:val="0"/>
      <w:marTop w:val="0"/>
      <w:marBottom w:val="0"/>
      <w:divBdr>
        <w:top w:val="none" w:sz="0" w:space="0" w:color="auto"/>
        <w:left w:val="none" w:sz="0" w:space="0" w:color="auto"/>
        <w:bottom w:val="none" w:sz="0" w:space="0" w:color="auto"/>
        <w:right w:val="none" w:sz="0" w:space="0" w:color="auto"/>
      </w:divBdr>
    </w:div>
    <w:div w:id="1847985460">
      <w:bodyDiv w:val="1"/>
      <w:marLeft w:val="0"/>
      <w:marRight w:val="0"/>
      <w:marTop w:val="0"/>
      <w:marBottom w:val="0"/>
      <w:divBdr>
        <w:top w:val="none" w:sz="0" w:space="0" w:color="auto"/>
        <w:left w:val="none" w:sz="0" w:space="0" w:color="auto"/>
        <w:bottom w:val="none" w:sz="0" w:space="0" w:color="auto"/>
        <w:right w:val="none" w:sz="0" w:space="0" w:color="auto"/>
      </w:divBdr>
    </w:div>
    <w:div w:id="1848669067">
      <w:bodyDiv w:val="1"/>
      <w:marLeft w:val="0"/>
      <w:marRight w:val="0"/>
      <w:marTop w:val="0"/>
      <w:marBottom w:val="0"/>
      <w:divBdr>
        <w:top w:val="none" w:sz="0" w:space="0" w:color="auto"/>
        <w:left w:val="none" w:sz="0" w:space="0" w:color="auto"/>
        <w:bottom w:val="none" w:sz="0" w:space="0" w:color="auto"/>
        <w:right w:val="none" w:sz="0" w:space="0" w:color="auto"/>
      </w:divBdr>
    </w:div>
    <w:div w:id="1852599013">
      <w:bodyDiv w:val="1"/>
      <w:marLeft w:val="0"/>
      <w:marRight w:val="0"/>
      <w:marTop w:val="0"/>
      <w:marBottom w:val="0"/>
      <w:divBdr>
        <w:top w:val="none" w:sz="0" w:space="0" w:color="auto"/>
        <w:left w:val="none" w:sz="0" w:space="0" w:color="auto"/>
        <w:bottom w:val="none" w:sz="0" w:space="0" w:color="auto"/>
        <w:right w:val="none" w:sz="0" w:space="0" w:color="auto"/>
      </w:divBdr>
    </w:div>
    <w:div w:id="1864517362">
      <w:bodyDiv w:val="1"/>
      <w:marLeft w:val="0"/>
      <w:marRight w:val="0"/>
      <w:marTop w:val="0"/>
      <w:marBottom w:val="0"/>
      <w:divBdr>
        <w:top w:val="none" w:sz="0" w:space="0" w:color="auto"/>
        <w:left w:val="none" w:sz="0" w:space="0" w:color="auto"/>
        <w:bottom w:val="none" w:sz="0" w:space="0" w:color="auto"/>
        <w:right w:val="none" w:sz="0" w:space="0" w:color="auto"/>
      </w:divBdr>
    </w:div>
    <w:div w:id="1871651764">
      <w:bodyDiv w:val="1"/>
      <w:marLeft w:val="0"/>
      <w:marRight w:val="0"/>
      <w:marTop w:val="0"/>
      <w:marBottom w:val="0"/>
      <w:divBdr>
        <w:top w:val="none" w:sz="0" w:space="0" w:color="auto"/>
        <w:left w:val="none" w:sz="0" w:space="0" w:color="auto"/>
        <w:bottom w:val="none" w:sz="0" w:space="0" w:color="auto"/>
        <w:right w:val="none" w:sz="0" w:space="0" w:color="auto"/>
      </w:divBdr>
    </w:div>
    <w:div w:id="1871913292">
      <w:bodyDiv w:val="1"/>
      <w:marLeft w:val="0"/>
      <w:marRight w:val="0"/>
      <w:marTop w:val="0"/>
      <w:marBottom w:val="0"/>
      <w:divBdr>
        <w:top w:val="none" w:sz="0" w:space="0" w:color="auto"/>
        <w:left w:val="none" w:sz="0" w:space="0" w:color="auto"/>
        <w:bottom w:val="none" w:sz="0" w:space="0" w:color="auto"/>
        <w:right w:val="none" w:sz="0" w:space="0" w:color="auto"/>
      </w:divBdr>
    </w:div>
    <w:div w:id="1874493087">
      <w:bodyDiv w:val="1"/>
      <w:marLeft w:val="0"/>
      <w:marRight w:val="0"/>
      <w:marTop w:val="0"/>
      <w:marBottom w:val="0"/>
      <w:divBdr>
        <w:top w:val="none" w:sz="0" w:space="0" w:color="auto"/>
        <w:left w:val="none" w:sz="0" w:space="0" w:color="auto"/>
        <w:bottom w:val="none" w:sz="0" w:space="0" w:color="auto"/>
        <w:right w:val="none" w:sz="0" w:space="0" w:color="auto"/>
      </w:divBdr>
    </w:div>
    <w:div w:id="1878735952">
      <w:bodyDiv w:val="1"/>
      <w:marLeft w:val="0"/>
      <w:marRight w:val="0"/>
      <w:marTop w:val="0"/>
      <w:marBottom w:val="0"/>
      <w:divBdr>
        <w:top w:val="none" w:sz="0" w:space="0" w:color="auto"/>
        <w:left w:val="none" w:sz="0" w:space="0" w:color="auto"/>
        <w:bottom w:val="none" w:sz="0" w:space="0" w:color="auto"/>
        <w:right w:val="none" w:sz="0" w:space="0" w:color="auto"/>
      </w:divBdr>
    </w:div>
    <w:div w:id="1881629128">
      <w:bodyDiv w:val="1"/>
      <w:marLeft w:val="0"/>
      <w:marRight w:val="0"/>
      <w:marTop w:val="0"/>
      <w:marBottom w:val="0"/>
      <w:divBdr>
        <w:top w:val="none" w:sz="0" w:space="0" w:color="auto"/>
        <w:left w:val="none" w:sz="0" w:space="0" w:color="auto"/>
        <w:bottom w:val="none" w:sz="0" w:space="0" w:color="auto"/>
        <w:right w:val="none" w:sz="0" w:space="0" w:color="auto"/>
      </w:divBdr>
    </w:div>
    <w:div w:id="1883209325">
      <w:bodyDiv w:val="1"/>
      <w:marLeft w:val="0"/>
      <w:marRight w:val="0"/>
      <w:marTop w:val="0"/>
      <w:marBottom w:val="0"/>
      <w:divBdr>
        <w:top w:val="none" w:sz="0" w:space="0" w:color="auto"/>
        <w:left w:val="none" w:sz="0" w:space="0" w:color="auto"/>
        <w:bottom w:val="none" w:sz="0" w:space="0" w:color="auto"/>
        <w:right w:val="none" w:sz="0" w:space="0" w:color="auto"/>
      </w:divBdr>
    </w:div>
    <w:div w:id="1884828491">
      <w:bodyDiv w:val="1"/>
      <w:marLeft w:val="0"/>
      <w:marRight w:val="0"/>
      <w:marTop w:val="0"/>
      <w:marBottom w:val="0"/>
      <w:divBdr>
        <w:top w:val="none" w:sz="0" w:space="0" w:color="auto"/>
        <w:left w:val="none" w:sz="0" w:space="0" w:color="auto"/>
        <w:bottom w:val="none" w:sz="0" w:space="0" w:color="auto"/>
        <w:right w:val="none" w:sz="0" w:space="0" w:color="auto"/>
      </w:divBdr>
    </w:div>
    <w:div w:id="1886411270">
      <w:bodyDiv w:val="1"/>
      <w:marLeft w:val="0"/>
      <w:marRight w:val="0"/>
      <w:marTop w:val="0"/>
      <w:marBottom w:val="0"/>
      <w:divBdr>
        <w:top w:val="none" w:sz="0" w:space="0" w:color="auto"/>
        <w:left w:val="none" w:sz="0" w:space="0" w:color="auto"/>
        <w:bottom w:val="none" w:sz="0" w:space="0" w:color="auto"/>
        <w:right w:val="none" w:sz="0" w:space="0" w:color="auto"/>
      </w:divBdr>
    </w:div>
    <w:div w:id="1891501829">
      <w:bodyDiv w:val="1"/>
      <w:marLeft w:val="0"/>
      <w:marRight w:val="0"/>
      <w:marTop w:val="0"/>
      <w:marBottom w:val="0"/>
      <w:divBdr>
        <w:top w:val="none" w:sz="0" w:space="0" w:color="auto"/>
        <w:left w:val="none" w:sz="0" w:space="0" w:color="auto"/>
        <w:bottom w:val="none" w:sz="0" w:space="0" w:color="auto"/>
        <w:right w:val="none" w:sz="0" w:space="0" w:color="auto"/>
      </w:divBdr>
    </w:div>
    <w:div w:id="1892761938">
      <w:bodyDiv w:val="1"/>
      <w:marLeft w:val="0"/>
      <w:marRight w:val="0"/>
      <w:marTop w:val="0"/>
      <w:marBottom w:val="0"/>
      <w:divBdr>
        <w:top w:val="none" w:sz="0" w:space="0" w:color="auto"/>
        <w:left w:val="none" w:sz="0" w:space="0" w:color="auto"/>
        <w:bottom w:val="none" w:sz="0" w:space="0" w:color="auto"/>
        <w:right w:val="none" w:sz="0" w:space="0" w:color="auto"/>
      </w:divBdr>
    </w:div>
    <w:div w:id="1899778186">
      <w:bodyDiv w:val="1"/>
      <w:marLeft w:val="0"/>
      <w:marRight w:val="0"/>
      <w:marTop w:val="0"/>
      <w:marBottom w:val="0"/>
      <w:divBdr>
        <w:top w:val="none" w:sz="0" w:space="0" w:color="auto"/>
        <w:left w:val="none" w:sz="0" w:space="0" w:color="auto"/>
        <w:bottom w:val="none" w:sz="0" w:space="0" w:color="auto"/>
        <w:right w:val="none" w:sz="0" w:space="0" w:color="auto"/>
      </w:divBdr>
    </w:div>
    <w:div w:id="1903371063">
      <w:bodyDiv w:val="1"/>
      <w:marLeft w:val="0"/>
      <w:marRight w:val="0"/>
      <w:marTop w:val="0"/>
      <w:marBottom w:val="0"/>
      <w:divBdr>
        <w:top w:val="none" w:sz="0" w:space="0" w:color="auto"/>
        <w:left w:val="none" w:sz="0" w:space="0" w:color="auto"/>
        <w:bottom w:val="none" w:sz="0" w:space="0" w:color="auto"/>
        <w:right w:val="none" w:sz="0" w:space="0" w:color="auto"/>
      </w:divBdr>
    </w:div>
    <w:div w:id="1903786595">
      <w:bodyDiv w:val="1"/>
      <w:marLeft w:val="0"/>
      <w:marRight w:val="0"/>
      <w:marTop w:val="0"/>
      <w:marBottom w:val="0"/>
      <w:divBdr>
        <w:top w:val="none" w:sz="0" w:space="0" w:color="auto"/>
        <w:left w:val="none" w:sz="0" w:space="0" w:color="auto"/>
        <w:bottom w:val="none" w:sz="0" w:space="0" w:color="auto"/>
        <w:right w:val="none" w:sz="0" w:space="0" w:color="auto"/>
      </w:divBdr>
    </w:div>
    <w:div w:id="1907953813">
      <w:bodyDiv w:val="1"/>
      <w:marLeft w:val="0"/>
      <w:marRight w:val="0"/>
      <w:marTop w:val="0"/>
      <w:marBottom w:val="0"/>
      <w:divBdr>
        <w:top w:val="none" w:sz="0" w:space="0" w:color="auto"/>
        <w:left w:val="none" w:sz="0" w:space="0" w:color="auto"/>
        <w:bottom w:val="none" w:sz="0" w:space="0" w:color="auto"/>
        <w:right w:val="none" w:sz="0" w:space="0" w:color="auto"/>
      </w:divBdr>
    </w:div>
    <w:div w:id="1908149007">
      <w:bodyDiv w:val="1"/>
      <w:marLeft w:val="0"/>
      <w:marRight w:val="0"/>
      <w:marTop w:val="0"/>
      <w:marBottom w:val="0"/>
      <w:divBdr>
        <w:top w:val="none" w:sz="0" w:space="0" w:color="auto"/>
        <w:left w:val="none" w:sz="0" w:space="0" w:color="auto"/>
        <w:bottom w:val="none" w:sz="0" w:space="0" w:color="auto"/>
        <w:right w:val="none" w:sz="0" w:space="0" w:color="auto"/>
      </w:divBdr>
    </w:div>
    <w:div w:id="1908567588">
      <w:bodyDiv w:val="1"/>
      <w:marLeft w:val="0"/>
      <w:marRight w:val="0"/>
      <w:marTop w:val="0"/>
      <w:marBottom w:val="0"/>
      <w:divBdr>
        <w:top w:val="none" w:sz="0" w:space="0" w:color="auto"/>
        <w:left w:val="none" w:sz="0" w:space="0" w:color="auto"/>
        <w:bottom w:val="none" w:sz="0" w:space="0" w:color="auto"/>
        <w:right w:val="none" w:sz="0" w:space="0" w:color="auto"/>
      </w:divBdr>
    </w:div>
    <w:div w:id="1914729735">
      <w:bodyDiv w:val="1"/>
      <w:marLeft w:val="0"/>
      <w:marRight w:val="0"/>
      <w:marTop w:val="0"/>
      <w:marBottom w:val="0"/>
      <w:divBdr>
        <w:top w:val="none" w:sz="0" w:space="0" w:color="auto"/>
        <w:left w:val="none" w:sz="0" w:space="0" w:color="auto"/>
        <w:bottom w:val="none" w:sz="0" w:space="0" w:color="auto"/>
        <w:right w:val="none" w:sz="0" w:space="0" w:color="auto"/>
      </w:divBdr>
    </w:div>
    <w:div w:id="1920213450">
      <w:bodyDiv w:val="1"/>
      <w:marLeft w:val="0"/>
      <w:marRight w:val="0"/>
      <w:marTop w:val="0"/>
      <w:marBottom w:val="0"/>
      <w:divBdr>
        <w:top w:val="none" w:sz="0" w:space="0" w:color="auto"/>
        <w:left w:val="none" w:sz="0" w:space="0" w:color="auto"/>
        <w:bottom w:val="none" w:sz="0" w:space="0" w:color="auto"/>
        <w:right w:val="none" w:sz="0" w:space="0" w:color="auto"/>
      </w:divBdr>
    </w:div>
    <w:div w:id="1921400522">
      <w:bodyDiv w:val="1"/>
      <w:marLeft w:val="0"/>
      <w:marRight w:val="0"/>
      <w:marTop w:val="0"/>
      <w:marBottom w:val="0"/>
      <w:divBdr>
        <w:top w:val="none" w:sz="0" w:space="0" w:color="auto"/>
        <w:left w:val="none" w:sz="0" w:space="0" w:color="auto"/>
        <w:bottom w:val="none" w:sz="0" w:space="0" w:color="auto"/>
        <w:right w:val="none" w:sz="0" w:space="0" w:color="auto"/>
      </w:divBdr>
    </w:div>
    <w:div w:id="1922133499">
      <w:bodyDiv w:val="1"/>
      <w:marLeft w:val="0"/>
      <w:marRight w:val="0"/>
      <w:marTop w:val="0"/>
      <w:marBottom w:val="0"/>
      <w:divBdr>
        <w:top w:val="none" w:sz="0" w:space="0" w:color="auto"/>
        <w:left w:val="none" w:sz="0" w:space="0" w:color="auto"/>
        <w:bottom w:val="none" w:sz="0" w:space="0" w:color="auto"/>
        <w:right w:val="none" w:sz="0" w:space="0" w:color="auto"/>
      </w:divBdr>
    </w:div>
    <w:div w:id="1926643144">
      <w:bodyDiv w:val="1"/>
      <w:marLeft w:val="0"/>
      <w:marRight w:val="0"/>
      <w:marTop w:val="0"/>
      <w:marBottom w:val="0"/>
      <w:divBdr>
        <w:top w:val="none" w:sz="0" w:space="0" w:color="auto"/>
        <w:left w:val="none" w:sz="0" w:space="0" w:color="auto"/>
        <w:bottom w:val="none" w:sz="0" w:space="0" w:color="auto"/>
        <w:right w:val="none" w:sz="0" w:space="0" w:color="auto"/>
      </w:divBdr>
    </w:div>
    <w:div w:id="1928028252">
      <w:bodyDiv w:val="1"/>
      <w:marLeft w:val="0"/>
      <w:marRight w:val="0"/>
      <w:marTop w:val="0"/>
      <w:marBottom w:val="0"/>
      <w:divBdr>
        <w:top w:val="none" w:sz="0" w:space="0" w:color="auto"/>
        <w:left w:val="none" w:sz="0" w:space="0" w:color="auto"/>
        <w:bottom w:val="none" w:sz="0" w:space="0" w:color="auto"/>
        <w:right w:val="none" w:sz="0" w:space="0" w:color="auto"/>
      </w:divBdr>
    </w:div>
    <w:div w:id="1928687452">
      <w:bodyDiv w:val="1"/>
      <w:marLeft w:val="0"/>
      <w:marRight w:val="0"/>
      <w:marTop w:val="0"/>
      <w:marBottom w:val="0"/>
      <w:divBdr>
        <w:top w:val="none" w:sz="0" w:space="0" w:color="auto"/>
        <w:left w:val="none" w:sz="0" w:space="0" w:color="auto"/>
        <w:bottom w:val="none" w:sz="0" w:space="0" w:color="auto"/>
        <w:right w:val="none" w:sz="0" w:space="0" w:color="auto"/>
      </w:divBdr>
    </w:div>
    <w:div w:id="1929996643">
      <w:bodyDiv w:val="1"/>
      <w:marLeft w:val="0"/>
      <w:marRight w:val="0"/>
      <w:marTop w:val="0"/>
      <w:marBottom w:val="0"/>
      <w:divBdr>
        <w:top w:val="none" w:sz="0" w:space="0" w:color="auto"/>
        <w:left w:val="none" w:sz="0" w:space="0" w:color="auto"/>
        <w:bottom w:val="none" w:sz="0" w:space="0" w:color="auto"/>
        <w:right w:val="none" w:sz="0" w:space="0" w:color="auto"/>
      </w:divBdr>
    </w:div>
    <w:div w:id="1930187190">
      <w:bodyDiv w:val="1"/>
      <w:marLeft w:val="0"/>
      <w:marRight w:val="0"/>
      <w:marTop w:val="0"/>
      <w:marBottom w:val="0"/>
      <w:divBdr>
        <w:top w:val="none" w:sz="0" w:space="0" w:color="auto"/>
        <w:left w:val="none" w:sz="0" w:space="0" w:color="auto"/>
        <w:bottom w:val="none" w:sz="0" w:space="0" w:color="auto"/>
        <w:right w:val="none" w:sz="0" w:space="0" w:color="auto"/>
      </w:divBdr>
    </w:div>
    <w:div w:id="1935438683">
      <w:bodyDiv w:val="1"/>
      <w:marLeft w:val="0"/>
      <w:marRight w:val="0"/>
      <w:marTop w:val="0"/>
      <w:marBottom w:val="0"/>
      <w:divBdr>
        <w:top w:val="none" w:sz="0" w:space="0" w:color="auto"/>
        <w:left w:val="none" w:sz="0" w:space="0" w:color="auto"/>
        <w:bottom w:val="none" w:sz="0" w:space="0" w:color="auto"/>
        <w:right w:val="none" w:sz="0" w:space="0" w:color="auto"/>
      </w:divBdr>
    </w:div>
    <w:div w:id="1936672701">
      <w:bodyDiv w:val="1"/>
      <w:marLeft w:val="0"/>
      <w:marRight w:val="0"/>
      <w:marTop w:val="0"/>
      <w:marBottom w:val="0"/>
      <w:divBdr>
        <w:top w:val="none" w:sz="0" w:space="0" w:color="auto"/>
        <w:left w:val="none" w:sz="0" w:space="0" w:color="auto"/>
        <w:bottom w:val="none" w:sz="0" w:space="0" w:color="auto"/>
        <w:right w:val="none" w:sz="0" w:space="0" w:color="auto"/>
      </w:divBdr>
    </w:div>
    <w:div w:id="1938442979">
      <w:bodyDiv w:val="1"/>
      <w:marLeft w:val="0"/>
      <w:marRight w:val="0"/>
      <w:marTop w:val="0"/>
      <w:marBottom w:val="0"/>
      <w:divBdr>
        <w:top w:val="none" w:sz="0" w:space="0" w:color="auto"/>
        <w:left w:val="none" w:sz="0" w:space="0" w:color="auto"/>
        <w:bottom w:val="none" w:sz="0" w:space="0" w:color="auto"/>
        <w:right w:val="none" w:sz="0" w:space="0" w:color="auto"/>
      </w:divBdr>
    </w:div>
    <w:div w:id="1939870205">
      <w:bodyDiv w:val="1"/>
      <w:marLeft w:val="0"/>
      <w:marRight w:val="0"/>
      <w:marTop w:val="0"/>
      <w:marBottom w:val="0"/>
      <w:divBdr>
        <w:top w:val="none" w:sz="0" w:space="0" w:color="auto"/>
        <w:left w:val="none" w:sz="0" w:space="0" w:color="auto"/>
        <w:bottom w:val="none" w:sz="0" w:space="0" w:color="auto"/>
        <w:right w:val="none" w:sz="0" w:space="0" w:color="auto"/>
      </w:divBdr>
    </w:div>
    <w:div w:id="1943103982">
      <w:bodyDiv w:val="1"/>
      <w:marLeft w:val="0"/>
      <w:marRight w:val="0"/>
      <w:marTop w:val="0"/>
      <w:marBottom w:val="0"/>
      <w:divBdr>
        <w:top w:val="none" w:sz="0" w:space="0" w:color="auto"/>
        <w:left w:val="none" w:sz="0" w:space="0" w:color="auto"/>
        <w:bottom w:val="none" w:sz="0" w:space="0" w:color="auto"/>
        <w:right w:val="none" w:sz="0" w:space="0" w:color="auto"/>
      </w:divBdr>
    </w:div>
    <w:div w:id="1944727998">
      <w:bodyDiv w:val="1"/>
      <w:marLeft w:val="0"/>
      <w:marRight w:val="0"/>
      <w:marTop w:val="0"/>
      <w:marBottom w:val="0"/>
      <w:divBdr>
        <w:top w:val="none" w:sz="0" w:space="0" w:color="auto"/>
        <w:left w:val="none" w:sz="0" w:space="0" w:color="auto"/>
        <w:bottom w:val="none" w:sz="0" w:space="0" w:color="auto"/>
        <w:right w:val="none" w:sz="0" w:space="0" w:color="auto"/>
      </w:divBdr>
    </w:div>
    <w:div w:id="1948272414">
      <w:bodyDiv w:val="1"/>
      <w:marLeft w:val="0"/>
      <w:marRight w:val="0"/>
      <w:marTop w:val="0"/>
      <w:marBottom w:val="0"/>
      <w:divBdr>
        <w:top w:val="none" w:sz="0" w:space="0" w:color="auto"/>
        <w:left w:val="none" w:sz="0" w:space="0" w:color="auto"/>
        <w:bottom w:val="none" w:sz="0" w:space="0" w:color="auto"/>
        <w:right w:val="none" w:sz="0" w:space="0" w:color="auto"/>
      </w:divBdr>
    </w:div>
    <w:div w:id="1949314194">
      <w:bodyDiv w:val="1"/>
      <w:marLeft w:val="0"/>
      <w:marRight w:val="0"/>
      <w:marTop w:val="0"/>
      <w:marBottom w:val="0"/>
      <w:divBdr>
        <w:top w:val="none" w:sz="0" w:space="0" w:color="auto"/>
        <w:left w:val="none" w:sz="0" w:space="0" w:color="auto"/>
        <w:bottom w:val="none" w:sz="0" w:space="0" w:color="auto"/>
        <w:right w:val="none" w:sz="0" w:space="0" w:color="auto"/>
      </w:divBdr>
    </w:div>
    <w:div w:id="1949963238">
      <w:bodyDiv w:val="1"/>
      <w:marLeft w:val="0"/>
      <w:marRight w:val="0"/>
      <w:marTop w:val="0"/>
      <w:marBottom w:val="0"/>
      <w:divBdr>
        <w:top w:val="none" w:sz="0" w:space="0" w:color="auto"/>
        <w:left w:val="none" w:sz="0" w:space="0" w:color="auto"/>
        <w:bottom w:val="none" w:sz="0" w:space="0" w:color="auto"/>
        <w:right w:val="none" w:sz="0" w:space="0" w:color="auto"/>
      </w:divBdr>
    </w:div>
    <w:div w:id="1950240517">
      <w:bodyDiv w:val="1"/>
      <w:marLeft w:val="0"/>
      <w:marRight w:val="0"/>
      <w:marTop w:val="0"/>
      <w:marBottom w:val="0"/>
      <w:divBdr>
        <w:top w:val="none" w:sz="0" w:space="0" w:color="auto"/>
        <w:left w:val="none" w:sz="0" w:space="0" w:color="auto"/>
        <w:bottom w:val="none" w:sz="0" w:space="0" w:color="auto"/>
        <w:right w:val="none" w:sz="0" w:space="0" w:color="auto"/>
      </w:divBdr>
    </w:div>
    <w:div w:id="1951818812">
      <w:bodyDiv w:val="1"/>
      <w:marLeft w:val="0"/>
      <w:marRight w:val="0"/>
      <w:marTop w:val="0"/>
      <w:marBottom w:val="0"/>
      <w:divBdr>
        <w:top w:val="none" w:sz="0" w:space="0" w:color="auto"/>
        <w:left w:val="none" w:sz="0" w:space="0" w:color="auto"/>
        <w:bottom w:val="none" w:sz="0" w:space="0" w:color="auto"/>
        <w:right w:val="none" w:sz="0" w:space="0" w:color="auto"/>
      </w:divBdr>
    </w:div>
    <w:div w:id="1953055467">
      <w:bodyDiv w:val="1"/>
      <w:marLeft w:val="0"/>
      <w:marRight w:val="0"/>
      <w:marTop w:val="0"/>
      <w:marBottom w:val="0"/>
      <w:divBdr>
        <w:top w:val="none" w:sz="0" w:space="0" w:color="auto"/>
        <w:left w:val="none" w:sz="0" w:space="0" w:color="auto"/>
        <w:bottom w:val="none" w:sz="0" w:space="0" w:color="auto"/>
        <w:right w:val="none" w:sz="0" w:space="0" w:color="auto"/>
      </w:divBdr>
    </w:div>
    <w:div w:id="1954820452">
      <w:bodyDiv w:val="1"/>
      <w:marLeft w:val="0"/>
      <w:marRight w:val="0"/>
      <w:marTop w:val="0"/>
      <w:marBottom w:val="0"/>
      <w:divBdr>
        <w:top w:val="none" w:sz="0" w:space="0" w:color="auto"/>
        <w:left w:val="none" w:sz="0" w:space="0" w:color="auto"/>
        <w:bottom w:val="none" w:sz="0" w:space="0" w:color="auto"/>
        <w:right w:val="none" w:sz="0" w:space="0" w:color="auto"/>
      </w:divBdr>
    </w:div>
    <w:div w:id="1955668346">
      <w:bodyDiv w:val="1"/>
      <w:marLeft w:val="0"/>
      <w:marRight w:val="0"/>
      <w:marTop w:val="0"/>
      <w:marBottom w:val="0"/>
      <w:divBdr>
        <w:top w:val="none" w:sz="0" w:space="0" w:color="auto"/>
        <w:left w:val="none" w:sz="0" w:space="0" w:color="auto"/>
        <w:bottom w:val="none" w:sz="0" w:space="0" w:color="auto"/>
        <w:right w:val="none" w:sz="0" w:space="0" w:color="auto"/>
      </w:divBdr>
    </w:div>
    <w:div w:id="1962610222">
      <w:bodyDiv w:val="1"/>
      <w:marLeft w:val="0"/>
      <w:marRight w:val="0"/>
      <w:marTop w:val="0"/>
      <w:marBottom w:val="0"/>
      <w:divBdr>
        <w:top w:val="none" w:sz="0" w:space="0" w:color="auto"/>
        <w:left w:val="none" w:sz="0" w:space="0" w:color="auto"/>
        <w:bottom w:val="none" w:sz="0" w:space="0" w:color="auto"/>
        <w:right w:val="none" w:sz="0" w:space="0" w:color="auto"/>
      </w:divBdr>
    </w:div>
    <w:div w:id="1971787247">
      <w:bodyDiv w:val="1"/>
      <w:marLeft w:val="0"/>
      <w:marRight w:val="0"/>
      <w:marTop w:val="0"/>
      <w:marBottom w:val="0"/>
      <w:divBdr>
        <w:top w:val="none" w:sz="0" w:space="0" w:color="auto"/>
        <w:left w:val="none" w:sz="0" w:space="0" w:color="auto"/>
        <w:bottom w:val="none" w:sz="0" w:space="0" w:color="auto"/>
        <w:right w:val="none" w:sz="0" w:space="0" w:color="auto"/>
      </w:divBdr>
    </w:div>
    <w:div w:id="1975864407">
      <w:bodyDiv w:val="1"/>
      <w:marLeft w:val="0"/>
      <w:marRight w:val="0"/>
      <w:marTop w:val="0"/>
      <w:marBottom w:val="0"/>
      <w:divBdr>
        <w:top w:val="none" w:sz="0" w:space="0" w:color="auto"/>
        <w:left w:val="none" w:sz="0" w:space="0" w:color="auto"/>
        <w:bottom w:val="none" w:sz="0" w:space="0" w:color="auto"/>
        <w:right w:val="none" w:sz="0" w:space="0" w:color="auto"/>
      </w:divBdr>
    </w:div>
    <w:div w:id="1978682115">
      <w:bodyDiv w:val="1"/>
      <w:marLeft w:val="0"/>
      <w:marRight w:val="0"/>
      <w:marTop w:val="0"/>
      <w:marBottom w:val="0"/>
      <w:divBdr>
        <w:top w:val="none" w:sz="0" w:space="0" w:color="auto"/>
        <w:left w:val="none" w:sz="0" w:space="0" w:color="auto"/>
        <w:bottom w:val="none" w:sz="0" w:space="0" w:color="auto"/>
        <w:right w:val="none" w:sz="0" w:space="0" w:color="auto"/>
      </w:divBdr>
    </w:div>
    <w:div w:id="1983190605">
      <w:bodyDiv w:val="1"/>
      <w:marLeft w:val="0"/>
      <w:marRight w:val="0"/>
      <w:marTop w:val="0"/>
      <w:marBottom w:val="0"/>
      <w:divBdr>
        <w:top w:val="none" w:sz="0" w:space="0" w:color="auto"/>
        <w:left w:val="none" w:sz="0" w:space="0" w:color="auto"/>
        <w:bottom w:val="none" w:sz="0" w:space="0" w:color="auto"/>
        <w:right w:val="none" w:sz="0" w:space="0" w:color="auto"/>
      </w:divBdr>
    </w:div>
    <w:div w:id="1984001433">
      <w:bodyDiv w:val="1"/>
      <w:marLeft w:val="0"/>
      <w:marRight w:val="0"/>
      <w:marTop w:val="0"/>
      <w:marBottom w:val="0"/>
      <w:divBdr>
        <w:top w:val="none" w:sz="0" w:space="0" w:color="auto"/>
        <w:left w:val="none" w:sz="0" w:space="0" w:color="auto"/>
        <w:bottom w:val="none" w:sz="0" w:space="0" w:color="auto"/>
        <w:right w:val="none" w:sz="0" w:space="0" w:color="auto"/>
      </w:divBdr>
    </w:div>
    <w:div w:id="1984187924">
      <w:bodyDiv w:val="1"/>
      <w:marLeft w:val="0"/>
      <w:marRight w:val="0"/>
      <w:marTop w:val="0"/>
      <w:marBottom w:val="0"/>
      <w:divBdr>
        <w:top w:val="none" w:sz="0" w:space="0" w:color="auto"/>
        <w:left w:val="none" w:sz="0" w:space="0" w:color="auto"/>
        <w:bottom w:val="none" w:sz="0" w:space="0" w:color="auto"/>
        <w:right w:val="none" w:sz="0" w:space="0" w:color="auto"/>
      </w:divBdr>
    </w:div>
    <w:div w:id="1989439020">
      <w:bodyDiv w:val="1"/>
      <w:marLeft w:val="0"/>
      <w:marRight w:val="0"/>
      <w:marTop w:val="0"/>
      <w:marBottom w:val="0"/>
      <w:divBdr>
        <w:top w:val="none" w:sz="0" w:space="0" w:color="auto"/>
        <w:left w:val="none" w:sz="0" w:space="0" w:color="auto"/>
        <w:bottom w:val="none" w:sz="0" w:space="0" w:color="auto"/>
        <w:right w:val="none" w:sz="0" w:space="0" w:color="auto"/>
      </w:divBdr>
    </w:div>
    <w:div w:id="1989898360">
      <w:bodyDiv w:val="1"/>
      <w:marLeft w:val="0"/>
      <w:marRight w:val="0"/>
      <w:marTop w:val="0"/>
      <w:marBottom w:val="0"/>
      <w:divBdr>
        <w:top w:val="none" w:sz="0" w:space="0" w:color="auto"/>
        <w:left w:val="none" w:sz="0" w:space="0" w:color="auto"/>
        <w:bottom w:val="none" w:sz="0" w:space="0" w:color="auto"/>
        <w:right w:val="none" w:sz="0" w:space="0" w:color="auto"/>
      </w:divBdr>
    </w:div>
    <w:div w:id="1997606608">
      <w:bodyDiv w:val="1"/>
      <w:marLeft w:val="0"/>
      <w:marRight w:val="0"/>
      <w:marTop w:val="0"/>
      <w:marBottom w:val="0"/>
      <w:divBdr>
        <w:top w:val="none" w:sz="0" w:space="0" w:color="auto"/>
        <w:left w:val="none" w:sz="0" w:space="0" w:color="auto"/>
        <w:bottom w:val="none" w:sz="0" w:space="0" w:color="auto"/>
        <w:right w:val="none" w:sz="0" w:space="0" w:color="auto"/>
      </w:divBdr>
    </w:div>
    <w:div w:id="1998922169">
      <w:bodyDiv w:val="1"/>
      <w:marLeft w:val="0"/>
      <w:marRight w:val="0"/>
      <w:marTop w:val="0"/>
      <w:marBottom w:val="0"/>
      <w:divBdr>
        <w:top w:val="none" w:sz="0" w:space="0" w:color="auto"/>
        <w:left w:val="none" w:sz="0" w:space="0" w:color="auto"/>
        <w:bottom w:val="none" w:sz="0" w:space="0" w:color="auto"/>
        <w:right w:val="none" w:sz="0" w:space="0" w:color="auto"/>
      </w:divBdr>
    </w:div>
    <w:div w:id="2003392624">
      <w:bodyDiv w:val="1"/>
      <w:marLeft w:val="0"/>
      <w:marRight w:val="0"/>
      <w:marTop w:val="0"/>
      <w:marBottom w:val="0"/>
      <w:divBdr>
        <w:top w:val="none" w:sz="0" w:space="0" w:color="auto"/>
        <w:left w:val="none" w:sz="0" w:space="0" w:color="auto"/>
        <w:bottom w:val="none" w:sz="0" w:space="0" w:color="auto"/>
        <w:right w:val="none" w:sz="0" w:space="0" w:color="auto"/>
      </w:divBdr>
    </w:div>
    <w:div w:id="2006975730">
      <w:bodyDiv w:val="1"/>
      <w:marLeft w:val="0"/>
      <w:marRight w:val="0"/>
      <w:marTop w:val="0"/>
      <w:marBottom w:val="0"/>
      <w:divBdr>
        <w:top w:val="none" w:sz="0" w:space="0" w:color="auto"/>
        <w:left w:val="none" w:sz="0" w:space="0" w:color="auto"/>
        <w:bottom w:val="none" w:sz="0" w:space="0" w:color="auto"/>
        <w:right w:val="none" w:sz="0" w:space="0" w:color="auto"/>
      </w:divBdr>
    </w:div>
    <w:div w:id="2009358809">
      <w:bodyDiv w:val="1"/>
      <w:marLeft w:val="0"/>
      <w:marRight w:val="0"/>
      <w:marTop w:val="0"/>
      <w:marBottom w:val="0"/>
      <w:divBdr>
        <w:top w:val="none" w:sz="0" w:space="0" w:color="auto"/>
        <w:left w:val="none" w:sz="0" w:space="0" w:color="auto"/>
        <w:bottom w:val="none" w:sz="0" w:space="0" w:color="auto"/>
        <w:right w:val="none" w:sz="0" w:space="0" w:color="auto"/>
      </w:divBdr>
    </w:div>
    <w:div w:id="2010525947">
      <w:bodyDiv w:val="1"/>
      <w:marLeft w:val="0"/>
      <w:marRight w:val="0"/>
      <w:marTop w:val="0"/>
      <w:marBottom w:val="0"/>
      <w:divBdr>
        <w:top w:val="none" w:sz="0" w:space="0" w:color="auto"/>
        <w:left w:val="none" w:sz="0" w:space="0" w:color="auto"/>
        <w:bottom w:val="none" w:sz="0" w:space="0" w:color="auto"/>
        <w:right w:val="none" w:sz="0" w:space="0" w:color="auto"/>
      </w:divBdr>
    </w:div>
    <w:div w:id="2011171739">
      <w:bodyDiv w:val="1"/>
      <w:marLeft w:val="0"/>
      <w:marRight w:val="0"/>
      <w:marTop w:val="0"/>
      <w:marBottom w:val="0"/>
      <w:divBdr>
        <w:top w:val="none" w:sz="0" w:space="0" w:color="auto"/>
        <w:left w:val="none" w:sz="0" w:space="0" w:color="auto"/>
        <w:bottom w:val="none" w:sz="0" w:space="0" w:color="auto"/>
        <w:right w:val="none" w:sz="0" w:space="0" w:color="auto"/>
      </w:divBdr>
    </w:div>
    <w:div w:id="2015498086">
      <w:bodyDiv w:val="1"/>
      <w:marLeft w:val="0"/>
      <w:marRight w:val="0"/>
      <w:marTop w:val="0"/>
      <w:marBottom w:val="0"/>
      <w:divBdr>
        <w:top w:val="none" w:sz="0" w:space="0" w:color="auto"/>
        <w:left w:val="none" w:sz="0" w:space="0" w:color="auto"/>
        <w:bottom w:val="none" w:sz="0" w:space="0" w:color="auto"/>
        <w:right w:val="none" w:sz="0" w:space="0" w:color="auto"/>
      </w:divBdr>
    </w:div>
    <w:div w:id="2017490185">
      <w:bodyDiv w:val="1"/>
      <w:marLeft w:val="0"/>
      <w:marRight w:val="0"/>
      <w:marTop w:val="0"/>
      <w:marBottom w:val="0"/>
      <w:divBdr>
        <w:top w:val="none" w:sz="0" w:space="0" w:color="auto"/>
        <w:left w:val="none" w:sz="0" w:space="0" w:color="auto"/>
        <w:bottom w:val="none" w:sz="0" w:space="0" w:color="auto"/>
        <w:right w:val="none" w:sz="0" w:space="0" w:color="auto"/>
      </w:divBdr>
    </w:div>
    <w:div w:id="2019577891">
      <w:bodyDiv w:val="1"/>
      <w:marLeft w:val="0"/>
      <w:marRight w:val="0"/>
      <w:marTop w:val="0"/>
      <w:marBottom w:val="0"/>
      <w:divBdr>
        <w:top w:val="none" w:sz="0" w:space="0" w:color="auto"/>
        <w:left w:val="none" w:sz="0" w:space="0" w:color="auto"/>
        <w:bottom w:val="none" w:sz="0" w:space="0" w:color="auto"/>
        <w:right w:val="none" w:sz="0" w:space="0" w:color="auto"/>
      </w:divBdr>
    </w:div>
    <w:div w:id="2023121590">
      <w:bodyDiv w:val="1"/>
      <w:marLeft w:val="0"/>
      <w:marRight w:val="0"/>
      <w:marTop w:val="0"/>
      <w:marBottom w:val="0"/>
      <w:divBdr>
        <w:top w:val="none" w:sz="0" w:space="0" w:color="auto"/>
        <w:left w:val="none" w:sz="0" w:space="0" w:color="auto"/>
        <w:bottom w:val="none" w:sz="0" w:space="0" w:color="auto"/>
        <w:right w:val="none" w:sz="0" w:space="0" w:color="auto"/>
      </w:divBdr>
    </w:div>
    <w:div w:id="2026907578">
      <w:bodyDiv w:val="1"/>
      <w:marLeft w:val="0"/>
      <w:marRight w:val="0"/>
      <w:marTop w:val="0"/>
      <w:marBottom w:val="0"/>
      <w:divBdr>
        <w:top w:val="none" w:sz="0" w:space="0" w:color="auto"/>
        <w:left w:val="none" w:sz="0" w:space="0" w:color="auto"/>
        <w:bottom w:val="none" w:sz="0" w:space="0" w:color="auto"/>
        <w:right w:val="none" w:sz="0" w:space="0" w:color="auto"/>
      </w:divBdr>
    </w:div>
    <w:div w:id="2029788503">
      <w:bodyDiv w:val="1"/>
      <w:marLeft w:val="0"/>
      <w:marRight w:val="0"/>
      <w:marTop w:val="0"/>
      <w:marBottom w:val="0"/>
      <w:divBdr>
        <w:top w:val="none" w:sz="0" w:space="0" w:color="auto"/>
        <w:left w:val="none" w:sz="0" w:space="0" w:color="auto"/>
        <w:bottom w:val="none" w:sz="0" w:space="0" w:color="auto"/>
        <w:right w:val="none" w:sz="0" w:space="0" w:color="auto"/>
      </w:divBdr>
    </w:div>
    <w:div w:id="2035960325">
      <w:bodyDiv w:val="1"/>
      <w:marLeft w:val="0"/>
      <w:marRight w:val="0"/>
      <w:marTop w:val="0"/>
      <w:marBottom w:val="0"/>
      <w:divBdr>
        <w:top w:val="none" w:sz="0" w:space="0" w:color="auto"/>
        <w:left w:val="none" w:sz="0" w:space="0" w:color="auto"/>
        <w:bottom w:val="none" w:sz="0" w:space="0" w:color="auto"/>
        <w:right w:val="none" w:sz="0" w:space="0" w:color="auto"/>
      </w:divBdr>
    </w:div>
    <w:div w:id="2047367050">
      <w:bodyDiv w:val="1"/>
      <w:marLeft w:val="0"/>
      <w:marRight w:val="0"/>
      <w:marTop w:val="0"/>
      <w:marBottom w:val="0"/>
      <w:divBdr>
        <w:top w:val="none" w:sz="0" w:space="0" w:color="auto"/>
        <w:left w:val="none" w:sz="0" w:space="0" w:color="auto"/>
        <w:bottom w:val="none" w:sz="0" w:space="0" w:color="auto"/>
        <w:right w:val="none" w:sz="0" w:space="0" w:color="auto"/>
      </w:divBdr>
    </w:div>
    <w:div w:id="2049330750">
      <w:bodyDiv w:val="1"/>
      <w:marLeft w:val="0"/>
      <w:marRight w:val="0"/>
      <w:marTop w:val="0"/>
      <w:marBottom w:val="0"/>
      <w:divBdr>
        <w:top w:val="none" w:sz="0" w:space="0" w:color="auto"/>
        <w:left w:val="none" w:sz="0" w:space="0" w:color="auto"/>
        <w:bottom w:val="none" w:sz="0" w:space="0" w:color="auto"/>
        <w:right w:val="none" w:sz="0" w:space="0" w:color="auto"/>
      </w:divBdr>
    </w:div>
    <w:div w:id="2055305312">
      <w:bodyDiv w:val="1"/>
      <w:marLeft w:val="0"/>
      <w:marRight w:val="0"/>
      <w:marTop w:val="0"/>
      <w:marBottom w:val="0"/>
      <w:divBdr>
        <w:top w:val="none" w:sz="0" w:space="0" w:color="auto"/>
        <w:left w:val="none" w:sz="0" w:space="0" w:color="auto"/>
        <w:bottom w:val="none" w:sz="0" w:space="0" w:color="auto"/>
        <w:right w:val="none" w:sz="0" w:space="0" w:color="auto"/>
      </w:divBdr>
    </w:div>
    <w:div w:id="2057272252">
      <w:bodyDiv w:val="1"/>
      <w:marLeft w:val="0"/>
      <w:marRight w:val="0"/>
      <w:marTop w:val="0"/>
      <w:marBottom w:val="0"/>
      <w:divBdr>
        <w:top w:val="none" w:sz="0" w:space="0" w:color="auto"/>
        <w:left w:val="none" w:sz="0" w:space="0" w:color="auto"/>
        <w:bottom w:val="none" w:sz="0" w:space="0" w:color="auto"/>
        <w:right w:val="none" w:sz="0" w:space="0" w:color="auto"/>
      </w:divBdr>
    </w:div>
    <w:div w:id="2057310638">
      <w:bodyDiv w:val="1"/>
      <w:marLeft w:val="0"/>
      <w:marRight w:val="0"/>
      <w:marTop w:val="0"/>
      <w:marBottom w:val="0"/>
      <w:divBdr>
        <w:top w:val="none" w:sz="0" w:space="0" w:color="auto"/>
        <w:left w:val="none" w:sz="0" w:space="0" w:color="auto"/>
        <w:bottom w:val="none" w:sz="0" w:space="0" w:color="auto"/>
        <w:right w:val="none" w:sz="0" w:space="0" w:color="auto"/>
      </w:divBdr>
    </w:div>
    <w:div w:id="2058434838">
      <w:bodyDiv w:val="1"/>
      <w:marLeft w:val="0"/>
      <w:marRight w:val="0"/>
      <w:marTop w:val="0"/>
      <w:marBottom w:val="0"/>
      <w:divBdr>
        <w:top w:val="none" w:sz="0" w:space="0" w:color="auto"/>
        <w:left w:val="none" w:sz="0" w:space="0" w:color="auto"/>
        <w:bottom w:val="none" w:sz="0" w:space="0" w:color="auto"/>
        <w:right w:val="none" w:sz="0" w:space="0" w:color="auto"/>
      </w:divBdr>
    </w:div>
    <w:div w:id="2058774810">
      <w:bodyDiv w:val="1"/>
      <w:marLeft w:val="0"/>
      <w:marRight w:val="0"/>
      <w:marTop w:val="0"/>
      <w:marBottom w:val="0"/>
      <w:divBdr>
        <w:top w:val="none" w:sz="0" w:space="0" w:color="auto"/>
        <w:left w:val="none" w:sz="0" w:space="0" w:color="auto"/>
        <w:bottom w:val="none" w:sz="0" w:space="0" w:color="auto"/>
        <w:right w:val="none" w:sz="0" w:space="0" w:color="auto"/>
      </w:divBdr>
    </w:div>
    <w:div w:id="2060662693">
      <w:bodyDiv w:val="1"/>
      <w:marLeft w:val="0"/>
      <w:marRight w:val="0"/>
      <w:marTop w:val="0"/>
      <w:marBottom w:val="0"/>
      <w:divBdr>
        <w:top w:val="none" w:sz="0" w:space="0" w:color="auto"/>
        <w:left w:val="none" w:sz="0" w:space="0" w:color="auto"/>
        <w:bottom w:val="none" w:sz="0" w:space="0" w:color="auto"/>
        <w:right w:val="none" w:sz="0" w:space="0" w:color="auto"/>
      </w:divBdr>
    </w:div>
    <w:div w:id="2060738367">
      <w:bodyDiv w:val="1"/>
      <w:marLeft w:val="0"/>
      <w:marRight w:val="0"/>
      <w:marTop w:val="0"/>
      <w:marBottom w:val="0"/>
      <w:divBdr>
        <w:top w:val="none" w:sz="0" w:space="0" w:color="auto"/>
        <w:left w:val="none" w:sz="0" w:space="0" w:color="auto"/>
        <w:bottom w:val="none" w:sz="0" w:space="0" w:color="auto"/>
        <w:right w:val="none" w:sz="0" w:space="0" w:color="auto"/>
      </w:divBdr>
    </w:div>
    <w:div w:id="2061898745">
      <w:bodyDiv w:val="1"/>
      <w:marLeft w:val="0"/>
      <w:marRight w:val="0"/>
      <w:marTop w:val="0"/>
      <w:marBottom w:val="0"/>
      <w:divBdr>
        <w:top w:val="none" w:sz="0" w:space="0" w:color="auto"/>
        <w:left w:val="none" w:sz="0" w:space="0" w:color="auto"/>
        <w:bottom w:val="none" w:sz="0" w:space="0" w:color="auto"/>
        <w:right w:val="none" w:sz="0" w:space="0" w:color="auto"/>
      </w:divBdr>
    </w:div>
    <w:div w:id="2066172452">
      <w:bodyDiv w:val="1"/>
      <w:marLeft w:val="0"/>
      <w:marRight w:val="0"/>
      <w:marTop w:val="0"/>
      <w:marBottom w:val="0"/>
      <w:divBdr>
        <w:top w:val="none" w:sz="0" w:space="0" w:color="auto"/>
        <w:left w:val="none" w:sz="0" w:space="0" w:color="auto"/>
        <w:bottom w:val="none" w:sz="0" w:space="0" w:color="auto"/>
        <w:right w:val="none" w:sz="0" w:space="0" w:color="auto"/>
      </w:divBdr>
    </w:div>
    <w:div w:id="2068020343">
      <w:bodyDiv w:val="1"/>
      <w:marLeft w:val="0"/>
      <w:marRight w:val="0"/>
      <w:marTop w:val="0"/>
      <w:marBottom w:val="0"/>
      <w:divBdr>
        <w:top w:val="none" w:sz="0" w:space="0" w:color="auto"/>
        <w:left w:val="none" w:sz="0" w:space="0" w:color="auto"/>
        <w:bottom w:val="none" w:sz="0" w:space="0" w:color="auto"/>
        <w:right w:val="none" w:sz="0" w:space="0" w:color="auto"/>
      </w:divBdr>
    </w:div>
    <w:div w:id="2068217417">
      <w:bodyDiv w:val="1"/>
      <w:marLeft w:val="0"/>
      <w:marRight w:val="0"/>
      <w:marTop w:val="0"/>
      <w:marBottom w:val="0"/>
      <w:divBdr>
        <w:top w:val="none" w:sz="0" w:space="0" w:color="auto"/>
        <w:left w:val="none" w:sz="0" w:space="0" w:color="auto"/>
        <w:bottom w:val="none" w:sz="0" w:space="0" w:color="auto"/>
        <w:right w:val="none" w:sz="0" w:space="0" w:color="auto"/>
      </w:divBdr>
    </w:div>
    <w:div w:id="2070498263">
      <w:bodyDiv w:val="1"/>
      <w:marLeft w:val="0"/>
      <w:marRight w:val="0"/>
      <w:marTop w:val="0"/>
      <w:marBottom w:val="0"/>
      <w:divBdr>
        <w:top w:val="none" w:sz="0" w:space="0" w:color="auto"/>
        <w:left w:val="none" w:sz="0" w:space="0" w:color="auto"/>
        <w:bottom w:val="none" w:sz="0" w:space="0" w:color="auto"/>
        <w:right w:val="none" w:sz="0" w:space="0" w:color="auto"/>
      </w:divBdr>
    </w:div>
    <w:div w:id="2070570307">
      <w:bodyDiv w:val="1"/>
      <w:marLeft w:val="0"/>
      <w:marRight w:val="0"/>
      <w:marTop w:val="0"/>
      <w:marBottom w:val="0"/>
      <w:divBdr>
        <w:top w:val="none" w:sz="0" w:space="0" w:color="auto"/>
        <w:left w:val="none" w:sz="0" w:space="0" w:color="auto"/>
        <w:bottom w:val="none" w:sz="0" w:space="0" w:color="auto"/>
        <w:right w:val="none" w:sz="0" w:space="0" w:color="auto"/>
      </w:divBdr>
    </w:div>
    <w:div w:id="2072002470">
      <w:bodyDiv w:val="1"/>
      <w:marLeft w:val="0"/>
      <w:marRight w:val="0"/>
      <w:marTop w:val="0"/>
      <w:marBottom w:val="0"/>
      <w:divBdr>
        <w:top w:val="none" w:sz="0" w:space="0" w:color="auto"/>
        <w:left w:val="none" w:sz="0" w:space="0" w:color="auto"/>
        <w:bottom w:val="none" w:sz="0" w:space="0" w:color="auto"/>
        <w:right w:val="none" w:sz="0" w:space="0" w:color="auto"/>
      </w:divBdr>
    </w:div>
    <w:div w:id="2072925869">
      <w:bodyDiv w:val="1"/>
      <w:marLeft w:val="0"/>
      <w:marRight w:val="0"/>
      <w:marTop w:val="0"/>
      <w:marBottom w:val="0"/>
      <w:divBdr>
        <w:top w:val="none" w:sz="0" w:space="0" w:color="auto"/>
        <w:left w:val="none" w:sz="0" w:space="0" w:color="auto"/>
        <w:bottom w:val="none" w:sz="0" w:space="0" w:color="auto"/>
        <w:right w:val="none" w:sz="0" w:space="0" w:color="auto"/>
      </w:divBdr>
    </w:div>
    <w:div w:id="2076971408">
      <w:bodyDiv w:val="1"/>
      <w:marLeft w:val="0"/>
      <w:marRight w:val="0"/>
      <w:marTop w:val="0"/>
      <w:marBottom w:val="0"/>
      <w:divBdr>
        <w:top w:val="none" w:sz="0" w:space="0" w:color="auto"/>
        <w:left w:val="none" w:sz="0" w:space="0" w:color="auto"/>
        <w:bottom w:val="none" w:sz="0" w:space="0" w:color="auto"/>
        <w:right w:val="none" w:sz="0" w:space="0" w:color="auto"/>
      </w:divBdr>
    </w:div>
    <w:div w:id="2081904738">
      <w:bodyDiv w:val="1"/>
      <w:marLeft w:val="0"/>
      <w:marRight w:val="0"/>
      <w:marTop w:val="0"/>
      <w:marBottom w:val="0"/>
      <w:divBdr>
        <w:top w:val="none" w:sz="0" w:space="0" w:color="auto"/>
        <w:left w:val="none" w:sz="0" w:space="0" w:color="auto"/>
        <w:bottom w:val="none" w:sz="0" w:space="0" w:color="auto"/>
        <w:right w:val="none" w:sz="0" w:space="0" w:color="auto"/>
      </w:divBdr>
    </w:div>
    <w:div w:id="2087680056">
      <w:bodyDiv w:val="1"/>
      <w:marLeft w:val="0"/>
      <w:marRight w:val="0"/>
      <w:marTop w:val="0"/>
      <w:marBottom w:val="0"/>
      <w:divBdr>
        <w:top w:val="none" w:sz="0" w:space="0" w:color="auto"/>
        <w:left w:val="none" w:sz="0" w:space="0" w:color="auto"/>
        <w:bottom w:val="none" w:sz="0" w:space="0" w:color="auto"/>
        <w:right w:val="none" w:sz="0" w:space="0" w:color="auto"/>
      </w:divBdr>
    </w:div>
    <w:div w:id="2088262586">
      <w:bodyDiv w:val="1"/>
      <w:marLeft w:val="0"/>
      <w:marRight w:val="0"/>
      <w:marTop w:val="0"/>
      <w:marBottom w:val="0"/>
      <w:divBdr>
        <w:top w:val="none" w:sz="0" w:space="0" w:color="auto"/>
        <w:left w:val="none" w:sz="0" w:space="0" w:color="auto"/>
        <w:bottom w:val="none" w:sz="0" w:space="0" w:color="auto"/>
        <w:right w:val="none" w:sz="0" w:space="0" w:color="auto"/>
      </w:divBdr>
    </w:div>
    <w:div w:id="2092191282">
      <w:bodyDiv w:val="1"/>
      <w:marLeft w:val="0"/>
      <w:marRight w:val="0"/>
      <w:marTop w:val="0"/>
      <w:marBottom w:val="0"/>
      <w:divBdr>
        <w:top w:val="none" w:sz="0" w:space="0" w:color="auto"/>
        <w:left w:val="none" w:sz="0" w:space="0" w:color="auto"/>
        <w:bottom w:val="none" w:sz="0" w:space="0" w:color="auto"/>
        <w:right w:val="none" w:sz="0" w:space="0" w:color="auto"/>
      </w:divBdr>
    </w:div>
    <w:div w:id="2096121297">
      <w:bodyDiv w:val="1"/>
      <w:marLeft w:val="0"/>
      <w:marRight w:val="0"/>
      <w:marTop w:val="0"/>
      <w:marBottom w:val="0"/>
      <w:divBdr>
        <w:top w:val="none" w:sz="0" w:space="0" w:color="auto"/>
        <w:left w:val="none" w:sz="0" w:space="0" w:color="auto"/>
        <w:bottom w:val="none" w:sz="0" w:space="0" w:color="auto"/>
        <w:right w:val="none" w:sz="0" w:space="0" w:color="auto"/>
      </w:divBdr>
    </w:div>
    <w:div w:id="2096391500">
      <w:bodyDiv w:val="1"/>
      <w:marLeft w:val="0"/>
      <w:marRight w:val="0"/>
      <w:marTop w:val="0"/>
      <w:marBottom w:val="0"/>
      <w:divBdr>
        <w:top w:val="none" w:sz="0" w:space="0" w:color="auto"/>
        <w:left w:val="none" w:sz="0" w:space="0" w:color="auto"/>
        <w:bottom w:val="none" w:sz="0" w:space="0" w:color="auto"/>
        <w:right w:val="none" w:sz="0" w:space="0" w:color="auto"/>
      </w:divBdr>
    </w:div>
    <w:div w:id="2097480286">
      <w:bodyDiv w:val="1"/>
      <w:marLeft w:val="0"/>
      <w:marRight w:val="0"/>
      <w:marTop w:val="0"/>
      <w:marBottom w:val="0"/>
      <w:divBdr>
        <w:top w:val="none" w:sz="0" w:space="0" w:color="auto"/>
        <w:left w:val="none" w:sz="0" w:space="0" w:color="auto"/>
        <w:bottom w:val="none" w:sz="0" w:space="0" w:color="auto"/>
        <w:right w:val="none" w:sz="0" w:space="0" w:color="auto"/>
      </w:divBdr>
    </w:div>
    <w:div w:id="2103866438">
      <w:bodyDiv w:val="1"/>
      <w:marLeft w:val="0"/>
      <w:marRight w:val="0"/>
      <w:marTop w:val="0"/>
      <w:marBottom w:val="0"/>
      <w:divBdr>
        <w:top w:val="none" w:sz="0" w:space="0" w:color="auto"/>
        <w:left w:val="none" w:sz="0" w:space="0" w:color="auto"/>
        <w:bottom w:val="none" w:sz="0" w:space="0" w:color="auto"/>
        <w:right w:val="none" w:sz="0" w:space="0" w:color="auto"/>
      </w:divBdr>
    </w:div>
    <w:div w:id="2109082200">
      <w:bodyDiv w:val="1"/>
      <w:marLeft w:val="0"/>
      <w:marRight w:val="0"/>
      <w:marTop w:val="0"/>
      <w:marBottom w:val="0"/>
      <w:divBdr>
        <w:top w:val="none" w:sz="0" w:space="0" w:color="auto"/>
        <w:left w:val="none" w:sz="0" w:space="0" w:color="auto"/>
        <w:bottom w:val="none" w:sz="0" w:space="0" w:color="auto"/>
        <w:right w:val="none" w:sz="0" w:space="0" w:color="auto"/>
      </w:divBdr>
    </w:div>
    <w:div w:id="2109889212">
      <w:bodyDiv w:val="1"/>
      <w:marLeft w:val="0"/>
      <w:marRight w:val="0"/>
      <w:marTop w:val="0"/>
      <w:marBottom w:val="0"/>
      <w:divBdr>
        <w:top w:val="none" w:sz="0" w:space="0" w:color="auto"/>
        <w:left w:val="none" w:sz="0" w:space="0" w:color="auto"/>
        <w:bottom w:val="none" w:sz="0" w:space="0" w:color="auto"/>
        <w:right w:val="none" w:sz="0" w:space="0" w:color="auto"/>
      </w:divBdr>
    </w:div>
    <w:div w:id="2110618718">
      <w:bodyDiv w:val="1"/>
      <w:marLeft w:val="0"/>
      <w:marRight w:val="0"/>
      <w:marTop w:val="0"/>
      <w:marBottom w:val="0"/>
      <w:divBdr>
        <w:top w:val="none" w:sz="0" w:space="0" w:color="auto"/>
        <w:left w:val="none" w:sz="0" w:space="0" w:color="auto"/>
        <w:bottom w:val="none" w:sz="0" w:space="0" w:color="auto"/>
        <w:right w:val="none" w:sz="0" w:space="0" w:color="auto"/>
      </w:divBdr>
    </w:div>
    <w:div w:id="2110928101">
      <w:bodyDiv w:val="1"/>
      <w:marLeft w:val="0"/>
      <w:marRight w:val="0"/>
      <w:marTop w:val="0"/>
      <w:marBottom w:val="0"/>
      <w:divBdr>
        <w:top w:val="none" w:sz="0" w:space="0" w:color="auto"/>
        <w:left w:val="none" w:sz="0" w:space="0" w:color="auto"/>
        <w:bottom w:val="none" w:sz="0" w:space="0" w:color="auto"/>
        <w:right w:val="none" w:sz="0" w:space="0" w:color="auto"/>
      </w:divBdr>
    </w:div>
    <w:div w:id="2115588355">
      <w:bodyDiv w:val="1"/>
      <w:marLeft w:val="0"/>
      <w:marRight w:val="0"/>
      <w:marTop w:val="0"/>
      <w:marBottom w:val="0"/>
      <w:divBdr>
        <w:top w:val="none" w:sz="0" w:space="0" w:color="auto"/>
        <w:left w:val="none" w:sz="0" w:space="0" w:color="auto"/>
        <w:bottom w:val="none" w:sz="0" w:space="0" w:color="auto"/>
        <w:right w:val="none" w:sz="0" w:space="0" w:color="auto"/>
      </w:divBdr>
    </w:div>
    <w:div w:id="2121365054">
      <w:bodyDiv w:val="1"/>
      <w:marLeft w:val="0"/>
      <w:marRight w:val="0"/>
      <w:marTop w:val="0"/>
      <w:marBottom w:val="0"/>
      <w:divBdr>
        <w:top w:val="none" w:sz="0" w:space="0" w:color="auto"/>
        <w:left w:val="none" w:sz="0" w:space="0" w:color="auto"/>
        <w:bottom w:val="none" w:sz="0" w:space="0" w:color="auto"/>
        <w:right w:val="none" w:sz="0" w:space="0" w:color="auto"/>
      </w:divBdr>
    </w:div>
    <w:div w:id="2121607098">
      <w:bodyDiv w:val="1"/>
      <w:marLeft w:val="0"/>
      <w:marRight w:val="0"/>
      <w:marTop w:val="0"/>
      <w:marBottom w:val="0"/>
      <w:divBdr>
        <w:top w:val="none" w:sz="0" w:space="0" w:color="auto"/>
        <w:left w:val="none" w:sz="0" w:space="0" w:color="auto"/>
        <w:bottom w:val="none" w:sz="0" w:space="0" w:color="auto"/>
        <w:right w:val="none" w:sz="0" w:space="0" w:color="auto"/>
      </w:divBdr>
    </w:div>
    <w:div w:id="2125072372">
      <w:bodyDiv w:val="1"/>
      <w:marLeft w:val="0"/>
      <w:marRight w:val="0"/>
      <w:marTop w:val="0"/>
      <w:marBottom w:val="0"/>
      <w:divBdr>
        <w:top w:val="none" w:sz="0" w:space="0" w:color="auto"/>
        <w:left w:val="none" w:sz="0" w:space="0" w:color="auto"/>
        <w:bottom w:val="none" w:sz="0" w:space="0" w:color="auto"/>
        <w:right w:val="none" w:sz="0" w:space="0" w:color="auto"/>
      </w:divBdr>
    </w:div>
    <w:div w:id="2127579823">
      <w:bodyDiv w:val="1"/>
      <w:marLeft w:val="0"/>
      <w:marRight w:val="0"/>
      <w:marTop w:val="0"/>
      <w:marBottom w:val="0"/>
      <w:divBdr>
        <w:top w:val="none" w:sz="0" w:space="0" w:color="auto"/>
        <w:left w:val="none" w:sz="0" w:space="0" w:color="auto"/>
        <w:bottom w:val="none" w:sz="0" w:space="0" w:color="auto"/>
        <w:right w:val="none" w:sz="0" w:space="0" w:color="auto"/>
      </w:divBdr>
    </w:div>
    <w:div w:id="2129003872">
      <w:bodyDiv w:val="1"/>
      <w:marLeft w:val="0"/>
      <w:marRight w:val="0"/>
      <w:marTop w:val="0"/>
      <w:marBottom w:val="0"/>
      <w:divBdr>
        <w:top w:val="none" w:sz="0" w:space="0" w:color="auto"/>
        <w:left w:val="none" w:sz="0" w:space="0" w:color="auto"/>
        <w:bottom w:val="none" w:sz="0" w:space="0" w:color="auto"/>
        <w:right w:val="none" w:sz="0" w:space="0" w:color="auto"/>
      </w:divBdr>
    </w:div>
    <w:div w:id="2133211091">
      <w:bodyDiv w:val="1"/>
      <w:marLeft w:val="0"/>
      <w:marRight w:val="0"/>
      <w:marTop w:val="0"/>
      <w:marBottom w:val="0"/>
      <w:divBdr>
        <w:top w:val="none" w:sz="0" w:space="0" w:color="auto"/>
        <w:left w:val="none" w:sz="0" w:space="0" w:color="auto"/>
        <w:bottom w:val="none" w:sz="0" w:space="0" w:color="auto"/>
        <w:right w:val="none" w:sz="0" w:space="0" w:color="auto"/>
      </w:divBdr>
    </w:div>
    <w:div w:id="2134787269">
      <w:bodyDiv w:val="1"/>
      <w:marLeft w:val="0"/>
      <w:marRight w:val="0"/>
      <w:marTop w:val="0"/>
      <w:marBottom w:val="0"/>
      <w:divBdr>
        <w:top w:val="none" w:sz="0" w:space="0" w:color="auto"/>
        <w:left w:val="none" w:sz="0" w:space="0" w:color="auto"/>
        <w:bottom w:val="none" w:sz="0" w:space="0" w:color="auto"/>
        <w:right w:val="none" w:sz="0" w:space="0" w:color="auto"/>
      </w:divBdr>
    </w:div>
    <w:div w:id="2135174420">
      <w:bodyDiv w:val="1"/>
      <w:marLeft w:val="0"/>
      <w:marRight w:val="0"/>
      <w:marTop w:val="0"/>
      <w:marBottom w:val="0"/>
      <w:divBdr>
        <w:top w:val="none" w:sz="0" w:space="0" w:color="auto"/>
        <w:left w:val="none" w:sz="0" w:space="0" w:color="auto"/>
        <w:bottom w:val="none" w:sz="0" w:space="0" w:color="auto"/>
        <w:right w:val="none" w:sz="0" w:space="0" w:color="auto"/>
      </w:divBdr>
    </w:div>
    <w:div w:id="2136212782">
      <w:bodyDiv w:val="1"/>
      <w:marLeft w:val="0"/>
      <w:marRight w:val="0"/>
      <w:marTop w:val="0"/>
      <w:marBottom w:val="0"/>
      <w:divBdr>
        <w:top w:val="none" w:sz="0" w:space="0" w:color="auto"/>
        <w:left w:val="none" w:sz="0" w:space="0" w:color="auto"/>
        <w:bottom w:val="none" w:sz="0" w:space="0" w:color="auto"/>
        <w:right w:val="none" w:sz="0" w:space="0" w:color="auto"/>
      </w:divBdr>
    </w:div>
    <w:div w:id="2139494584">
      <w:bodyDiv w:val="1"/>
      <w:marLeft w:val="0"/>
      <w:marRight w:val="0"/>
      <w:marTop w:val="0"/>
      <w:marBottom w:val="0"/>
      <w:divBdr>
        <w:top w:val="none" w:sz="0" w:space="0" w:color="auto"/>
        <w:left w:val="none" w:sz="0" w:space="0" w:color="auto"/>
        <w:bottom w:val="none" w:sz="0" w:space="0" w:color="auto"/>
        <w:right w:val="none" w:sz="0" w:space="0" w:color="auto"/>
      </w:divBdr>
    </w:div>
    <w:div w:id="2143376355">
      <w:bodyDiv w:val="1"/>
      <w:marLeft w:val="0"/>
      <w:marRight w:val="0"/>
      <w:marTop w:val="0"/>
      <w:marBottom w:val="0"/>
      <w:divBdr>
        <w:top w:val="none" w:sz="0" w:space="0" w:color="auto"/>
        <w:left w:val="none" w:sz="0" w:space="0" w:color="auto"/>
        <w:bottom w:val="none" w:sz="0" w:space="0" w:color="auto"/>
        <w:right w:val="none" w:sz="0" w:space="0" w:color="auto"/>
      </w:divBdr>
    </w:div>
    <w:div w:id="2143425379">
      <w:bodyDiv w:val="1"/>
      <w:marLeft w:val="0"/>
      <w:marRight w:val="0"/>
      <w:marTop w:val="0"/>
      <w:marBottom w:val="0"/>
      <w:divBdr>
        <w:top w:val="none" w:sz="0" w:space="0" w:color="auto"/>
        <w:left w:val="none" w:sz="0" w:space="0" w:color="auto"/>
        <w:bottom w:val="none" w:sz="0" w:space="0" w:color="auto"/>
        <w:right w:val="none" w:sz="0" w:space="0" w:color="auto"/>
      </w:divBdr>
    </w:div>
    <w:div w:id="2144273123">
      <w:bodyDiv w:val="1"/>
      <w:marLeft w:val="0"/>
      <w:marRight w:val="0"/>
      <w:marTop w:val="0"/>
      <w:marBottom w:val="0"/>
      <w:divBdr>
        <w:top w:val="none" w:sz="0" w:space="0" w:color="auto"/>
        <w:left w:val="none" w:sz="0" w:space="0" w:color="auto"/>
        <w:bottom w:val="none" w:sz="0" w:space="0" w:color="auto"/>
        <w:right w:val="none" w:sz="0" w:space="0" w:color="auto"/>
      </w:divBdr>
    </w:div>
    <w:div w:id="214430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1.emf"/><Relationship Id="rId21" Type="http://schemas.openxmlformats.org/officeDocument/2006/relationships/image" Target="media/image3.emf"/><Relationship Id="rId42" Type="http://schemas.openxmlformats.org/officeDocument/2006/relationships/footer" Target="footer13.xml"/><Relationship Id="rId63" Type="http://schemas.openxmlformats.org/officeDocument/2006/relationships/image" Target="media/image26.emf"/><Relationship Id="rId84" Type="http://schemas.openxmlformats.org/officeDocument/2006/relationships/image" Target="media/image47.emf"/><Relationship Id="rId138" Type="http://schemas.openxmlformats.org/officeDocument/2006/relationships/image" Target="media/image85.emf"/><Relationship Id="rId159" Type="http://schemas.openxmlformats.org/officeDocument/2006/relationships/image" Target="media/image101.emf"/><Relationship Id="rId170" Type="http://schemas.openxmlformats.org/officeDocument/2006/relationships/footer" Target="footer25.xml"/><Relationship Id="rId191" Type="http://schemas.openxmlformats.org/officeDocument/2006/relationships/image" Target="media/image123.emf"/><Relationship Id="rId205" Type="http://schemas.openxmlformats.org/officeDocument/2006/relationships/image" Target="media/image132.emf"/><Relationship Id="rId226" Type="http://schemas.openxmlformats.org/officeDocument/2006/relationships/header" Target="header43.xml"/><Relationship Id="rId107" Type="http://schemas.openxmlformats.org/officeDocument/2006/relationships/header" Target="header15.xml"/><Relationship Id="rId11" Type="http://schemas.openxmlformats.org/officeDocument/2006/relationships/header" Target="header2.xml"/><Relationship Id="rId32" Type="http://schemas.openxmlformats.org/officeDocument/2006/relationships/header" Target="header10.xml"/><Relationship Id="rId53" Type="http://schemas.openxmlformats.org/officeDocument/2006/relationships/image" Target="media/image16.emf"/><Relationship Id="rId74" Type="http://schemas.openxmlformats.org/officeDocument/2006/relationships/image" Target="media/image37.emf"/><Relationship Id="rId128" Type="http://schemas.openxmlformats.org/officeDocument/2006/relationships/image" Target="media/image82.emf"/><Relationship Id="rId149" Type="http://schemas.openxmlformats.org/officeDocument/2006/relationships/header" Target="header25.xml"/><Relationship Id="rId5" Type="http://schemas.openxmlformats.org/officeDocument/2006/relationships/settings" Target="settings.xml"/><Relationship Id="rId95" Type="http://schemas.openxmlformats.org/officeDocument/2006/relationships/image" Target="media/image58.emf"/><Relationship Id="rId160" Type="http://schemas.openxmlformats.org/officeDocument/2006/relationships/image" Target="media/image102.emf"/><Relationship Id="rId181" Type="http://schemas.openxmlformats.org/officeDocument/2006/relationships/image" Target="media/image118.emf"/><Relationship Id="rId216" Type="http://schemas.openxmlformats.org/officeDocument/2006/relationships/header" Target="header36.xm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image" Target="media/image6.emf"/><Relationship Id="rId48" Type="http://schemas.openxmlformats.org/officeDocument/2006/relationships/image" Target="media/image11.emf"/><Relationship Id="rId64" Type="http://schemas.openxmlformats.org/officeDocument/2006/relationships/image" Target="media/image27.emf"/><Relationship Id="rId69" Type="http://schemas.openxmlformats.org/officeDocument/2006/relationships/image" Target="media/image32.emf"/><Relationship Id="rId113" Type="http://schemas.openxmlformats.org/officeDocument/2006/relationships/footer" Target="footer17.xml"/><Relationship Id="rId118" Type="http://schemas.openxmlformats.org/officeDocument/2006/relationships/image" Target="media/image72.emf"/><Relationship Id="rId134" Type="http://schemas.openxmlformats.org/officeDocument/2006/relationships/header" Target="header22.xml"/><Relationship Id="rId139" Type="http://schemas.openxmlformats.org/officeDocument/2006/relationships/image" Target="media/image86.emf"/><Relationship Id="rId80" Type="http://schemas.openxmlformats.org/officeDocument/2006/relationships/image" Target="media/image43.emf"/><Relationship Id="rId85" Type="http://schemas.openxmlformats.org/officeDocument/2006/relationships/image" Target="media/image48.emf"/><Relationship Id="rId150" Type="http://schemas.openxmlformats.org/officeDocument/2006/relationships/footer" Target="footer23.xml"/><Relationship Id="rId155" Type="http://schemas.openxmlformats.org/officeDocument/2006/relationships/image" Target="media/image97.emf"/><Relationship Id="rId171" Type="http://schemas.openxmlformats.org/officeDocument/2006/relationships/image" Target="media/image108.emf"/><Relationship Id="rId176" Type="http://schemas.openxmlformats.org/officeDocument/2006/relationships/image" Target="media/image113.emf"/><Relationship Id="rId192" Type="http://schemas.openxmlformats.org/officeDocument/2006/relationships/image" Target="media/image124.emf"/><Relationship Id="rId197" Type="http://schemas.openxmlformats.org/officeDocument/2006/relationships/image" Target="media/image129.emf"/><Relationship Id="rId206" Type="http://schemas.openxmlformats.org/officeDocument/2006/relationships/image" Target="media/image133.emf"/><Relationship Id="rId227" Type="http://schemas.openxmlformats.org/officeDocument/2006/relationships/header" Target="header44.xml"/><Relationship Id="rId201" Type="http://schemas.openxmlformats.org/officeDocument/2006/relationships/footer" Target="footer28.xml"/><Relationship Id="rId222" Type="http://schemas.openxmlformats.org/officeDocument/2006/relationships/footer" Target="footer32.xml"/><Relationship Id="rId12" Type="http://schemas.openxmlformats.org/officeDocument/2006/relationships/footer" Target="footer1.xml"/><Relationship Id="rId17" Type="http://schemas.openxmlformats.org/officeDocument/2006/relationships/image" Target="media/image2.png"/><Relationship Id="rId33" Type="http://schemas.openxmlformats.org/officeDocument/2006/relationships/footer" Target="footer9.xml"/><Relationship Id="rId38" Type="http://schemas.openxmlformats.org/officeDocument/2006/relationships/footer" Target="footer10.xml"/><Relationship Id="rId59" Type="http://schemas.openxmlformats.org/officeDocument/2006/relationships/image" Target="media/image22.emf"/><Relationship Id="rId103" Type="http://schemas.openxmlformats.org/officeDocument/2006/relationships/image" Target="media/image66.emf"/><Relationship Id="rId108" Type="http://schemas.openxmlformats.org/officeDocument/2006/relationships/header" Target="header16.xml"/><Relationship Id="rId124" Type="http://schemas.openxmlformats.org/officeDocument/2006/relationships/image" Target="media/image78.emf"/><Relationship Id="rId129" Type="http://schemas.openxmlformats.org/officeDocument/2006/relationships/header" Target="header19.xml"/><Relationship Id="rId54" Type="http://schemas.openxmlformats.org/officeDocument/2006/relationships/image" Target="media/image17.emf"/><Relationship Id="rId70" Type="http://schemas.openxmlformats.org/officeDocument/2006/relationships/image" Target="media/image33.emf"/><Relationship Id="rId75" Type="http://schemas.openxmlformats.org/officeDocument/2006/relationships/image" Target="media/image38.emf"/><Relationship Id="rId91" Type="http://schemas.openxmlformats.org/officeDocument/2006/relationships/image" Target="media/image54.emf"/><Relationship Id="rId96" Type="http://schemas.openxmlformats.org/officeDocument/2006/relationships/image" Target="media/image59.emf"/><Relationship Id="rId140" Type="http://schemas.openxmlformats.org/officeDocument/2006/relationships/image" Target="media/image87.emf"/><Relationship Id="rId145" Type="http://schemas.openxmlformats.org/officeDocument/2006/relationships/image" Target="media/image92.emf"/><Relationship Id="rId161" Type="http://schemas.openxmlformats.org/officeDocument/2006/relationships/image" Target="media/image103.emf"/><Relationship Id="rId166" Type="http://schemas.openxmlformats.org/officeDocument/2006/relationships/header" Target="header26.xml"/><Relationship Id="rId182" Type="http://schemas.openxmlformats.org/officeDocument/2006/relationships/image" Target="media/image119.emf"/><Relationship Id="rId187" Type="http://schemas.openxmlformats.org/officeDocument/2006/relationships/footer" Target="footer27.xml"/><Relationship Id="rId217"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9.emf"/><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image" Target="media/image12.emf"/><Relationship Id="rId114" Type="http://schemas.openxmlformats.org/officeDocument/2006/relationships/header" Target="header18.xml"/><Relationship Id="rId119" Type="http://schemas.openxmlformats.org/officeDocument/2006/relationships/image" Target="media/image73.emf"/><Relationship Id="rId44" Type="http://schemas.openxmlformats.org/officeDocument/2006/relationships/image" Target="media/image7.emf"/><Relationship Id="rId60" Type="http://schemas.openxmlformats.org/officeDocument/2006/relationships/image" Target="media/image23.emf"/><Relationship Id="rId65" Type="http://schemas.openxmlformats.org/officeDocument/2006/relationships/image" Target="media/image28.emf"/><Relationship Id="rId81" Type="http://schemas.openxmlformats.org/officeDocument/2006/relationships/image" Target="media/image44.emf"/><Relationship Id="rId86" Type="http://schemas.openxmlformats.org/officeDocument/2006/relationships/image" Target="media/image49.emf"/><Relationship Id="rId130" Type="http://schemas.openxmlformats.org/officeDocument/2006/relationships/header" Target="header20.xml"/><Relationship Id="rId135" Type="http://schemas.openxmlformats.org/officeDocument/2006/relationships/footer" Target="footer21.xml"/><Relationship Id="rId151" Type="http://schemas.openxmlformats.org/officeDocument/2006/relationships/image" Target="media/image93.emf"/><Relationship Id="rId156" Type="http://schemas.openxmlformats.org/officeDocument/2006/relationships/image" Target="media/image98.emf"/><Relationship Id="rId177" Type="http://schemas.openxmlformats.org/officeDocument/2006/relationships/image" Target="media/image114.emf"/><Relationship Id="rId198" Type="http://schemas.openxmlformats.org/officeDocument/2006/relationships/image" Target="media/image130.emf"/><Relationship Id="rId172" Type="http://schemas.openxmlformats.org/officeDocument/2006/relationships/image" Target="media/image109.emf"/><Relationship Id="rId193" Type="http://schemas.openxmlformats.org/officeDocument/2006/relationships/image" Target="media/image125.emf"/><Relationship Id="rId202" Type="http://schemas.openxmlformats.org/officeDocument/2006/relationships/header" Target="header34.xml"/><Relationship Id="rId207" Type="http://schemas.openxmlformats.org/officeDocument/2006/relationships/image" Target="media/image134.emf"/><Relationship Id="rId223" Type="http://schemas.openxmlformats.org/officeDocument/2006/relationships/header" Target="header40.xml"/><Relationship Id="rId228"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yperlink" Target="http://www.itsanhonour.gov.au" TargetMode="External"/><Relationship Id="rId39" Type="http://schemas.openxmlformats.org/officeDocument/2006/relationships/header" Target="header14.xml"/><Relationship Id="rId109" Type="http://schemas.openxmlformats.org/officeDocument/2006/relationships/footer" Target="footer14.xml"/><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image" Target="media/image18.emf"/><Relationship Id="rId76" Type="http://schemas.openxmlformats.org/officeDocument/2006/relationships/image" Target="media/image39.emf"/><Relationship Id="rId97" Type="http://schemas.openxmlformats.org/officeDocument/2006/relationships/image" Target="media/image60.emf"/><Relationship Id="rId104" Type="http://schemas.openxmlformats.org/officeDocument/2006/relationships/image" Target="media/image67.emf"/><Relationship Id="rId120" Type="http://schemas.openxmlformats.org/officeDocument/2006/relationships/image" Target="media/image74.emf"/><Relationship Id="rId125" Type="http://schemas.openxmlformats.org/officeDocument/2006/relationships/image" Target="media/image79.emf"/><Relationship Id="rId141" Type="http://schemas.openxmlformats.org/officeDocument/2006/relationships/image" Target="media/image88.emf"/><Relationship Id="rId146" Type="http://schemas.openxmlformats.org/officeDocument/2006/relationships/header" Target="header23.xml"/><Relationship Id="rId167" Type="http://schemas.openxmlformats.org/officeDocument/2006/relationships/header" Target="header27.xml"/><Relationship Id="rId188" Type="http://schemas.openxmlformats.org/officeDocument/2006/relationships/image" Target="media/image120.emf"/><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image" Target="media/image55.emf"/><Relationship Id="rId162" Type="http://schemas.openxmlformats.org/officeDocument/2006/relationships/image" Target="media/image104.emf"/><Relationship Id="rId183" Type="http://schemas.openxmlformats.org/officeDocument/2006/relationships/header" Target="header29.xml"/><Relationship Id="rId213" Type="http://schemas.openxmlformats.org/officeDocument/2006/relationships/image" Target="media/image140.emf"/><Relationship Id="rId218"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yperlink" Target="http://www.budget.gov.au" TargetMode="External"/><Relationship Id="rId40" Type="http://schemas.openxmlformats.org/officeDocument/2006/relationships/footer" Target="footer11.xml"/><Relationship Id="rId45" Type="http://schemas.openxmlformats.org/officeDocument/2006/relationships/image" Target="media/image8.emf"/><Relationship Id="rId66" Type="http://schemas.openxmlformats.org/officeDocument/2006/relationships/image" Target="media/image29.emf"/><Relationship Id="rId87" Type="http://schemas.openxmlformats.org/officeDocument/2006/relationships/image" Target="media/image50.emf"/><Relationship Id="rId110" Type="http://schemas.openxmlformats.org/officeDocument/2006/relationships/footer" Target="footer15.xml"/><Relationship Id="rId115" Type="http://schemas.openxmlformats.org/officeDocument/2006/relationships/footer" Target="footer18.xml"/><Relationship Id="rId131" Type="http://schemas.openxmlformats.org/officeDocument/2006/relationships/header" Target="header21.xml"/><Relationship Id="rId136" Type="http://schemas.openxmlformats.org/officeDocument/2006/relationships/image" Target="media/image83.emf"/><Relationship Id="rId157" Type="http://schemas.openxmlformats.org/officeDocument/2006/relationships/image" Target="media/image99.emf"/><Relationship Id="rId178" Type="http://schemas.openxmlformats.org/officeDocument/2006/relationships/image" Target="media/image115.emf"/><Relationship Id="rId61" Type="http://schemas.openxmlformats.org/officeDocument/2006/relationships/image" Target="media/image24.emf"/><Relationship Id="rId82" Type="http://schemas.openxmlformats.org/officeDocument/2006/relationships/image" Target="media/image45.emf"/><Relationship Id="rId152" Type="http://schemas.openxmlformats.org/officeDocument/2006/relationships/image" Target="media/image94.emf"/><Relationship Id="rId173" Type="http://schemas.openxmlformats.org/officeDocument/2006/relationships/image" Target="media/image110.emf"/><Relationship Id="rId194" Type="http://schemas.openxmlformats.org/officeDocument/2006/relationships/image" Target="media/image126.emf"/><Relationship Id="rId199" Type="http://schemas.openxmlformats.org/officeDocument/2006/relationships/header" Target="header32.xml"/><Relationship Id="rId203" Type="http://schemas.openxmlformats.org/officeDocument/2006/relationships/footer" Target="footer29.xml"/><Relationship Id="rId208" Type="http://schemas.openxmlformats.org/officeDocument/2006/relationships/image" Target="media/image135.emf"/><Relationship Id="rId229" Type="http://schemas.openxmlformats.org/officeDocument/2006/relationships/theme" Target="theme/theme1.xml"/><Relationship Id="rId19" Type="http://schemas.openxmlformats.org/officeDocument/2006/relationships/header" Target="header4.xml"/><Relationship Id="rId224" Type="http://schemas.openxmlformats.org/officeDocument/2006/relationships/header" Target="header41.xml"/><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image" Target="media/image19.emf"/><Relationship Id="rId77" Type="http://schemas.openxmlformats.org/officeDocument/2006/relationships/image" Target="media/image40.emf"/><Relationship Id="rId100" Type="http://schemas.openxmlformats.org/officeDocument/2006/relationships/image" Target="media/image63.emf"/><Relationship Id="rId105" Type="http://schemas.openxmlformats.org/officeDocument/2006/relationships/image" Target="media/image68.emf"/><Relationship Id="rId126" Type="http://schemas.openxmlformats.org/officeDocument/2006/relationships/image" Target="media/image80.emf"/><Relationship Id="rId147" Type="http://schemas.openxmlformats.org/officeDocument/2006/relationships/header" Target="header24.xml"/><Relationship Id="rId168"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image" Target="media/image14.emf"/><Relationship Id="rId72" Type="http://schemas.openxmlformats.org/officeDocument/2006/relationships/image" Target="media/image35.emf"/><Relationship Id="rId93" Type="http://schemas.openxmlformats.org/officeDocument/2006/relationships/image" Target="media/image56.emf"/><Relationship Id="rId98" Type="http://schemas.openxmlformats.org/officeDocument/2006/relationships/image" Target="media/image61.emf"/><Relationship Id="rId121" Type="http://schemas.openxmlformats.org/officeDocument/2006/relationships/image" Target="media/image75.emf"/><Relationship Id="rId142" Type="http://schemas.openxmlformats.org/officeDocument/2006/relationships/image" Target="media/image89.emf"/><Relationship Id="rId163" Type="http://schemas.openxmlformats.org/officeDocument/2006/relationships/image" Target="media/image105.emf"/><Relationship Id="rId184" Type="http://schemas.openxmlformats.org/officeDocument/2006/relationships/header" Target="header30.xml"/><Relationship Id="rId189" Type="http://schemas.openxmlformats.org/officeDocument/2006/relationships/image" Target="media/image121.emf"/><Relationship Id="rId219" Type="http://schemas.openxmlformats.org/officeDocument/2006/relationships/footer" Target="footer30.xml"/><Relationship Id="rId3" Type="http://schemas.openxmlformats.org/officeDocument/2006/relationships/styles" Target="styles.xml"/><Relationship Id="rId214" Type="http://schemas.openxmlformats.org/officeDocument/2006/relationships/image" Target="media/image141.emf"/><Relationship Id="rId25" Type="http://schemas.openxmlformats.org/officeDocument/2006/relationships/header" Target="header6.xml"/><Relationship Id="rId46" Type="http://schemas.openxmlformats.org/officeDocument/2006/relationships/image" Target="media/image9.emf"/><Relationship Id="rId67" Type="http://schemas.openxmlformats.org/officeDocument/2006/relationships/image" Target="media/image30.emf"/><Relationship Id="rId116" Type="http://schemas.openxmlformats.org/officeDocument/2006/relationships/image" Target="media/image70.emf"/><Relationship Id="rId137" Type="http://schemas.openxmlformats.org/officeDocument/2006/relationships/image" Target="media/image84.emf"/><Relationship Id="rId158" Type="http://schemas.openxmlformats.org/officeDocument/2006/relationships/image" Target="media/image100.emf"/><Relationship Id="rId20" Type="http://schemas.openxmlformats.org/officeDocument/2006/relationships/footer" Target="footer4.xml"/><Relationship Id="rId41" Type="http://schemas.openxmlformats.org/officeDocument/2006/relationships/footer" Target="footer12.xml"/><Relationship Id="rId62" Type="http://schemas.openxmlformats.org/officeDocument/2006/relationships/image" Target="media/image25.emf"/><Relationship Id="rId83" Type="http://schemas.openxmlformats.org/officeDocument/2006/relationships/image" Target="media/image46.emf"/><Relationship Id="rId88" Type="http://schemas.openxmlformats.org/officeDocument/2006/relationships/image" Target="media/image51.emf"/><Relationship Id="rId111" Type="http://schemas.openxmlformats.org/officeDocument/2006/relationships/header" Target="header17.xml"/><Relationship Id="rId132" Type="http://schemas.openxmlformats.org/officeDocument/2006/relationships/footer" Target="footer19.xml"/><Relationship Id="rId153" Type="http://schemas.openxmlformats.org/officeDocument/2006/relationships/image" Target="media/image95.emf"/><Relationship Id="rId174" Type="http://schemas.openxmlformats.org/officeDocument/2006/relationships/image" Target="media/image111.emf"/><Relationship Id="rId179" Type="http://schemas.openxmlformats.org/officeDocument/2006/relationships/image" Target="media/image116.emf"/><Relationship Id="rId195" Type="http://schemas.openxmlformats.org/officeDocument/2006/relationships/image" Target="media/image127.emf"/><Relationship Id="rId209" Type="http://schemas.openxmlformats.org/officeDocument/2006/relationships/image" Target="media/image136.emf"/><Relationship Id="rId190" Type="http://schemas.openxmlformats.org/officeDocument/2006/relationships/image" Target="media/image122.emf"/><Relationship Id="rId204" Type="http://schemas.openxmlformats.org/officeDocument/2006/relationships/image" Target="media/image131.emf"/><Relationship Id="rId220" Type="http://schemas.openxmlformats.org/officeDocument/2006/relationships/footer" Target="footer31.xml"/><Relationship Id="rId225" Type="http://schemas.openxmlformats.org/officeDocument/2006/relationships/header" Target="header42.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image" Target="media/image20.emf"/><Relationship Id="rId106" Type="http://schemas.openxmlformats.org/officeDocument/2006/relationships/image" Target="media/image69.emf"/><Relationship Id="rId127" Type="http://schemas.openxmlformats.org/officeDocument/2006/relationships/image" Target="media/image81.emf"/><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image" Target="media/image15.emf"/><Relationship Id="rId73" Type="http://schemas.openxmlformats.org/officeDocument/2006/relationships/image" Target="media/image36.emf"/><Relationship Id="rId78" Type="http://schemas.openxmlformats.org/officeDocument/2006/relationships/image" Target="media/image41.emf"/><Relationship Id="rId94" Type="http://schemas.openxmlformats.org/officeDocument/2006/relationships/image" Target="media/image57.emf"/><Relationship Id="rId99" Type="http://schemas.openxmlformats.org/officeDocument/2006/relationships/image" Target="media/image62.emf"/><Relationship Id="rId101" Type="http://schemas.openxmlformats.org/officeDocument/2006/relationships/image" Target="media/image64.emf"/><Relationship Id="rId122" Type="http://schemas.openxmlformats.org/officeDocument/2006/relationships/image" Target="media/image76.emf"/><Relationship Id="rId143" Type="http://schemas.openxmlformats.org/officeDocument/2006/relationships/image" Target="media/image90.emf"/><Relationship Id="rId148" Type="http://schemas.openxmlformats.org/officeDocument/2006/relationships/footer" Target="footer22.xml"/><Relationship Id="rId164" Type="http://schemas.openxmlformats.org/officeDocument/2006/relationships/image" Target="media/image106.emf"/><Relationship Id="rId169" Type="http://schemas.openxmlformats.org/officeDocument/2006/relationships/header" Target="header28.xml"/><Relationship Id="rId185" Type="http://schemas.openxmlformats.org/officeDocument/2006/relationships/footer" Target="footer26.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17.emf"/><Relationship Id="rId210" Type="http://schemas.openxmlformats.org/officeDocument/2006/relationships/image" Target="media/image137.emf"/><Relationship Id="rId215" Type="http://schemas.openxmlformats.org/officeDocument/2006/relationships/header" Target="header35.xml"/><Relationship Id="rId26" Type="http://schemas.openxmlformats.org/officeDocument/2006/relationships/header" Target="header7.xml"/><Relationship Id="rId47" Type="http://schemas.openxmlformats.org/officeDocument/2006/relationships/image" Target="media/image10.emf"/><Relationship Id="rId68" Type="http://schemas.openxmlformats.org/officeDocument/2006/relationships/image" Target="media/image31.emf"/><Relationship Id="rId89" Type="http://schemas.openxmlformats.org/officeDocument/2006/relationships/image" Target="media/image52.emf"/><Relationship Id="rId112" Type="http://schemas.openxmlformats.org/officeDocument/2006/relationships/footer" Target="footer16.xml"/><Relationship Id="rId133" Type="http://schemas.openxmlformats.org/officeDocument/2006/relationships/footer" Target="footer20.xml"/><Relationship Id="rId154" Type="http://schemas.openxmlformats.org/officeDocument/2006/relationships/image" Target="media/image96.emf"/><Relationship Id="rId175" Type="http://schemas.openxmlformats.org/officeDocument/2006/relationships/image" Target="media/image112.emf"/><Relationship Id="rId196" Type="http://schemas.openxmlformats.org/officeDocument/2006/relationships/image" Target="media/image128.emf"/><Relationship Id="rId200" Type="http://schemas.openxmlformats.org/officeDocument/2006/relationships/header" Target="header33.xml"/><Relationship Id="rId16" Type="http://schemas.openxmlformats.org/officeDocument/2006/relationships/hyperlink" Target="http://creativecommons.org/licenses/by/3.0/au/legalcode" TargetMode="External"/><Relationship Id="rId221" Type="http://schemas.openxmlformats.org/officeDocument/2006/relationships/header" Target="header39.xml"/><Relationship Id="rId37" Type="http://schemas.openxmlformats.org/officeDocument/2006/relationships/header" Target="header13.xml"/><Relationship Id="rId58" Type="http://schemas.openxmlformats.org/officeDocument/2006/relationships/image" Target="media/image21.emf"/><Relationship Id="rId79" Type="http://schemas.openxmlformats.org/officeDocument/2006/relationships/image" Target="media/image42.emf"/><Relationship Id="rId102" Type="http://schemas.openxmlformats.org/officeDocument/2006/relationships/image" Target="media/image65.emf"/><Relationship Id="rId123" Type="http://schemas.openxmlformats.org/officeDocument/2006/relationships/image" Target="media/image77.emf"/><Relationship Id="rId144" Type="http://schemas.openxmlformats.org/officeDocument/2006/relationships/image" Target="media/image91.emf"/><Relationship Id="rId90" Type="http://schemas.openxmlformats.org/officeDocument/2006/relationships/image" Target="media/image53.emf"/><Relationship Id="rId165" Type="http://schemas.openxmlformats.org/officeDocument/2006/relationships/image" Target="media/image107.emf"/><Relationship Id="rId186" Type="http://schemas.openxmlformats.org/officeDocument/2006/relationships/header" Target="header31.xml"/><Relationship Id="rId211" Type="http://schemas.openxmlformats.org/officeDocument/2006/relationships/image" Target="media/image138.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4106D-0460-4CFC-9186-D1B458191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345</Pages>
  <Words>41020</Words>
  <Characters>241568</Characters>
  <Application>Microsoft Office Word</Application>
  <DocSecurity>0</DocSecurity>
  <Lines>2013</Lines>
  <Paragraphs>564</Paragraphs>
  <ScaleCrop>false</ScaleCrop>
  <Company/>
  <LinksUpToDate>false</LinksUpToDate>
  <CharactersWithSpaces>282024</CharactersWithSpaces>
  <SharedDoc>false</SharedDoc>
  <HLinks>
    <vt:vector size="24" baseType="variant">
      <vt:variant>
        <vt:i4>5374022</vt:i4>
      </vt:variant>
      <vt:variant>
        <vt:i4>9</vt:i4>
      </vt:variant>
      <vt:variant>
        <vt:i4>0</vt:i4>
      </vt:variant>
      <vt:variant>
        <vt:i4>5</vt:i4>
      </vt:variant>
      <vt:variant>
        <vt:lpwstr>http://www.budget.gov.au/</vt:lpwstr>
      </vt:variant>
      <vt:variant>
        <vt:lpwstr/>
      </vt:variant>
      <vt:variant>
        <vt:i4>7471148</vt:i4>
      </vt:variant>
      <vt:variant>
        <vt:i4>3</vt:i4>
      </vt:variant>
      <vt:variant>
        <vt:i4>0</vt:i4>
      </vt:variant>
      <vt:variant>
        <vt:i4>5</vt:i4>
      </vt:variant>
      <vt:variant>
        <vt:lpwstr>http://www.itsanhonour.gov.au/</vt:lpwstr>
      </vt:variant>
      <vt:variant>
        <vt:lpwstr/>
      </vt:variant>
      <vt:variant>
        <vt:i4>2687028</vt:i4>
      </vt:variant>
      <vt:variant>
        <vt:i4>0</vt:i4>
      </vt:variant>
      <vt:variant>
        <vt:i4>0</vt:i4>
      </vt:variant>
      <vt:variant>
        <vt:i4>5</vt:i4>
      </vt:variant>
      <vt:variant>
        <vt:lpwstr>http://creativecommons.org/licenses/by/3.0/au/legalcode</vt:lpwstr>
      </vt:variant>
      <vt:variant>
        <vt:lpwstr/>
      </vt:variant>
      <vt:variant>
        <vt:i4>4063325</vt:i4>
      </vt:variant>
      <vt:variant>
        <vt:i4>-1</vt:i4>
      </vt:variant>
      <vt:variant>
        <vt:i4>1212</vt:i4>
      </vt:variant>
      <vt:variant>
        <vt:i4>1</vt:i4>
      </vt:variant>
      <vt:variant>
        <vt:lpwstr>cid:image001.png@01CB6EC2.B90D04A0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2013-05-14T07:33:00Z</dcterms:created>
  <dcterms:modified xsi:type="dcterms:W3CDTF">2013-05-14T07:35:00Z</dcterms:modified>
</cp:coreProperties>
</file>